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480" w:after="24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240" w:after="0"/>
        <w:jc w:val="center"/>
        <w:rPr>
          <w:rFonts w:ascii="Times New Roman" w:hAnsi="Times New Roman" w:eastAsia="Times New Roman" w:cs="Times New Roman"/>
          <w:b/>
          <w:b/>
          <w:sz w:val="28"/>
          <w:szCs w:val="28"/>
        </w:rPr>
      </w:pPr>
      <w:r>
        <w:rPr>
          <w:rFonts w:eastAsia="Times New Roman" w:cs="Times New Roman" w:ascii="Times New Roman" w:hAnsi="Times New Roman"/>
          <w:b/>
          <w:color w:val="335B8A"/>
          <w:sz w:val="28"/>
          <w:szCs w:val="28"/>
        </w:rPr>
        <w:t>Data Backup and Recovery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Table1"/>
        <w:tblW w:w="9330" w:type="dxa"/>
        <w:jc w:val="left"/>
        <w:tblInd w:w="1"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ISMS No.</w:t>
            </w:r>
          </w:p>
        </w:tc>
        <w:tc>
          <w:tcPr>
            <w:tcW w:w="7110" w:type="dxa"/>
            <w:tcBorders>
              <w:top w:val="single" w:sz="10" w:space="0" w:color="878787"/>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POL-10</w:t>
            </w:r>
          </w:p>
        </w:tc>
      </w:tr>
      <w:tr>
        <w:trPr>
          <w:trHeight w:val="45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Title</w:t>
            </w:r>
          </w:p>
        </w:tc>
        <w:tc>
          <w:tcPr>
            <w:tcW w:w="7110" w:type="dxa"/>
            <w:tcBorders>
              <w:bottom w:val="single" w:sz="10" w:space="0" w:color="878787"/>
              <w:right w:val="single" w:sz="10" w:space="0" w:color="878787"/>
            </w:tcBorders>
          </w:tcPr>
          <w:p>
            <w:pPr>
              <w:pStyle w:val="Normal1"/>
              <w:widowControl w:val="false"/>
              <w:spacing w:lineRule="auto" w:line="240" w:before="10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 Backup and Recovery  Policy</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r>
        <w:trPr>
          <w:trHeight w:val="420" w:hRule="atLeast"/>
        </w:trPr>
        <w:tc>
          <w:tcPr>
            <w:tcW w:w="2219"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Effective Date</w:t>
            </w:r>
          </w:p>
        </w:tc>
        <w:tc>
          <w:tcPr>
            <w:tcW w:w="7110" w:type="dxa"/>
            <w:tcBorders>
              <w:bottom w:val="single" w:sz="10" w:space="0" w:color="878787"/>
              <w:right w:val="single" w:sz="10" w:space="0" w:color="878787"/>
            </w:tcBorders>
          </w:tcPr>
          <w:p>
            <w:pPr>
              <w:pStyle w:val="Normal1"/>
              <w:widowControl w:val="false"/>
              <w:spacing w:lineRule="auto" w:line="240"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bl>
      <w:tblPr>
        <w:tblStyle w:val="Table2"/>
        <w:tblW w:w="9315" w:type="dxa"/>
        <w:jc w:val="left"/>
        <w:tblInd w:w="1" w:type="dxa"/>
        <w:tblLayout w:type="fixed"/>
        <w:tblCellMar>
          <w:top w:w="0" w:type="dxa"/>
          <w:left w:w="100" w:type="dxa"/>
          <w:bottom w:w="0" w:type="dxa"/>
          <w:right w:w="100" w:type="dxa"/>
        </w:tblCellMar>
        <w:tblLook w:val="0600"/>
      </w:tblPr>
      <w:tblGrid>
        <w:gridCol w:w="1275"/>
        <w:gridCol w:w="1755"/>
        <w:gridCol w:w="1860"/>
        <w:gridCol w:w="1620"/>
        <w:gridCol w:w="2805"/>
      </w:tblGrid>
      <w:tr>
        <w:trPr>
          <w:trHeight w:val="795" w:hRule="atLeast"/>
        </w:trPr>
        <w:tc>
          <w:tcPr>
            <w:tcW w:w="1275" w:type="dxa"/>
            <w:tcBorders>
              <w:top w:val="single" w:sz="10" w:space="0" w:color="878787"/>
              <w:left w:val="single" w:sz="10" w:space="0" w:color="878787"/>
              <w:bottom w:val="single" w:sz="10" w:space="0" w:color="878787"/>
              <w:right w:val="single" w:sz="10" w:space="0" w:color="878787"/>
            </w:tcBorders>
          </w:tcPr>
          <w:p>
            <w:pPr>
              <w:pStyle w:val="Normal1"/>
              <w:widowControl w:val="false"/>
              <w:spacing w:lineRule="auto" w:line="242" w:before="120" w:after="0"/>
              <w:ind w:left="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No.</w:t>
            </w:r>
          </w:p>
        </w:tc>
        <w:tc>
          <w:tcPr>
            <w:tcW w:w="1755"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Date</w:t>
            </w:r>
          </w:p>
        </w:tc>
        <w:tc>
          <w:tcPr>
            <w:tcW w:w="186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Reviewed by</w:t>
            </w:r>
          </w:p>
        </w:tc>
        <w:tc>
          <w:tcPr>
            <w:tcW w:w="1620"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Approved by</w:t>
            </w:r>
          </w:p>
        </w:tc>
        <w:tc>
          <w:tcPr>
            <w:tcW w:w="2805" w:type="dxa"/>
            <w:tcBorders>
              <w:top w:val="single" w:sz="10" w:space="0" w:color="878787"/>
              <w:bottom w:val="single" w:sz="10" w:space="0" w:color="878787"/>
              <w:right w:val="single" w:sz="10"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Revision Description</w:t>
            </w:r>
          </w:p>
        </w:tc>
      </w:tr>
      <w:tr>
        <w:trPr>
          <w:trHeight w:val="765" w:hRule="atLeast"/>
        </w:trPr>
        <w:tc>
          <w:tcPr>
            <w:tcW w:w="1275" w:type="dxa"/>
            <w:tcBorders>
              <w:left w:val="single" w:sz="10" w:space="0" w:color="878787"/>
              <w:bottom w:val="single" w:sz="10" w:space="0" w:color="878787"/>
              <w:right w:val="single" w:sz="10"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55"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86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1620" w:type="dxa"/>
            <w:tcBorders>
              <w:bottom w:val="single" w:sz="10" w:space="0" w:color="878787"/>
              <w:right w:val="single" w:sz="10" w:space="0" w:color="878787"/>
            </w:tcBorders>
          </w:tcPr>
          <w:p>
            <w:pPr>
              <w:pStyle w:val="Normal1"/>
              <w:widowControl w:val="false"/>
              <w:spacing w:lineRule="auto" w:line="240" w:before="240" w:after="240"/>
              <w:ind w:left="1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c>
          <w:tcPr>
            <w:tcW w:w="2805" w:type="dxa"/>
            <w:tcBorders>
              <w:bottom w:val="single" w:sz="10" w:space="0" w:color="878787"/>
              <w:right w:val="single" w:sz="10"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color w:val="335B8A"/>
          <w:sz w:val="24"/>
          <w:szCs w:val="24"/>
        </w:rPr>
      </w:pPr>
      <w:r>
        <w:rPr>
          <w:rFonts w:eastAsia="Times New Roman" w:cs="Times New Roman" w:ascii="Times New Roman" w:hAnsi="Times New Roman"/>
          <w:color w:val="335B8A"/>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10.1 Purpose                                                                                                                      </w:t>
        <w:tab/>
        <w:t>3</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10.2 Scope                                                                                                                          </w:t>
        <w:tab/>
        <w:t>3</w:t>
      </w:r>
    </w:p>
    <w:p>
      <w:pPr>
        <w:pStyle w:val="Normal1"/>
        <w:spacing w:lineRule="auto" w:line="240" w:before="60" w:after="200"/>
        <w:ind w:left="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10.3 Policy                                                                                                                     </w:t>
        <w:tab/>
        <w:t>3</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10.4 Backup Testing                                                                                                           </w:t>
        <w:tab/>
        <w:t>4</w:t>
      </w:r>
    </w:p>
    <w:p>
      <w:pPr>
        <w:pStyle w:val="Normal1"/>
        <w:spacing w:lineRule="auto" w:line="240" w:before="6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10.5 Enforcement                                                                                                              </w:t>
        <w:tab/>
        <w:t>4</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Heading1"/>
        <w:keepNext w:val="false"/>
        <w:keepLines w:val="false"/>
        <w:spacing w:lineRule="auto" w:line="240" w:before="480" w:after="0"/>
        <w:rPr>
          <w:rFonts w:ascii="Times New Roman" w:hAnsi="Times New Roman" w:eastAsia="Times New Roman" w:cs="Times New Roman"/>
          <w:sz w:val="24"/>
          <w:szCs w:val="24"/>
        </w:rPr>
      </w:pPr>
      <w:bookmarkStart w:id="0" w:name="_lgi8k5svvx6"/>
      <w:bookmarkEnd w:id="0"/>
      <w:r>
        <w:rPr>
          <w:rFonts w:eastAsia="Times New Roman" w:cs="Times New Roman" w:ascii="Times New Roman" w:hAnsi="Times New Roman"/>
          <w:b/>
          <w:sz w:val="26"/>
          <w:szCs w:val="26"/>
        </w:rPr>
        <w:t>10.1 Purpose</w:t>
      </w:r>
      <w:r>
        <w:rPr>
          <w:rFonts w:eastAsia="Times New Roman" w:cs="Times New Roman" w:ascii="Times New Roman" w:hAnsi="Times New Roman"/>
          <w:sz w:val="24"/>
          <w:szCs w:val="24"/>
        </w:rPr>
        <w:t xml:space="preserve"> </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The purpose of this policy is for backup and recovery of critical data.</w:t>
      </w:r>
    </w:p>
    <w:p>
      <w:pPr>
        <w:pStyle w:val="Heading1"/>
        <w:keepNext w:val="false"/>
        <w:keepLines w:val="false"/>
        <w:spacing w:lineRule="auto" w:line="240" w:before="480" w:after="0"/>
        <w:rPr>
          <w:rFonts w:ascii="Times New Roman" w:hAnsi="Times New Roman" w:eastAsia="Times New Roman" w:cs="Times New Roman"/>
          <w:sz w:val="24"/>
          <w:szCs w:val="24"/>
        </w:rPr>
      </w:pPr>
      <w:bookmarkStart w:id="1" w:name="_vr4y5x8r5s17"/>
      <w:bookmarkEnd w:id="1"/>
      <w:r>
        <w:rPr>
          <w:rFonts w:eastAsia="Times New Roman" w:cs="Times New Roman" w:ascii="Times New Roman" w:hAnsi="Times New Roman"/>
          <w:b/>
          <w:sz w:val="26"/>
          <w:szCs w:val="26"/>
        </w:rPr>
        <w:t>10.2 Scope</w:t>
      </w:r>
      <w:r>
        <w:rPr>
          <w:rFonts w:eastAsia="Times New Roman" w:cs="Times New Roman" w:ascii="Times New Roman" w:hAnsi="Times New Roman"/>
          <w:sz w:val="24"/>
          <w:szCs w:val="24"/>
        </w:rPr>
        <w:t xml:space="preserve"> </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This policy for Data Backup and Recovery policy extends to all key systems that, for business continuity, legal, and compliance reasons, must be maintained without loss in the case of equipment failure or loss or quickly restored to maintain business operations.</w:t>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2" w:name="_yz792ha33f5l"/>
      <w:bookmarkEnd w:id="2"/>
      <w:r>
        <w:rPr>
          <w:rFonts w:eastAsia="Times New Roman" w:cs="Times New Roman" w:ascii="Times New Roman" w:hAnsi="Times New Roman"/>
          <w:b/>
          <w:sz w:val="26"/>
          <w:szCs w:val="26"/>
        </w:rPr>
        <w:t>10.3 Policy</w:t>
      </w:r>
    </w:p>
    <w:p>
      <w:pPr>
        <w:pStyle w:val="Normal1"/>
        <w:numPr>
          <w:ilvl w:val="0"/>
          <w:numId w:val="2"/>
        </w:numPr>
        <w:spacing w:lineRule="auto" w:line="276" w:before="160" w:afterAutospacing="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Product owners must ensure that all the data required for maintaining business continuity have been implemented in the backup and recovery solution.</w:t>
      </w:r>
    </w:p>
    <w:p>
      <w:pPr>
        <w:pStyle w:val="Normal1"/>
        <w:numPr>
          <w:ilvl w:val="0"/>
          <w:numId w:val="2"/>
        </w:numPr>
        <w:spacing w:lineRule="auto" w:line="276" w:beforeAutospacing="0" w:before="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following systems are identified to be part of the backup scope</w:t>
      </w:r>
    </w:p>
    <w:p>
      <w:pPr>
        <w:pStyle w:val="Normal1"/>
        <w:spacing w:lineRule="auto" w:line="276"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All Databases</w:t>
      </w:r>
    </w:p>
    <w:p>
      <w:pPr>
        <w:pStyle w:val="Normal1"/>
        <w:spacing w:lineRule="auto" w:line="276"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All Cloud Storage Instances</w:t>
      </w:r>
    </w:p>
    <w:p>
      <w:pPr>
        <w:pStyle w:val="Normal1"/>
        <w:spacing w:lineRule="auto" w:line="276"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All module logs</w:t>
      </w:r>
    </w:p>
    <w:p>
      <w:pPr>
        <w:pStyle w:val="Normal1"/>
        <w:spacing w:lineRule="auto" w:line="276" w:before="240" w:after="240"/>
        <w:ind w:left="324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All Configuration</w:t>
      </w:r>
    </w:p>
    <w:p>
      <w:pPr>
        <w:pStyle w:val="Normal1"/>
        <w:numPr>
          <w:ilvl w:val="0"/>
          <w:numId w:val="3"/>
        </w:numPr>
        <w:spacing w:lineRule="auto" w:line="276" w:before="160" w:afterAutospacing="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frequency and extent of backups must be in accordance with the importance of the information and the acceptable risk as determined by the data owner.</w:t>
      </w:r>
    </w:p>
    <w:p>
      <w:pPr>
        <w:pStyle w:val="Normal1"/>
        <w:numPr>
          <w:ilvl w:val="0"/>
          <w:numId w:val="3"/>
        </w:numPr>
        <w:spacing w:lineRule="auto" w:line="276" w:beforeAutospacing="0" w:before="0" w:afterAutospacing="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All backup logs should be stored for the purpose of automated evidence of successful backups via the automated processes.</w:t>
      </w:r>
    </w:p>
    <w:p>
      <w:pPr>
        <w:pStyle w:val="Normal1"/>
        <w:numPr>
          <w:ilvl w:val="0"/>
          <w:numId w:val="3"/>
        </w:numPr>
        <w:spacing w:lineRule="auto" w:line="276" w:beforeAutospacing="0" w:before="0" w:afterAutospacing="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color w:val="202124"/>
          <w:sz w:val="24"/>
          <w:szCs w:val="24"/>
        </w:rPr>
        <w:t>Product owners are empowered to determine the Backup Frequency. Product owners will take into consideration cost, utility, and risk associated with backups to determine frequency.</w:t>
      </w:r>
    </w:p>
    <w:p>
      <w:pPr>
        <w:pStyle w:val="Normal1"/>
        <w:numPr>
          <w:ilvl w:val="0"/>
          <w:numId w:val="3"/>
        </w:numPr>
        <w:spacing w:lineRule="auto" w:line="276" w:beforeAutospacing="0" w:before="0" w:afterAutospacing="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color w:val="202124"/>
          <w:sz w:val="24"/>
          <w:szCs w:val="24"/>
        </w:rPr>
        <w:t>All the backups must be encrypted.</w:t>
      </w:r>
    </w:p>
    <w:p>
      <w:pPr>
        <w:pStyle w:val="Normal1"/>
        <w:numPr>
          <w:ilvl w:val="0"/>
          <w:numId w:val="3"/>
        </w:numPr>
        <w:spacing w:lineRule="auto" w:line="276" w:beforeAutospacing="0" w:before="0" w:after="0"/>
        <w:ind w:left="2160" w:right="20" w:hanging="360"/>
        <w:jc w:val="both"/>
        <w:rPr>
          <w:rFonts w:ascii="Times New Roman" w:hAnsi="Times New Roman" w:eastAsia="Times New Roman" w:cs="Times New Roman"/>
          <w:sz w:val="24"/>
          <w:szCs w:val="24"/>
          <w:u w:val="none"/>
        </w:rPr>
      </w:pPr>
      <w:r>
        <w:rPr>
          <w:rFonts w:eastAsia="Times New Roman" w:cs="Times New Roman" w:ascii="Times New Roman" w:hAnsi="Times New Roman"/>
          <w:color w:val="202124"/>
          <w:sz w:val="24"/>
          <w:szCs w:val="24"/>
        </w:rPr>
        <w:t>At least a minimum daily backup of production data should be performed. Exception to same must be approved by the management team</w:t>
      </w:r>
    </w:p>
    <w:p>
      <w:pPr>
        <w:pStyle w:val="Normal1"/>
        <w:spacing w:lineRule="auto" w:line="276" w:before="240" w:after="240"/>
        <w:ind w:left="3240" w:hanging="360"/>
        <w:rPr>
          <w:rFonts w:ascii="Times New Roman" w:hAnsi="Times New Roman" w:eastAsia="Times New Roman" w:cs="Times New Roman"/>
          <w:color w:val="202124"/>
          <w:sz w:val="24"/>
          <w:szCs w:val="24"/>
        </w:rPr>
      </w:pPr>
      <w:r>
        <w:rPr>
          <w:rFonts w:eastAsia="Times New Roman" w:cs="Times New Roman" w:ascii="Times New Roman" w:hAnsi="Times New Roman"/>
          <w:color w:val="202124"/>
          <w:sz w:val="24"/>
          <w:szCs w:val="24"/>
        </w:rPr>
        <w:t xml:space="preserve">○   </w:t>
      </w:r>
      <w:r>
        <w:rPr>
          <w:rFonts w:eastAsia="Times New Roman" w:cs="Times New Roman" w:ascii="Times New Roman" w:hAnsi="Times New Roman"/>
          <w:color w:val="202124"/>
          <w:sz w:val="24"/>
          <w:szCs w:val="24"/>
        </w:rPr>
        <w:tab/>
        <w:t>Production Database snapshot is taken every day, and the last two snapshot is retained</w:t>
      </w:r>
    </w:p>
    <w:p>
      <w:pPr>
        <w:pStyle w:val="Normal1"/>
        <w:spacing w:lineRule="auto" w:line="276" w:before="240" w:after="240"/>
        <w:ind w:left="3240" w:hanging="360"/>
        <w:rPr>
          <w:rFonts w:ascii="Times New Roman" w:hAnsi="Times New Roman" w:eastAsia="Times New Roman" w:cs="Times New Roman"/>
          <w:color w:val="202124"/>
          <w:sz w:val="24"/>
          <w:szCs w:val="24"/>
        </w:rPr>
      </w:pPr>
      <w:r>
        <w:rPr>
          <w:rFonts w:eastAsia="Times New Roman" w:cs="Times New Roman" w:ascii="Times New Roman" w:hAnsi="Times New Roman"/>
          <w:color w:val="202124"/>
          <w:sz w:val="24"/>
          <w:szCs w:val="24"/>
        </w:rPr>
        <w:t xml:space="preserve">○   </w:t>
      </w:r>
      <w:r>
        <w:rPr>
          <w:rFonts w:eastAsia="Times New Roman" w:cs="Times New Roman" w:ascii="Times New Roman" w:hAnsi="Times New Roman"/>
          <w:color w:val="202124"/>
          <w:sz w:val="24"/>
          <w:szCs w:val="24"/>
        </w:rPr>
        <w:tab/>
        <w:t>All module logs are backed up daily to S3, and data is rotated after seven days</w:t>
      </w:r>
    </w:p>
    <w:p>
      <w:pPr>
        <w:pStyle w:val="Normal1"/>
        <w:numPr>
          <w:ilvl w:val="0"/>
          <w:numId w:val="1"/>
        </w:numPr>
        <w:spacing w:lineRule="auto" w:line="276" w:before="160" w:afterAutospacing="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The process must be implemented to verify the success of the organization, electronic information backup.</w:t>
      </w:r>
    </w:p>
    <w:p>
      <w:pPr>
        <w:pStyle w:val="Normal1"/>
        <w:numPr>
          <w:ilvl w:val="0"/>
          <w:numId w:val="1"/>
        </w:numPr>
        <w:spacing w:lineRule="auto" w:line="276" w:beforeAutospacing="0" w:before="0" w:after="0"/>
        <w:ind w:left="2160" w:hanging="360"/>
        <w:jc w:val="both"/>
        <w:rPr>
          <w:rFonts w:ascii="Times New Roman" w:hAnsi="Times New Roman" w:eastAsia="Times New Roman" w:cs="Times New Roman"/>
          <w:sz w:val="24"/>
          <w:szCs w:val="24"/>
          <w:u w:val="none"/>
        </w:rPr>
      </w:pPr>
      <w:r>
        <w:rPr>
          <w:rFonts w:eastAsia="Times New Roman" w:cs="Times New Roman" w:ascii="Times New Roman" w:hAnsi="Times New Roman"/>
          <w:sz w:val="24"/>
          <w:szCs w:val="24"/>
        </w:rPr>
        <w:t>Backups must be periodically tested to ensure that they are recoverable.</w:t>
      </w:r>
    </w:p>
    <w:p>
      <w:pPr>
        <w:pStyle w:val="Heading1"/>
        <w:keepNext w:val="false"/>
        <w:keepLines w:val="false"/>
        <w:spacing w:lineRule="auto" w:line="240" w:before="400" w:after="320"/>
        <w:rPr>
          <w:rFonts w:ascii="Times New Roman" w:hAnsi="Times New Roman" w:eastAsia="Times New Roman" w:cs="Times New Roman"/>
          <w:b/>
          <w:b/>
          <w:sz w:val="26"/>
          <w:szCs w:val="26"/>
        </w:rPr>
      </w:pPr>
      <w:bookmarkStart w:id="3" w:name="_bnq3xqksctil"/>
      <w:bookmarkEnd w:id="3"/>
      <w:r>
        <w:rPr>
          <w:rFonts w:eastAsia="Times New Roman" w:cs="Times New Roman" w:ascii="Times New Roman" w:hAnsi="Times New Roman"/>
          <w:b/>
          <w:sz w:val="26"/>
          <w:szCs w:val="26"/>
        </w:rPr>
        <w:t>10.4 Backup Testing</w:t>
      </w:r>
    </w:p>
    <w:p>
      <w:pPr>
        <w:pStyle w:val="Normal1"/>
        <w:spacing w:lineRule="auto" w:line="276" w:before="240" w:after="240"/>
        <w:ind w:left="144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To meet compliance needs, at least once every month, backups must be tested to ensure restoration from the backups can be completed. These results must be recorded and submitted via ticket or email to the product owner.</w:t>
      </w:r>
    </w:p>
    <w:p>
      <w:pPr>
        <w:pStyle w:val="Heading1"/>
        <w:keepNext w:val="false"/>
        <w:keepLines w:val="false"/>
        <w:spacing w:lineRule="auto" w:line="240" w:before="160" w:after="120"/>
        <w:ind w:left="0" w:hanging="0"/>
        <w:jc w:val="both"/>
        <w:rPr>
          <w:rFonts w:ascii="Times New Roman" w:hAnsi="Times New Roman" w:eastAsia="Times New Roman" w:cs="Times New Roman"/>
          <w:b/>
          <w:b/>
          <w:sz w:val="26"/>
          <w:szCs w:val="26"/>
        </w:rPr>
      </w:pPr>
      <w:bookmarkStart w:id="4" w:name="_j3h0hyx94lqw"/>
      <w:bookmarkEnd w:id="4"/>
      <w:r>
        <w:rPr>
          <w:rFonts w:eastAsia="Times New Roman" w:cs="Times New Roman" w:ascii="Times New Roman" w:hAnsi="Times New Roman"/>
          <w:b/>
          <w:sz w:val="26"/>
          <w:szCs w:val="26"/>
        </w:rPr>
        <w:t>10.5 Enforcement</w:t>
      </w:r>
    </w:p>
    <w:p>
      <w:pPr>
        <w:pStyle w:val="Normal1"/>
        <w:spacing w:lineRule="auto" w:line="276" w:before="160" w:after="240"/>
        <w:ind w:left="1440" w:hanging="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Violation of this policy may result in disciplinary action, including but not limited to performance penalties, employment termination, contract invalidation, civil action, and criminal prosecution. Additionally, violators may lose access privileges to the organization, Information Resources.</w:t>
      </w:r>
    </w:p>
    <w:p>
      <w:pPr>
        <w:pStyle w:val="Normal1"/>
        <w:spacing w:lineRule="auto" w:line="276" w:before="240" w:after="240"/>
        <w:ind w:left="2160" w:hanging="0"/>
        <w:rPr>
          <w:rFonts w:ascii="Times New Roman" w:hAnsi="Times New Roman" w:eastAsia="Times New Roman" w:cs="Times New Roman"/>
          <w:color w:val="335B8A"/>
          <w:sz w:val="24"/>
          <w:szCs w:val="24"/>
        </w:rPr>
      </w:pPr>
      <w:r>
        <w:rPr>
          <w:rFonts w:eastAsia="Times New Roman" w:cs="Times New Roman" w:ascii="Times New Roman" w:hAnsi="Times New Roman"/>
          <w:color w:val="335B8A"/>
          <w:sz w:val="24"/>
          <w:szCs w:val="24"/>
        </w:rPr>
      </w:r>
    </w:p>
    <w:p>
      <w:pPr>
        <w:pStyle w:val="Normal1"/>
        <w:ind w:left="2160" w:hanging="0"/>
        <w:rPr>
          <w:rFonts w:ascii="Times New Roman" w:hAnsi="Times New Roman" w:eastAsia="Times New Roman" w:cs="Times New Roman"/>
          <w:sz w:val="24"/>
          <w:szCs w:val="24"/>
        </w:rPr>
      </w:pPr>
      <w:r>
        <w:rPr/>
      </w:r>
    </w:p>
    <w:sectPr>
      <w:headerReference w:type="default" r:id="rId2"/>
      <w:footerReference w:type="default" r:id="rId3"/>
      <w:type w:val="nextPage"/>
      <w:pgSz w:w="12240" w:h="15840"/>
      <w:pgMar w:left="720" w:right="720" w:gutter="0" w:header="720" w:top="1080" w:footer="72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2">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3">
    <w:lvl w:ilvl="0">
      <w:start w:val="1"/>
      <w:numFmt w:val="bullet"/>
      <w:lvlText w:val=""/>
      <w:lvlJc w:val="left"/>
      <w:pPr>
        <w:tabs>
          <w:tab w:val="num" w:pos="0"/>
        </w:tabs>
        <w:ind w:left="2160" w:hanging="360"/>
      </w:pPr>
      <w:rPr>
        <w:rFonts w:ascii="Wingdings" w:hAnsi="Wingdings" w:cs="Wingdings" w:hint="default"/>
        <w:u w:val="none"/>
      </w:rPr>
    </w:lvl>
    <w:lvl w:ilvl="1">
      <w:start w:val="1"/>
      <w:numFmt w:val="bullet"/>
      <w:lvlText w:val=""/>
      <w:lvlJc w:val="left"/>
      <w:pPr>
        <w:tabs>
          <w:tab w:val="num" w:pos="0"/>
        </w:tabs>
        <w:ind w:left="2880" w:hanging="360"/>
      </w:pPr>
      <w:rPr>
        <w:rFonts w:ascii="Wingdings 2" w:hAnsi="Wingdings 2" w:cs="Wingdings 2" w:hint="default"/>
        <w:u w:val="none"/>
      </w:rPr>
    </w:lvl>
    <w:lvl w:ilvl="2">
      <w:start w:val="1"/>
      <w:numFmt w:val="bullet"/>
      <w:lvlText w:val="■"/>
      <w:lvlJc w:val="left"/>
      <w:pPr>
        <w:tabs>
          <w:tab w:val="num" w:pos="0"/>
        </w:tabs>
        <w:ind w:left="3600" w:hanging="360"/>
      </w:pPr>
      <w:rPr>
        <w:rFonts w:ascii="OpenSymbol" w:hAnsi="OpenSymbol" w:cs="OpenSymbol" w:hint="default"/>
        <w:u w:val="none"/>
      </w:rPr>
    </w:lvl>
    <w:lvl w:ilvl="3">
      <w:start w:val="1"/>
      <w:numFmt w:val="bullet"/>
      <w:lvlText w:val=""/>
      <w:lvlJc w:val="left"/>
      <w:pPr>
        <w:tabs>
          <w:tab w:val="num" w:pos="0"/>
        </w:tabs>
        <w:ind w:left="4320" w:hanging="360"/>
      </w:pPr>
      <w:rPr>
        <w:rFonts w:ascii="Wingdings" w:hAnsi="Wingdings" w:cs="Wingdings" w:hint="default"/>
        <w:u w:val="none"/>
      </w:rPr>
    </w:lvl>
    <w:lvl w:ilvl="4">
      <w:start w:val="1"/>
      <w:numFmt w:val="bullet"/>
      <w:lvlText w:val=""/>
      <w:lvlJc w:val="left"/>
      <w:pPr>
        <w:tabs>
          <w:tab w:val="num" w:pos="0"/>
        </w:tabs>
        <w:ind w:left="5040" w:hanging="360"/>
      </w:pPr>
      <w:rPr>
        <w:rFonts w:ascii="Wingdings 2" w:hAnsi="Wingdings 2" w:cs="Wingdings 2" w:hint="default"/>
        <w:u w:val="none"/>
      </w:rPr>
    </w:lvl>
    <w:lvl w:ilvl="5">
      <w:start w:val="1"/>
      <w:numFmt w:val="bullet"/>
      <w:lvlText w:val="■"/>
      <w:lvlJc w:val="left"/>
      <w:pPr>
        <w:tabs>
          <w:tab w:val="num" w:pos="0"/>
        </w:tabs>
        <w:ind w:left="5760" w:hanging="360"/>
      </w:pPr>
      <w:rPr>
        <w:rFonts w:ascii="OpenSymbol" w:hAnsi="OpenSymbol" w:cs="OpenSymbol" w:hint="default"/>
        <w:u w:val="none"/>
      </w:rPr>
    </w:lvl>
    <w:lvl w:ilvl="6">
      <w:start w:val="1"/>
      <w:numFmt w:val="bullet"/>
      <w:lvlText w:val=""/>
      <w:lvlJc w:val="left"/>
      <w:pPr>
        <w:tabs>
          <w:tab w:val="num" w:pos="0"/>
        </w:tabs>
        <w:ind w:left="6480" w:hanging="360"/>
      </w:pPr>
      <w:rPr>
        <w:rFonts w:ascii="Wingdings" w:hAnsi="Wingdings" w:cs="Wingdings" w:hint="default"/>
        <w:u w:val="none"/>
      </w:rPr>
    </w:lvl>
    <w:lvl w:ilvl="7">
      <w:start w:val="1"/>
      <w:numFmt w:val="bullet"/>
      <w:lvlText w:val=""/>
      <w:lvlJc w:val="left"/>
      <w:pPr>
        <w:tabs>
          <w:tab w:val="num" w:pos="0"/>
        </w:tabs>
        <w:ind w:left="7200" w:hanging="360"/>
      </w:pPr>
      <w:rPr>
        <w:rFonts w:ascii="Wingdings 2" w:hAnsi="Wingdings 2" w:cs="Wingdings 2" w:hint="default"/>
        <w:u w:val="none"/>
      </w:rPr>
    </w:lvl>
    <w:lvl w:ilvl="8">
      <w:start w:val="1"/>
      <w:numFmt w:val="bullet"/>
      <w:lvlText w:val="■"/>
      <w:lvlJc w:val="left"/>
      <w:pPr>
        <w:tabs>
          <w:tab w:val="num" w:pos="0"/>
        </w:tabs>
        <w:ind w:left="792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4</Pages>
  <Words>402</Words>
  <Characters>2130</Characters>
  <CharactersWithSpaces>3119</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2024-03-26T16:22:33Z</dcterms:modified>
  <cp:revision>1</cp:revision>
  <dc:subject/>
  <dc:title/>
</cp:coreProperties>
</file>