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480" w:after="240"/>
        <w:jc w:val="center"/>
        <w:rPr>
          <w:rFonts w:ascii="Times New Roman" w:hAnsi="Times New Roman" w:eastAsia="Times New Roman" w:cs="Times New Roman"/>
          <w:b/>
          <w:b/>
          <w:color w:val="335B8A"/>
          <w:sz w:val="28"/>
          <w:szCs w:val="28"/>
        </w:rPr>
      </w:pPr>
      <w:r>
        <w:rPr>
          <w:rFonts w:eastAsia="Times New Roman" w:cs="Times New Roman" w:ascii="Times New Roman" w:hAnsi="Times New Roman"/>
          <w:b/>
          <w:color w:val="335B8A"/>
          <w:sz w:val="28"/>
          <w:szCs w:val="28"/>
        </w:rPr>
        <w:t>{Org_Logo}</w:t>
      </w:r>
    </w:p>
    <w:p>
      <w:pPr>
        <w:pStyle w:val="Normal1"/>
        <w:spacing w:lineRule="auto" w:line="240" w:before="480" w:after="240"/>
        <w:jc w:val="center"/>
        <w:rPr>
          <w:rFonts w:ascii="Times New Roman" w:hAnsi="Times New Roman" w:eastAsia="Times New Roman" w:cs="Times New Roman"/>
          <w:b/>
          <w:b/>
          <w:color w:val="335B8A"/>
          <w:sz w:val="28"/>
          <w:szCs w:val="28"/>
        </w:rPr>
      </w:pPr>
      <w:r>
        <w:rPr>
          <w:rFonts w:eastAsia="Times New Roman" w:cs="Times New Roman" w:ascii="Times New Roman" w:hAnsi="Times New Roman"/>
          <w:b/>
          <w:color w:val="335B8A"/>
          <w:sz w:val="28"/>
          <w:szCs w:val="28"/>
        </w:rPr>
        <w:t>Data Retention Policy</w:t>
      </w:r>
    </w:p>
    <w:p>
      <w:pPr>
        <w:pStyle w:val="Normal1"/>
        <w:spacing w:lineRule="auto" w:line="240" w:before="24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{Org_Name}</w:t>
      </w:r>
    </w:p>
    <w:p>
      <w:pPr>
        <w:pStyle w:val="Normal1"/>
        <w:spacing w:lineRule="auto" w:line="240" w:before="24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{Date_Code}</w:t>
      </w:r>
    </w:p>
    <w:p>
      <w:pPr>
        <w:pStyle w:val="Normal1"/>
        <w:spacing w:lineRule="auto" w:line="240" w:before="240" w:after="20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1"/>
        <w:tblW w:w="9330" w:type="dxa"/>
        <w:jc w:val="left"/>
        <w:tblInd w:w="1" w:type="dxa"/>
        <w:tblLayout w:type="fixed"/>
        <w:tblCellMar>
          <w:top w:w="0" w:type="dxa"/>
          <w:left w:w="100" w:type="dxa"/>
          <w:bottom w:w="0" w:type="dxa"/>
          <w:right w:w="100" w:type="dxa"/>
        </w:tblCellMar>
        <w:tblLook w:val="0600"/>
      </w:tblPr>
      <w:tblGrid>
        <w:gridCol w:w="2219"/>
        <w:gridCol w:w="7110"/>
      </w:tblGrid>
      <w:tr>
        <w:trPr>
          <w:trHeight w:val="420" w:hRule="atLeast"/>
        </w:trPr>
        <w:tc>
          <w:tcPr>
            <w:tcW w:w="2219" w:type="dxa"/>
            <w:tcBorders>
              <w:top w:val="single" w:sz="10" w:space="0" w:color="878787"/>
              <w:left w:val="single" w:sz="10" w:space="0" w:color="878787"/>
              <w:bottom w:val="single" w:sz="10" w:space="0" w:color="878787"/>
              <w:right w:val="single" w:sz="10"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ISMS No.</w:t>
            </w:r>
          </w:p>
        </w:tc>
        <w:tc>
          <w:tcPr>
            <w:tcW w:w="7110" w:type="dxa"/>
            <w:tcBorders>
              <w:top w:val="single" w:sz="10" w:space="0" w:color="878787"/>
              <w:bottom w:val="single" w:sz="10" w:space="0" w:color="878787"/>
              <w:right w:val="single" w:sz="10" w:space="0" w:color="878787"/>
            </w:tcBorders>
          </w:tcPr>
          <w:p>
            <w:pPr>
              <w:pStyle w:val="Normal1"/>
              <w:widowControl w:val="false"/>
              <w:spacing w:lineRule="auto" w:line="240"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POL-13</w:t>
            </w:r>
          </w:p>
        </w:tc>
      </w:tr>
      <w:tr>
        <w:trPr>
          <w:trHeight w:val="450" w:hRule="atLeast"/>
        </w:trPr>
        <w:tc>
          <w:tcPr>
            <w:tcW w:w="2219" w:type="dxa"/>
            <w:tcBorders>
              <w:left w:val="single" w:sz="10" w:space="0" w:color="878787"/>
              <w:bottom w:val="single" w:sz="10" w:space="0" w:color="878787"/>
              <w:right w:val="single" w:sz="10"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Title</w:t>
            </w:r>
          </w:p>
        </w:tc>
        <w:tc>
          <w:tcPr>
            <w:tcW w:w="7110" w:type="dxa"/>
            <w:tcBorders>
              <w:bottom w:val="single" w:sz="10" w:space="0" w:color="878787"/>
              <w:right w:val="single" w:sz="10" w:space="0" w:color="878787"/>
            </w:tcBorders>
          </w:tcPr>
          <w:p>
            <w:pPr>
              <w:pStyle w:val="Normal1"/>
              <w:widowControl w:val="false"/>
              <w:spacing w:lineRule="auto" w:line="240" w:before="100" w:after="240"/>
              <w:ind w:left="1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Data Retention Policy</w:t>
            </w:r>
          </w:p>
        </w:tc>
      </w:tr>
      <w:tr>
        <w:trPr>
          <w:trHeight w:val="420" w:hRule="atLeast"/>
        </w:trPr>
        <w:tc>
          <w:tcPr>
            <w:tcW w:w="2219" w:type="dxa"/>
            <w:tcBorders>
              <w:left w:val="single" w:sz="10" w:space="0" w:color="878787"/>
              <w:bottom w:val="single" w:sz="10" w:space="0" w:color="878787"/>
              <w:right w:val="single" w:sz="10"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Revision</w:t>
            </w:r>
          </w:p>
        </w:tc>
        <w:tc>
          <w:tcPr>
            <w:tcW w:w="7110" w:type="dxa"/>
            <w:tcBorders>
              <w:bottom w:val="single" w:sz="10" w:space="0" w:color="878787"/>
              <w:right w:val="single" w:sz="10" w:space="0" w:color="878787"/>
            </w:tcBorders>
          </w:tcPr>
          <w:p>
            <w:pPr>
              <w:pStyle w:val="Normal1"/>
              <w:widowControl w:val="false"/>
              <w:spacing w:lineRule="auto" w:line="240"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r>
      <w:tr>
        <w:trPr>
          <w:trHeight w:val="420" w:hRule="atLeast"/>
        </w:trPr>
        <w:tc>
          <w:tcPr>
            <w:tcW w:w="2219" w:type="dxa"/>
            <w:tcBorders>
              <w:left w:val="single" w:sz="10" w:space="0" w:color="878787"/>
              <w:bottom w:val="single" w:sz="10" w:space="0" w:color="878787"/>
              <w:right w:val="single" w:sz="10"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Effective Date</w:t>
            </w:r>
          </w:p>
        </w:tc>
        <w:tc>
          <w:tcPr>
            <w:tcW w:w="7110" w:type="dxa"/>
            <w:tcBorders>
              <w:bottom w:val="single" w:sz="10" w:space="0" w:color="878787"/>
              <w:right w:val="single" w:sz="10" w:space="0" w:color="878787"/>
            </w:tcBorders>
          </w:tcPr>
          <w:p>
            <w:pPr>
              <w:pStyle w:val="Normal1"/>
              <w:widowControl w:val="false"/>
              <w:spacing w:lineRule="auto" w:line="240"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r>
    </w:tbl>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bl>
      <w:tblPr>
        <w:tblStyle w:val="Table2"/>
        <w:tblW w:w="9330" w:type="dxa"/>
        <w:jc w:val="left"/>
        <w:tblInd w:w="1" w:type="dxa"/>
        <w:tblLayout w:type="fixed"/>
        <w:tblCellMar>
          <w:top w:w="0" w:type="dxa"/>
          <w:left w:w="100" w:type="dxa"/>
          <w:bottom w:w="0" w:type="dxa"/>
          <w:right w:w="100" w:type="dxa"/>
        </w:tblCellMar>
        <w:tblLook w:val="0600"/>
      </w:tblPr>
      <w:tblGrid>
        <w:gridCol w:w="1335"/>
        <w:gridCol w:w="1710"/>
        <w:gridCol w:w="1859"/>
        <w:gridCol w:w="1621"/>
        <w:gridCol w:w="2805"/>
      </w:tblGrid>
      <w:tr>
        <w:trPr>
          <w:trHeight w:val="795" w:hRule="atLeast"/>
        </w:trPr>
        <w:tc>
          <w:tcPr>
            <w:tcW w:w="1335" w:type="dxa"/>
            <w:tcBorders>
              <w:top w:val="single" w:sz="10" w:space="0" w:color="878787"/>
              <w:left w:val="single" w:sz="10" w:space="0" w:color="878787"/>
              <w:bottom w:val="single" w:sz="10" w:space="0" w:color="878787"/>
              <w:right w:val="single" w:sz="10" w:space="0" w:color="878787"/>
            </w:tcBorders>
          </w:tcPr>
          <w:p>
            <w:pPr>
              <w:pStyle w:val="Normal1"/>
              <w:widowControl w:val="false"/>
              <w:spacing w:lineRule="auto" w:line="242" w:before="120" w:after="0"/>
              <w:ind w:left="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Revision No.</w:t>
            </w:r>
          </w:p>
        </w:tc>
        <w:tc>
          <w:tcPr>
            <w:tcW w:w="1710" w:type="dxa"/>
            <w:tcBorders>
              <w:top w:val="single" w:sz="10" w:space="0" w:color="878787"/>
              <w:bottom w:val="single" w:sz="10" w:space="0" w:color="878787"/>
              <w:right w:val="single" w:sz="10" w:space="0" w:color="878787"/>
            </w:tcBorders>
          </w:tcPr>
          <w:p>
            <w:pPr>
              <w:pStyle w:val="Normal1"/>
              <w:widowControl w:val="false"/>
              <w:spacing w:lineRule="auto" w:line="240" w:before="120" w:after="0"/>
              <w:ind w:left="38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Revision Date</w:t>
            </w:r>
          </w:p>
        </w:tc>
        <w:tc>
          <w:tcPr>
            <w:tcW w:w="1859" w:type="dxa"/>
            <w:tcBorders>
              <w:top w:val="single" w:sz="10" w:space="0" w:color="878787"/>
              <w:bottom w:val="single" w:sz="10" w:space="0" w:color="878787"/>
              <w:right w:val="single" w:sz="10" w:space="0" w:color="878787"/>
            </w:tcBorders>
          </w:tcPr>
          <w:p>
            <w:pPr>
              <w:pStyle w:val="Normal1"/>
              <w:widowControl w:val="false"/>
              <w:spacing w:lineRule="auto" w:line="240" w:before="120" w:after="0"/>
              <w:ind w:left="42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Reviewed by</w:t>
            </w:r>
          </w:p>
        </w:tc>
        <w:tc>
          <w:tcPr>
            <w:tcW w:w="1621" w:type="dxa"/>
            <w:tcBorders>
              <w:top w:val="single" w:sz="10" w:space="0" w:color="878787"/>
              <w:bottom w:val="single" w:sz="10" w:space="0" w:color="878787"/>
              <w:right w:val="single" w:sz="10" w:space="0" w:color="878787"/>
            </w:tcBorders>
          </w:tcPr>
          <w:p>
            <w:pPr>
              <w:pStyle w:val="Normal1"/>
              <w:widowControl w:val="false"/>
              <w:spacing w:lineRule="auto" w:line="240" w:before="120" w:after="0"/>
              <w:ind w:left="30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Approved by</w:t>
            </w:r>
          </w:p>
        </w:tc>
        <w:tc>
          <w:tcPr>
            <w:tcW w:w="2805" w:type="dxa"/>
            <w:tcBorders>
              <w:top w:val="single" w:sz="10" w:space="0" w:color="878787"/>
              <w:bottom w:val="single" w:sz="10" w:space="0" w:color="878787"/>
              <w:right w:val="single" w:sz="10" w:space="0" w:color="878787"/>
            </w:tcBorders>
          </w:tcPr>
          <w:p>
            <w:pPr>
              <w:pStyle w:val="Normal1"/>
              <w:widowControl w:val="false"/>
              <w:spacing w:lineRule="auto" w:line="240" w:before="120" w:after="0"/>
              <w:ind w:left="68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Revision Description</w:t>
            </w:r>
          </w:p>
        </w:tc>
      </w:tr>
      <w:tr>
        <w:trPr>
          <w:trHeight w:val="765" w:hRule="atLeast"/>
        </w:trPr>
        <w:tc>
          <w:tcPr>
            <w:tcW w:w="1335" w:type="dxa"/>
            <w:tcBorders>
              <w:left w:val="single" w:sz="10" w:space="0" w:color="878787"/>
              <w:bottom w:val="single" w:sz="10" w:space="0" w:color="878787"/>
              <w:right w:val="single" w:sz="10" w:space="0" w:color="878787"/>
            </w:tcBorders>
          </w:tcPr>
          <w:p>
            <w:pPr>
              <w:pStyle w:val="Normal1"/>
              <w:widowControl w:val="false"/>
              <w:spacing w:lineRule="auto" w:line="240" w:before="100" w:after="0"/>
              <w:ind w:left="140" w:right="360" w:hanging="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1.0</w:t>
            </w:r>
          </w:p>
        </w:tc>
        <w:tc>
          <w:tcPr>
            <w:tcW w:w="1710" w:type="dxa"/>
            <w:tcBorders>
              <w:bottom w:val="single" w:sz="10" w:space="0" w:color="878787"/>
              <w:right w:val="single" w:sz="10" w:space="0" w:color="878787"/>
            </w:tcBorders>
          </w:tcPr>
          <w:p>
            <w:pPr>
              <w:pStyle w:val="Normal1"/>
              <w:widowControl w:val="false"/>
              <w:spacing w:lineRule="auto" w:line="240" w:before="240" w:after="240"/>
              <w:ind w:left="1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c>
          <w:tcPr>
            <w:tcW w:w="1859" w:type="dxa"/>
            <w:tcBorders>
              <w:bottom w:val="single" w:sz="10" w:space="0" w:color="878787"/>
              <w:right w:val="single" w:sz="10" w:space="0" w:color="878787"/>
            </w:tcBorders>
          </w:tcPr>
          <w:p>
            <w:pPr>
              <w:pStyle w:val="Normal1"/>
              <w:widowControl w:val="false"/>
              <w:spacing w:lineRule="auto" w:line="240" w:before="240" w:after="240"/>
              <w:ind w:left="1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c>
          <w:tcPr>
            <w:tcW w:w="1621" w:type="dxa"/>
            <w:tcBorders>
              <w:bottom w:val="single" w:sz="10" w:space="0" w:color="878787"/>
              <w:right w:val="single" w:sz="10" w:space="0" w:color="878787"/>
            </w:tcBorders>
          </w:tcPr>
          <w:p>
            <w:pPr>
              <w:pStyle w:val="Normal1"/>
              <w:widowControl w:val="false"/>
              <w:spacing w:lineRule="auto" w:line="240" w:before="240" w:after="240"/>
              <w:ind w:left="1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c>
          <w:tcPr>
            <w:tcW w:w="2805" w:type="dxa"/>
            <w:tcBorders>
              <w:bottom w:val="single" w:sz="10" w:space="0" w:color="878787"/>
              <w:right w:val="single" w:sz="10" w:space="0" w:color="878787"/>
            </w:tcBorders>
          </w:tcPr>
          <w:p>
            <w:pPr>
              <w:pStyle w:val="Normal1"/>
              <w:widowControl w:val="false"/>
              <w:spacing w:lineRule="auto" w:line="242"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r>
    </w:tbl>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0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Table of Content</w:t>
      </w:r>
    </w:p>
    <w:p>
      <w:pPr>
        <w:pStyle w:val="Normal1"/>
        <w:spacing w:lineRule="auto" w:line="240" w:before="6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13.1 Purpose                                                                                                                                                  </w:t>
        <w:tab/>
        <w:t>3</w:t>
      </w:r>
    </w:p>
    <w:p>
      <w:pPr>
        <w:pStyle w:val="Normal1"/>
        <w:spacing w:lineRule="auto" w:line="240" w:before="6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13.2 Scope                                                                                                                                           </w:t>
        <w:tab/>
        <w:t>3</w:t>
      </w:r>
    </w:p>
    <w:p>
      <w:pPr>
        <w:pStyle w:val="Normal1"/>
        <w:spacing w:lineRule="auto" w:line="240" w:before="6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13.3 Policy                                                                                                                                          </w:t>
        <w:tab/>
        <w:t>3</w:t>
      </w:r>
    </w:p>
    <w:p>
      <w:pPr>
        <w:pStyle w:val="Normal1"/>
        <w:spacing w:lineRule="auto" w:line="240"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13.3.1 Information Retention                                                                                                  </w:t>
        <w:tab/>
        <w:t>3</w:t>
      </w:r>
    </w:p>
    <w:p>
      <w:pPr>
        <w:pStyle w:val="Normal1"/>
        <w:spacing w:lineRule="auto" w:line="240"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13.3.2 Information Archiving                                                                                                 </w:t>
        <w:tab/>
        <w:t>4</w:t>
      </w:r>
    </w:p>
    <w:p>
      <w:pPr>
        <w:pStyle w:val="Normal1"/>
        <w:spacing w:lineRule="auto" w:line="240"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13.3.3 Information Destruction                                                                                               </w:t>
        <w:tab/>
        <w:t>4</w:t>
      </w:r>
    </w:p>
    <w:p>
      <w:pPr>
        <w:pStyle w:val="Normal1"/>
        <w:spacing w:lineRule="auto" w:line="240"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13.3.4 Logging                                                                                                                        </w:t>
        <w:tab/>
        <w:t>5</w:t>
      </w:r>
    </w:p>
    <w:p>
      <w:pPr>
        <w:pStyle w:val="Normal1"/>
        <w:spacing w:lineRule="auto" w:line="240"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13.3.5 Validation                                                                                                         </w:t>
        <w:tab/>
        <w:t xml:space="preserve">            5</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keepNext w:val="false"/>
        <w:keepLines w:val="false"/>
        <w:spacing w:lineRule="auto" w:line="240" w:before="480" w:after="0"/>
        <w:rPr>
          <w:rFonts w:ascii="Times New Roman" w:hAnsi="Times New Roman" w:eastAsia="Times New Roman" w:cs="Times New Roman"/>
          <w:sz w:val="24"/>
          <w:szCs w:val="24"/>
        </w:rPr>
      </w:pPr>
      <w:bookmarkStart w:id="0" w:name="_nsmxkrqmkul5"/>
      <w:bookmarkEnd w:id="0"/>
      <w:r>
        <w:rPr>
          <w:rFonts w:eastAsia="Times New Roman" w:cs="Times New Roman" w:ascii="Times New Roman" w:hAnsi="Times New Roman"/>
          <w:b/>
          <w:sz w:val="26"/>
          <w:szCs w:val="26"/>
        </w:rPr>
        <w:t>13.1 Purpose</w:t>
      </w:r>
      <w:r>
        <w:rPr>
          <w:rFonts w:eastAsia="Times New Roman" w:cs="Times New Roman" w:ascii="Times New Roman" w:hAnsi="Times New Roman"/>
          <w:sz w:val="24"/>
          <w:szCs w:val="24"/>
        </w:rPr>
        <w:t xml:space="preserve"> </w:t>
      </w:r>
    </w:p>
    <w:p>
      <w:pPr>
        <w:pStyle w:val="Normal1"/>
        <w:spacing w:lineRule="auto" w:line="240" w:before="240" w:after="20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This data retention policy defines the objectives and requirements for data retention within the organization. This policy covers all data within the organization’s custody or control, regardless of the medium the data is stored in (electronic form, paper form, etc. Within this policy, the medium that holds data is referred to as information, no matter what form it is in.</w:t>
      </w:r>
    </w:p>
    <w:p>
      <w:pPr>
        <w:pStyle w:val="Heading1"/>
        <w:keepNext w:val="false"/>
        <w:keepLines w:val="false"/>
        <w:spacing w:lineRule="auto" w:line="240" w:before="480" w:after="0"/>
        <w:rPr>
          <w:rFonts w:ascii="Times New Roman" w:hAnsi="Times New Roman" w:eastAsia="Times New Roman" w:cs="Times New Roman"/>
          <w:sz w:val="24"/>
          <w:szCs w:val="24"/>
        </w:rPr>
      </w:pPr>
      <w:bookmarkStart w:id="1" w:name="_phhcmdge5zdw"/>
      <w:bookmarkEnd w:id="1"/>
      <w:r>
        <w:rPr>
          <w:rFonts w:eastAsia="Times New Roman" w:cs="Times New Roman" w:ascii="Times New Roman" w:hAnsi="Times New Roman"/>
          <w:b/>
          <w:sz w:val="26"/>
          <w:szCs w:val="26"/>
        </w:rPr>
        <w:t>13.2 Scope</w:t>
      </w:r>
    </w:p>
    <w:p>
      <w:pPr>
        <w:pStyle w:val="Normal1"/>
        <w:numPr>
          <w:ilvl w:val="0"/>
          <w:numId w:val="3"/>
        </w:numPr>
        <w:spacing w:lineRule="auto" w:line="240" w:before="0" w:afterAutospacing="0" w:after="0"/>
        <w:ind w:left="216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This policy applies to all users of information systems within the organization. This typically includes employees and contractors, as well as any external parties that come into contact with systems and information the organization owns or controls (hereinafter referred to as “users”). This policy must be made readily available to all users.</w:t>
      </w:r>
    </w:p>
    <w:p>
      <w:pPr>
        <w:pStyle w:val="Normal1"/>
        <w:numPr>
          <w:ilvl w:val="0"/>
          <w:numId w:val="3"/>
        </w:numPr>
        <w:spacing w:lineRule="auto" w:line="240" w:before="0" w:after="200"/>
        <w:ind w:left="216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 organization understands and appreciates the importance of sensitive data retention.</w:t>
      </w:r>
    </w:p>
    <w:p>
      <w:pPr>
        <w:pStyle w:val="Heading1"/>
        <w:keepNext w:val="false"/>
        <w:keepLines w:val="false"/>
        <w:spacing w:lineRule="auto" w:line="240" w:before="480" w:after="0"/>
        <w:rPr>
          <w:rFonts w:ascii="Times New Roman" w:hAnsi="Times New Roman" w:eastAsia="Times New Roman" w:cs="Times New Roman"/>
          <w:b/>
          <w:b/>
          <w:sz w:val="26"/>
          <w:szCs w:val="26"/>
        </w:rPr>
      </w:pPr>
      <w:bookmarkStart w:id="2" w:name="_gawx0y558da7"/>
      <w:bookmarkEnd w:id="2"/>
      <w:r>
        <w:rPr>
          <w:rFonts w:eastAsia="Times New Roman" w:cs="Times New Roman" w:ascii="Times New Roman" w:hAnsi="Times New Roman"/>
          <w:b/>
          <w:sz w:val="26"/>
          <w:szCs w:val="26"/>
        </w:rPr>
        <w:t>13.3 Policy</w:t>
      </w:r>
    </w:p>
    <w:p>
      <w:pPr>
        <w:pStyle w:val="Normal1"/>
        <w:spacing w:lineRule="auto" w:line="276" w:before="240" w:after="24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organization is bound by multiple legal, regulatory, and contractual obligations with regard to the data it retains. These obligations stipulate how long data can be retained and how data must be destroyed. Examples of legal, regulatory, and contractual obligations include laws and regulations in the local jurisdiction where the organization conducts business and contracts made with employees, customers, service providers, partners, and others.</w:t>
      </w:r>
    </w:p>
    <w:p>
      <w:pPr>
        <w:pStyle w:val="Normal1"/>
        <w:spacing w:lineRule="auto" w:line="240" w:before="240" w:after="20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organization may also be involved in events such as litigation or disaster recovery scenarios that require it to have access to original information in order to protect the organization’s interests or those of its employees, customers, service providers, partners, and others. As a result, the organization may need to archive and store information for longer than it may be needed for day-to-day operations.</w:t>
      </w:r>
    </w:p>
    <w:p>
      <w:pPr>
        <w:pStyle w:val="Heading3"/>
        <w:keepNext w:val="false"/>
        <w:keepLines w:val="false"/>
        <w:spacing w:lineRule="auto" w:line="240" w:before="280" w:after="200"/>
        <w:ind w:left="1440" w:hanging="0"/>
        <w:rPr>
          <w:rFonts w:ascii="Times New Roman" w:hAnsi="Times New Roman" w:eastAsia="Times New Roman" w:cs="Times New Roman"/>
          <w:b/>
          <w:b/>
          <w:color w:val="000000"/>
          <w:sz w:val="26"/>
          <w:szCs w:val="26"/>
        </w:rPr>
      </w:pPr>
      <w:bookmarkStart w:id="3" w:name="_aqsejfwigz9x"/>
      <w:bookmarkEnd w:id="3"/>
      <w:r>
        <w:rPr>
          <w:rFonts w:eastAsia="Times New Roman" w:cs="Times New Roman" w:ascii="Times New Roman" w:hAnsi="Times New Roman"/>
          <w:b/>
          <w:color w:val="000000"/>
          <w:sz w:val="26"/>
          <w:szCs w:val="26"/>
        </w:rPr>
        <w:t>13.3.1 Information Retention</w:t>
      </w:r>
    </w:p>
    <w:p>
      <w:pPr>
        <w:pStyle w:val="Heading3"/>
        <w:keepNext w:val="false"/>
        <w:keepLines w:val="false"/>
        <w:numPr>
          <w:ilvl w:val="0"/>
          <w:numId w:val="6"/>
        </w:numPr>
        <w:spacing w:lineRule="auto" w:line="240" w:before="280" w:afterAutospacing="0" w:after="0"/>
        <w:ind w:left="2160" w:hanging="360"/>
        <w:rPr>
          <w:rFonts w:ascii="Times New Roman" w:hAnsi="Times New Roman" w:eastAsia="Times New Roman" w:cs="Times New Roman"/>
          <w:color w:val="000000"/>
          <w:sz w:val="24"/>
          <w:szCs w:val="24"/>
        </w:rPr>
      </w:pPr>
      <w:bookmarkStart w:id="4" w:name="_zbjm95q1yc26"/>
      <w:bookmarkEnd w:id="4"/>
      <w:r>
        <w:rPr>
          <w:rFonts w:eastAsia="Times New Roman" w:cs="Times New Roman" w:ascii="Times New Roman" w:hAnsi="Times New Roman"/>
          <w:color w:val="000000"/>
          <w:sz w:val="24"/>
          <w:szCs w:val="24"/>
        </w:rPr>
        <w:t>Retention is defined as the maintenance of information in a production or live environment that can be accessed by an authorized user in the ordinary course of business.</w:t>
      </w:r>
    </w:p>
    <w:p>
      <w:pPr>
        <w:pStyle w:val="Heading3"/>
        <w:keepNext w:val="false"/>
        <w:keepLines w:val="false"/>
        <w:numPr>
          <w:ilvl w:val="0"/>
          <w:numId w:val="6"/>
        </w:numPr>
        <w:spacing w:lineRule="auto" w:line="240" w:beforeAutospacing="0" w:before="0" w:afterAutospacing="0" w:after="0"/>
        <w:ind w:left="2160" w:hanging="360"/>
        <w:rPr>
          <w:rFonts w:ascii="Times New Roman" w:hAnsi="Times New Roman" w:eastAsia="Times New Roman" w:cs="Times New Roman"/>
          <w:color w:val="000000"/>
          <w:sz w:val="24"/>
          <w:szCs w:val="24"/>
        </w:rPr>
      </w:pPr>
      <w:bookmarkStart w:id="5" w:name="_xo7woeke0dqz"/>
      <w:bookmarkEnd w:id="5"/>
      <w:r>
        <w:rPr>
          <w:rFonts w:eastAsia="Times New Roman" w:cs="Times New Roman" w:ascii="Times New Roman" w:hAnsi="Times New Roman"/>
          <w:color w:val="000000"/>
          <w:sz w:val="24"/>
          <w:szCs w:val="24"/>
        </w:rPr>
        <w:t>Information used in the development, staging, and testing of systems shall not be retained beyond their active use period nor copied into production or live environments.</w:t>
      </w:r>
    </w:p>
    <w:p>
      <w:pPr>
        <w:pStyle w:val="Heading3"/>
        <w:keepNext w:val="false"/>
        <w:keepLines w:val="false"/>
        <w:numPr>
          <w:ilvl w:val="0"/>
          <w:numId w:val="6"/>
        </w:numPr>
        <w:spacing w:lineRule="auto" w:line="240" w:beforeAutospacing="0" w:before="0" w:afterAutospacing="0" w:after="0"/>
        <w:ind w:left="2160" w:hanging="360"/>
        <w:rPr>
          <w:rFonts w:ascii="Times New Roman" w:hAnsi="Times New Roman" w:eastAsia="Times New Roman" w:cs="Times New Roman"/>
          <w:color w:val="000000"/>
          <w:sz w:val="24"/>
          <w:szCs w:val="24"/>
        </w:rPr>
      </w:pPr>
      <w:bookmarkStart w:id="6" w:name="_k29dr026xjxq"/>
      <w:bookmarkEnd w:id="6"/>
      <w:r>
        <w:rPr>
          <w:rFonts w:eastAsia="Times New Roman" w:cs="Times New Roman" w:ascii="Times New Roman" w:hAnsi="Times New Roman"/>
          <w:color w:val="000000"/>
          <w:sz w:val="24"/>
          <w:szCs w:val="24"/>
        </w:rPr>
        <w:t>By default, the retention period of information shall be an active use period of exactly two years from its creation unless an exception is obtained, permitting a longer or shorter retention period. The business unit responsible for the information must request the exception.</w:t>
      </w:r>
    </w:p>
    <w:p>
      <w:pPr>
        <w:pStyle w:val="Heading3"/>
        <w:keepNext w:val="false"/>
        <w:keepLines w:val="false"/>
        <w:numPr>
          <w:ilvl w:val="0"/>
          <w:numId w:val="6"/>
        </w:numPr>
        <w:spacing w:lineRule="auto" w:line="240" w:beforeAutospacing="0" w:before="0" w:afterAutospacing="0" w:after="0"/>
        <w:ind w:left="2160" w:hanging="360"/>
        <w:rPr>
          <w:rFonts w:ascii="Times New Roman" w:hAnsi="Times New Roman" w:eastAsia="Times New Roman" w:cs="Times New Roman"/>
          <w:color w:val="000000"/>
          <w:sz w:val="24"/>
          <w:szCs w:val="24"/>
        </w:rPr>
      </w:pPr>
      <w:bookmarkStart w:id="7" w:name="_mflzf8jlg7th"/>
      <w:bookmarkEnd w:id="7"/>
      <w:r>
        <w:rPr>
          <w:rFonts w:eastAsia="Times New Roman" w:cs="Times New Roman" w:ascii="Times New Roman" w:hAnsi="Times New Roman"/>
          <w:color w:val="000000"/>
          <w:sz w:val="24"/>
          <w:szCs w:val="24"/>
        </w:rPr>
        <w:t>After the active use period of information is over in accordance with this policy and approved exceptions, information must be archived for a defined period. Once the defined archive period is over, the information must be destroyed.</w:t>
      </w:r>
    </w:p>
    <w:p>
      <w:pPr>
        <w:pStyle w:val="Heading3"/>
        <w:keepNext w:val="false"/>
        <w:keepLines w:val="false"/>
        <w:numPr>
          <w:ilvl w:val="0"/>
          <w:numId w:val="6"/>
        </w:numPr>
        <w:spacing w:lineRule="auto" w:line="240" w:beforeAutospacing="0" w:before="0" w:afterAutospacing="0" w:after="0"/>
        <w:ind w:left="2160" w:hanging="360"/>
        <w:rPr>
          <w:rFonts w:ascii="Times New Roman" w:hAnsi="Times New Roman" w:eastAsia="Times New Roman" w:cs="Times New Roman"/>
          <w:color w:val="000000"/>
          <w:sz w:val="24"/>
          <w:szCs w:val="24"/>
        </w:rPr>
      </w:pPr>
      <w:bookmarkStart w:id="8" w:name="_s29fvzcljgja"/>
      <w:bookmarkEnd w:id="8"/>
      <w:r>
        <w:rPr>
          <w:rFonts w:eastAsia="Times New Roman" w:cs="Times New Roman" w:ascii="Times New Roman" w:hAnsi="Times New Roman"/>
          <w:color w:val="000000"/>
          <w:sz w:val="24"/>
          <w:szCs w:val="24"/>
        </w:rPr>
        <w:t>Each business unit is responsible for the information it creates, uses, stores, processes, and destroys, according to the requirements of this policy. The responsible business unit is considered to be the information owner.</w:t>
      </w:r>
    </w:p>
    <w:p>
      <w:pPr>
        <w:pStyle w:val="Heading3"/>
        <w:keepNext w:val="false"/>
        <w:keepLines w:val="false"/>
        <w:numPr>
          <w:ilvl w:val="0"/>
          <w:numId w:val="6"/>
        </w:numPr>
        <w:spacing w:lineRule="auto" w:line="240" w:beforeAutospacing="0" w:before="0" w:afterAutospacing="0" w:after="0"/>
        <w:ind w:left="2160" w:hanging="360"/>
        <w:rPr>
          <w:rFonts w:ascii="Times New Roman" w:hAnsi="Times New Roman" w:eastAsia="Times New Roman" w:cs="Times New Roman"/>
          <w:color w:val="000000"/>
          <w:sz w:val="24"/>
          <w:szCs w:val="24"/>
        </w:rPr>
      </w:pPr>
      <w:bookmarkStart w:id="9" w:name="_dgahr3i1lath"/>
      <w:bookmarkEnd w:id="9"/>
      <w:r>
        <w:rPr>
          <w:rFonts w:eastAsia="Times New Roman" w:cs="Times New Roman" w:ascii="Times New Roman" w:hAnsi="Times New Roman"/>
          <w:color w:val="000000"/>
          <w:sz w:val="24"/>
          <w:szCs w:val="24"/>
        </w:rPr>
        <w:t>The organization’s legal counsel may issue a litigation hold to request that information relating to potential or actual litigation, arbitration, or other claims, demands, disputes, or regulatory action be retained in accordance with instructions from the legal counsel.</w:t>
      </w:r>
    </w:p>
    <w:p>
      <w:pPr>
        <w:pStyle w:val="Heading3"/>
        <w:keepNext w:val="false"/>
        <w:keepLines w:val="false"/>
        <w:numPr>
          <w:ilvl w:val="0"/>
          <w:numId w:val="6"/>
        </w:numPr>
        <w:spacing w:lineRule="auto" w:line="240" w:beforeAutospacing="0" w:before="0" w:afterAutospacing="0" w:after="0"/>
        <w:ind w:left="2160" w:hanging="360"/>
        <w:rPr>
          <w:rFonts w:ascii="Times New Roman" w:hAnsi="Times New Roman" w:eastAsia="Times New Roman" w:cs="Times New Roman"/>
          <w:color w:val="000000"/>
          <w:sz w:val="24"/>
          <w:szCs w:val="24"/>
        </w:rPr>
      </w:pPr>
      <w:bookmarkStart w:id="10" w:name="_dfb13sguudsz"/>
      <w:bookmarkEnd w:id="10"/>
      <w:r>
        <w:rPr>
          <w:rFonts w:eastAsia="Times New Roman" w:cs="Times New Roman" w:ascii="Times New Roman" w:hAnsi="Times New Roman"/>
          <w:color w:val="000000"/>
          <w:sz w:val="24"/>
          <w:szCs w:val="24"/>
        </w:rPr>
        <w:t>Each employee and contractor affiliated with the company must return information in their possession or control to the organization upon separation and/or retirement.</w:t>
      </w:r>
    </w:p>
    <w:p>
      <w:pPr>
        <w:pStyle w:val="Heading3"/>
        <w:keepNext w:val="false"/>
        <w:keepLines w:val="false"/>
        <w:numPr>
          <w:ilvl w:val="0"/>
          <w:numId w:val="6"/>
        </w:numPr>
        <w:spacing w:lineRule="auto" w:line="240" w:beforeAutospacing="0" w:before="0" w:after="200"/>
        <w:ind w:left="2160" w:hanging="360"/>
        <w:rPr>
          <w:rFonts w:ascii="Times New Roman" w:hAnsi="Times New Roman" w:eastAsia="Times New Roman" w:cs="Times New Roman"/>
          <w:color w:val="000000"/>
          <w:sz w:val="24"/>
          <w:szCs w:val="24"/>
        </w:rPr>
      </w:pPr>
      <w:bookmarkStart w:id="11" w:name="_git47zv9twzu"/>
      <w:bookmarkEnd w:id="11"/>
      <w:r>
        <w:rPr>
          <w:rFonts w:eastAsia="Times New Roman" w:cs="Times New Roman" w:ascii="Times New Roman" w:hAnsi="Times New Roman"/>
          <w:color w:val="000000"/>
          <w:sz w:val="24"/>
          <w:szCs w:val="24"/>
        </w:rPr>
        <w:t>Information owners must enforce the retention, archiving, and destruction of information and communicate these periods to relevant parties.</w:t>
      </w:r>
    </w:p>
    <w:p>
      <w:pPr>
        <w:pStyle w:val="Heading3"/>
        <w:keepNext w:val="false"/>
        <w:keepLines w:val="false"/>
        <w:spacing w:lineRule="auto" w:line="240" w:before="280" w:after="200"/>
        <w:ind w:left="720" w:hanging="0"/>
        <w:rPr>
          <w:rFonts w:ascii="Times New Roman" w:hAnsi="Times New Roman" w:eastAsia="Times New Roman" w:cs="Times New Roman"/>
          <w:b/>
          <w:b/>
          <w:color w:val="000000"/>
          <w:sz w:val="26"/>
          <w:szCs w:val="26"/>
        </w:rPr>
      </w:pPr>
      <w:bookmarkStart w:id="12" w:name="_arnjosgmttqb"/>
      <w:bookmarkEnd w:id="12"/>
      <w:r>
        <w:rPr>
          <w:rFonts w:eastAsia="Times New Roman" w:cs="Times New Roman" w:ascii="Times New Roman" w:hAnsi="Times New Roman"/>
          <w:b/>
          <w:color w:val="000000"/>
          <w:sz w:val="26"/>
          <w:szCs w:val="26"/>
        </w:rPr>
        <w:t>13.3.2 Information Archiving</w:t>
      </w:r>
    </w:p>
    <w:p>
      <w:pPr>
        <w:pStyle w:val="Normal1"/>
        <w:numPr>
          <w:ilvl w:val="0"/>
          <w:numId w:val="2"/>
        </w:numPr>
        <w:spacing w:lineRule="auto" w:line="240" w:before="240" w:after="240"/>
        <w:ind w:left="216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Archiving is defined as the secured storage of information such that the information is rendered inaccessible by authorized users in the ordinary course of business but can be retrieved by an administrator designated by company management.</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Physical (e.g., paper) records must be archived in secured storage (onsite or offsite) and clearly labeled in archive boxes naming the information owner.</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Electronic records must be archived with strict access controls set by the information owner and appropriate to secure the confidentiality, integrity, and accessibility of the information.</w:t>
      </w:r>
    </w:p>
    <w:p>
      <w:pPr>
        <w:pStyle w:val="Normal1"/>
        <w:numPr>
          <w:ilvl w:val="0"/>
          <w:numId w:val="1"/>
        </w:numPr>
        <w:spacing w:lineRule="auto" w:line="240" w:before="240" w:after="240"/>
        <w:ind w:left="216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 default archiving period of information shall be seven years unless an approved exception permits a longer or shorter period. Exceptions must be requested by the information owner.</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As a guideline, an archiving period of more than seven years may be granted for information with a vital historical purpose, such as corporate records, contracts, and technical/trade secrets.</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As a guideline, an archiving period of less than seven years may be granted for information with a limited business purpose, such as email, travel itineraries, pre-trip advisories, or to comply with specific legal, contractual, and/or regulatory requirements (e.g., PCI DSS, GDPR, etc.)</w:t>
      </w:r>
    </w:p>
    <w:p>
      <w:pPr>
        <w:pStyle w:val="Normal1"/>
        <w:numPr>
          <w:ilvl w:val="0"/>
          <w:numId w:val="4"/>
        </w:numPr>
        <w:spacing w:lineRule="auto" w:line="240" w:before="0" w:after="200"/>
        <w:ind w:left="216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Information must be destroyed at the end of the elapsed archiving period.</w:t>
      </w:r>
    </w:p>
    <w:p>
      <w:pPr>
        <w:pStyle w:val="Heading3"/>
        <w:keepNext w:val="false"/>
        <w:keepLines w:val="false"/>
        <w:spacing w:lineRule="auto" w:line="240" w:before="280" w:after="200"/>
        <w:ind w:left="1440" w:hanging="0"/>
        <w:rPr>
          <w:rFonts w:ascii="Times New Roman" w:hAnsi="Times New Roman" w:eastAsia="Times New Roman" w:cs="Times New Roman"/>
          <w:b/>
          <w:b/>
          <w:color w:val="000000"/>
          <w:sz w:val="26"/>
          <w:szCs w:val="26"/>
        </w:rPr>
      </w:pPr>
      <w:bookmarkStart w:id="13" w:name="_ey6cpjsgffb"/>
      <w:bookmarkEnd w:id="13"/>
      <w:r>
        <w:rPr>
          <w:rFonts w:eastAsia="Times New Roman" w:cs="Times New Roman" w:ascii="Times New Roman" w:hAnsi="Times New Roman"/>
          <w:b/>
          <w:color w:val="000000"/>
          <w:sz w:val="26"/>
          <w:szCs w:val="26"/>
        </w:rPr>
        <w:t>13.3.3 Information Destruction</w:t>
      </w:r>
    </w:p>
    <w:p>
      <w:pPr>
        <w:pStyle w:val="Normal1"/>
        <w:numPr>
          <w:ilvl w:val="0"/>
          <w:numId w:val="5"/>
        </w:numPr>
        <w:spacing w:lineRule="auto" w:line="240" w:before="240" w:afterAutospacing="0" w:after="0"/>
        <w:ind w:left="216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Destruction is defined as the physical or technical destruction sufficient to render the information contained in the document irretrievable by ordinary commercially available means.</w:t>
      </w:r>
    </w:p>
    <w:p>
      <w:pPr>
        <w:pStyle w:val="Normal1"/>
        <w:numPr>
          <w:ilvl w:val="0"/>
          <w:numId w:val="5"/>
        </w:numPr>
        <w:spacing w:lineRule="auto" w:line="240" w:beforeAutospacing="0" w:before="0" w:afterAutospacing="0" w:after="0"/>
        <w:ind w:left="216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 organization must maintain and enforce a detailed list of approved destruction methods appropriate for each type of information archived, whether in physical storage media such as CD-ROMs, DVDs, backup tapes, hard drives, mobile devices, portable drives, or database records or backup files. Physical information in paper form must be shredded using an authorized shredding device; waste must be periodically removed by approved personnel.</w:t>
      </w:r>
    </w:p>
    <w:p>
      <w:pPr>
        <w:pStyle w:val="Normal1"/>
        <w:numPr>
          <w:ilvl w:val="0"/>
          <w:numId w:val="5"/>
        </w:numPr>
        <w:spacing w:lineRule="auto" w:line="240" w:beforeAutospacing="0" w:before="0" w:after="240"/>
        <w:ind w:left="216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Once a Customer ceases to be a Customer, as defined below, the following steps are</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Customer is sent a notice via email of change of standing and given the option to reinstate the account.</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If there is no response to the notice in #1 above within seven days, or if the Customer responds they do not want to reinstate the account, the Customer is sent directions for how to download their data from the organization and/or to have the organization continue to store the data for up to 100GB. If there is more than 100GB of data, the organization will work with the Customer to determine storage costs.</w:t>
      </w:r>
    </w:p>
    <w:p>
      <w:pPr>
        <w:pStyle w:val="Normal1"/>
        <w:spacing w:lineRule="auto" w:line="240" w:before="0" w:after="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If the Customer downloads data or does not respond to notices from the organization within 30 days, the organization removes data from organization systems, and the Customer is sent notice of removal of data.</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Heading3"/>
        <w:keepNext w:val="false"/>
        <w:keepLines w:val="false"/>
        <w:spacing w:lineRule="auto" w:line="276" w:before="280" w:after="80"/>
        <w:ind w:left="1440" w:hanging="0"/>
        <w:rPr>
          <w:rFonts w:ascii="Times New Roman" w:hAnsi="Times New Roman" w:eastAsia="Times New Roman" w:cs="Times New Roman"/>
          <w:b/>
          <w:b/>
          <w:color w:val="000000"/>
          <w:sz w:val="26"/>
          <w:szCs w:val="26"/>
        </w:rPr>
      </w:pPr>
      <w:bookmarkStart w:id="14" w:name="_qjjntjbe6xut"/>
      <w:bookmarkEnd w:id="14"/>
      <w:r>
        <w:rPr>
          <w:rFonts w:eastAsia="Times New Roman" w:cs="Times New Roman" w:ascii="Times New Roman" w:hAnsi="Times New Roman"/>
          <w:b/>
          <w:color w:val="000000"/>
          <w:sz w:val="26"/>
          <w:szCs w:val="26"/>
        </w:rPr>
        <w:t>13.3.4 Logging</w:t>
      </w:r>
    </w:p>
    <w:p>
      <w:pPr>
        <w:pStyle w:val="Normal1"/>
        <w:spacing w:lineRule="auto" w:line="276" w:before="240" w:after="24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All data destruction shall be logged and confirmed.</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Heading3"/>
        <w:keepNext w:val="false"/>
        <w:keepLines w:val="false"/>
        <w:spacing w:lineRule="auto" w:line="276" w:before="280" w:after="80"/>
        <w:ind w:left="1440" w:hanging="0"/>
        <w:rPr>
          <w:rFonts w:ascii="Times New Roman" w:hAnsi="Times New Roman" w:eastAsia="Times New Roman" w:cs="Times New Roman"/>
          <w:b/>
          <w:b/>
          <w:color w:val="000000"/>
          <w:sz w:val="26"/>
          <w:szCs w:val="26"/>
        </w:rPr>
      </w:pPr>
      <w:bookmarkStart w:id="15" w:name="_5h5ft87x3k20"/>
      <w:bookmarkEnd w:id="15"/>
      <w:r>
        <w:rPr>
          <w:rFonts w:eastAsia="Times New Roman" w:cs="Times New Roman" w:ascii="Times New Roman" w:hAnsi="Times New Roman"/>
          <w:b/>
          <w:color w:val="000000"/>
          <w:sz w:val="26"/>
          <w:szCs w:val="26"/>
        </w:rPr>
        <w:t>13.3.5 Validation</w:t>
      </w:r>
    </w:p>
    <w:p>
      <w:pPr>
        <w:pStyle w:val="Normal1"/>
        <w:spacing w:lineRule="auto" w:line="276" w:before="240" w:after="24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organization will perform at least an annual inspection to ensure all data is being treated according to its classification, is retained in accordance with Organization policy, and disposed of in a secure and appropriate manner.</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color w:val="0B5394"/>
          <w:sz w:val="24"/>
          <w:szCs w:val="24"/>
        </w:rPr>
      </w:pPr>
      <w:r>
        <w:rPr>
          <w:rFonts w:eastAsia="Times New Roman" w:cs="Times New Roman" w:ascii="Times New Roman" w:hAnsi="Times New Roman"/>
          <w:color w:val="0B5394"/>
          <w:sz w:val="24"/>
          <w:szCs w:val="24"/>
        </w:rPr>
      </w:r>
    </w:p>
    <w:p>
      <w:pPr>
        <w:pStyle w:val="Normal1"/>
        <w:ind w:left="2160" w:hanging="0"/>
        <w:rPr>
          <w:rFonts w:ascii="Times New Roman" w:hAnsi="Times New Roman" w:eastAsia="Times New Roman" w:cs="Times New Roman"/>
          <w:sz w:val="24"/>
          <w:szCs w:val="24"/>
        </w:rPr>
      </w:pPr>
      <w:r>
        <w:rPr/>
      </w:r>
    </w:p>
    <w:sectPr>
      <w:headerReference w:type="default" r:id="rId2"/>
      <w:footerReference w:type="default" r:id="rId3"/>
      <w:type w:val="nextPage"/>
      <w:pgSz w:w="12240" w:h="15840"/>
      <w:pgMar w:left="720" w:right="720" w:gutter="0" w:header="720" w:top="1080" w:footer="720" w:bottom="108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2">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3">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4">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5">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6">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5</Pages>
  <Words>1067</Words>
  <Characters>5898</Characters>
  <CharactersWithSpaces>7881</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2024-03-26T16:23:30Z</dcterms:modified>
  <cp:revision>1</cp:revision>
  <dc:subject/>
  <dc:title/>
</cp:coreProperties>
</file>