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480" w:after="240"/>
        <w:jc w:val="center"/>
        <w:rPr>
          <w:rFonts w:ascii="Times New Roman" w:hAnsi="Times New Roman" w:eastAsia="Times New Roman" w:cs="Times New Roman"/>
          <w:b/>
          <w:b/>
          <w:color w:val="335B8A"/>
          <w:sz w:val="28"/>
          <w:szCs w:val="28"/>
        </w:rPr>
      </w:pPr>
      <w:r>
        <w:rPr>
          <w:rFonts w:eastAsia="Times New Roman" w:cs="Times New Roman" w:ascii="Times New Roman" w:hAnsi="Times New Roman"/>
          <w:b/>
          <w:color w:val="335B8A"/>
          <w:sz w:val="28"/>
          <w:szCs w:val="28"/>
        </w:rPr>
        <w:t>{Org_Logo}</w:t>
      </w:r>
    </w:p>
    <w:p>
      <w:pPr>
        <w:pStyle w:val="Normal1"/>
        <w:spacing w:lineRule="auto" w:line="240" w:before="240" w:after="0"/>
        <w:jc w:val="center"/>
        <w:rPr>
          <w:rFonts w:ascii="Times New Roman" w:hAnsi="Times New Roman" w:eastAsia="Times New Roman" w:cs="Times New Roman"/>
          <w:b/>
          <w:b/>
          <w:color w:val="335B8A"/>
          <w:sz w:val="28"/>
          <w:szCs w:val="28"/>
        </w:rPr>
      </w:pPr>
      <w:r>
        <w:rPr>
          <w:rFonts w:eastAsia="Times New Roman" w:cs="Times New Roman" w:ascii="Times New Roman" w:hAnsi="Times New Roman"/>
          <w:b/>
          <w:color w:val="335B8A"/>
          <w:sz w:val="28"/>
          <w:szCs w:val="28"/>
        </w:rPr>
        <w:t>Employee Training Policy</w:t>
      </w:r>
    </w:p>
    <w:p>
      <w:pPr>
        <w:pStyle w:val="Normal1"/>
        <w:spacing w:lineRule="auto" w:line="240" w:before="24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{Org_Name}</w:t>
      </w:r>
    </w:p>
    <w:p>
      <w:pPr>
        <w:pStyle w:val="Normal1"/>
        <w:spacing w:lineRule="auto" w:line="240" w:before="24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{Date_Code}</w:t>
      </w:r>
    </w:p>
    <w:p>
      <w:pPr>
        <w:pStyle w:val="Normal1"/>
        <w:spacing w:lineRule="auto" w:line="240" w:before="0" w:after="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 </w:t>
      </w:r>
    </w:p>
    <w:p>
      <w:pPr>
        <w:pStyle w:val="Normal1"/>
        <w:spacing w:lineRule="auto" w:line="240" w:before="0" w:after="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tbl>
      <w:tblPr>
        <w:tblStyle w:val="Table1"/>
        <w:tblW w:w="9330" w:type="dxa"/>
        <w:jc w:val="left"/>
        <w:tblInd w:w="1" w:type="dxa"/>
        <w:tblLayout w:type="fixed"/>
        <w:tblCellMar>
          <w:top w:w="0" w:type="dxa"/>
          <w:left w:w="100" w:type="dxa"/>
          <w:bottom w:w="0" w:type="dxa"/>
          <w:right w:w="100" w:type="dxa"/>
        </w:tblCellMar>
        <w:tblLook w:val="0600"/>
      </w:tblPr>
      <w:tblGrid>
        <w:gridCol w:w="2219"/>
        <w:gridCol w:w="7110"/>
      </w:tblGrid>
      <w:tr>
        <w:trPr>
          <w:trHeight w:val="420" w:hRule="atLeast"/>
        </w:trPr>
        <w:tc>
          <w:tcPr>
            <w:tcW w:w="2219" w:type="dxa"/>
            <w:tcBorders>
              <w:top w:val="single" w:sz="10" w:space="0" w:color="878787"/>
              <w:left w:val="single" w:sz="10" w:space="0" w:color="878787"/>
              <w:bottom w:val="single" w:sz="10" w:space="0" w:color="878787"/>
              <w:right w:val="single" w:sz="10" w:space="0" w:color="878787"/>
            </w:tcBorders>
          </w:tcPr>
          <w:p>
            <w:pPr>
              <w:pStyle w:val="Normal1"/>
              <w:widowControl w:val="false"/>
              <w:spacing w:lineRule="auto" w:line="240" w:before="100" w:after="0"/>
              <w:ind w:left="300" w:hanging="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ISMS No.</w:t>
            </w:r>
          </w:p>
        </w:tc>
        <w:tc>
          <w:tcPr>
            <w:tcW w:w="7110" w:type="dxa"/>
            <w:tcBorders>
              <w:top w:val="single" w:sz="10" w:space="0" w:color="878787"/>
              <w:bottom w:val="single" w:sz="10" w:space="0" w:color="878787"/>
              <w:right w:val="single" w:sz="10" w:space="0" w:color="878787"/>
            </w:tcBorders>
          </w:tcPr>
          <w:p>
            <w:pPr>
              <w:pStyle w:val="Normal1"/>
              <w:widowControl w:val="false"/>
              <w:spacing w:lineRule="auto" w:line="240" w:before="100" w:after="0"/>
              <w:ind w:left="2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POL-15</w:t>
            </w:r>
          </w:p>
        </w:tc>
      </w:tr>
      <w:tr>
        <w:trPr>
          <w:trHeight w:val="450" w:hRule="atLeast"/>
        </w:trPr>
        <w:tc>
          <w:tcPr>
            <w:tcW w:w="2219" w:type="dxa"/>
            <w:tcBorders>
              <w:left w:val="single" w:sz="10" w:space="0" w:color="878787"/>
              <w:bottom w:val="single" w:sz="10" w:space="0" w:color="878787"/>
              <w:right w:val="single" w:sz="10" w:space="0" w:color="878787"/>
            </w:tcBorders>
          </w:tcPr>
          <w:p>
            <w:pPr>
              <w:pStyle w:val="Normal1"/>
              <w:widowControl w:val="false"/>
              <w:spacing w:lineRule="auto" w:line="240" w:before="100" w:after="0"/>
              <w:ind w:left="300" w:hanging="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Title</w:t>
            </w:r>
          </w:p>
        </w:tc>
        <w:tc>
          <w:tcPr>
            <w:tcW w:w="7110" w:type="dxa"/>
            <w:tcBorders>
              <w:bottom w:val="single" w:sz="10" w:space="0" w:color="878787"/>
              <w:right w:val="single" w:sz="10" w:space="0" w:color="878787"/>
            </w:tcBorders>
          </w:tcPr>
          <w:p>
            <w:pPr>
              <w:pStyle w:val="Normal1"/>
              <w:widowControl w:val="false"/>
              <w:spacing w:lineRule="auto" w:line="240" w:before="100" w:after="240"/>
              <w:ind w:left="14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Employee Training Policy</w:t>
            </w:r>
          </w:p>
        </w:tc>
      </w:tr>
      <w:tr>
        <w:trPr>
          <w:trHeight w:val="420" w:hRule="atLeast"/>
        </w:trPr>
        <w:tc>
          <w:tcPr>
            <w:tcW w:w="2219" w:type="dxa"/>
            <w:tcBorders>
              <w:left w:val="single" w:sz="10" w:space="0" w:color="878787"/>
              <w:bottom w:val="single" w:sz="10" w:space="0" w:color="878787"/>
              <w:right w:val="single" w:sz="10" w:space="0" w:color="878787"/>
            </w:tcBorders>
          </w:tcPr>
          <w:p>
            <w:pPr>
              <w:pStyle w:val="Normal1"/>
              <w:widowControl w:val="false"/>
              <w:spacing w:lineRule="auto" w:line="240" w:before="100" w:after="0"/>
              <w:ind w:left="300" w:hanging="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Revision</w:t>
            </w:r>
          </w:p>
        </w:tc>
        <w:tc>
          <w:tcPr>
            <w:tcW w:w="7110" w:type="dxa"/>
            <w:tcBorders>
              <w:bottom w:val="single" w:sz="10" w:space="0" w:color="878787"/>
              <w:right w:val="single" w:sz="10" w:space="0" w:color="878787"/>
            </w:tcBorders>
          </w:tcPr>
          <w:p>
            <w:pPr>
              <w:pStyle w:val="Normal1"/>
              <w:widowControl w:val="false"/>
              <w:spacing w:lineRule="auto" w:line="240" w:before="100" w:after="0"/>
              <w:ind w:left="2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tc>
      </w:tr>
      <w:tr>
        <w:trPr>
          <w:trHeight w:val="420" w:hRule="atLeast"/>
        </w:trPr>
        <w:tc>
          <w:tcPr>
            <w:tcW w:w="2219" w:type="dxa"/>
            <w:tcBorders>
              <w:left w:val="single" w:sz="10" w:space="0" w:color="878787"/>
              <w:bottom w:val="single" w:sz="10" w:space="0" w:color="878787"/>
              <w:right w:val="single" w:sz="10" w:space="0" w:color="878787"/>
            </w:tcBorders>
          </w:tcPr>
          <w:p>
            <w:pPr>
              <w:pStyle w:val="Normal1"/>
              <w:widowControl w:val="false"/>
              <w:spacing w:lineRule="auto" w:line="240" w:before="100" w:after="0"/>
              <w:ind w:left="300" w:hanging="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Effective Date</w:t>
            </w:r>
          </w:p>
        </w:tc>
        <w:tc>
          <w:tcPr>
            <w:tcW w:w="7110" w:type="dxa"/>
            <w:tcBorders>
              <w:bottom w:val="single" w:sz="10" w:space="0" w:color="878787"/>
              <w:right w:val="single" w:sz="10" w:space="0" w:color="878787"/>
            </w:tcBorders>
          </w:tcPr>
          <w:p>
            <w:pPr>
              <w:pStyle w:val="Normal1"/>
              <w:widowControl w:val="false"/>
              <w:spacing w:lineRule="auto" w:line="240" w:before="100" w:after="0"/>
              <w:ind w:left="2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tc>
      </w:tr>
    </w:tbl>
    <w:p>
      <w:pPr>
        <w:pStyle w:val="Normal1"/>
        <w:spacing w:lineRule="auto" w:line="240" w:before="240" w:after="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 </w:t>
      </w:r>
    </w:p>
    <w:p>
      <w:pPr>
        <w:pStyle w:val="Normal1"/>
        <w:spacing w:lineRule="auto" w:line="240" w:before="0" w:after="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 </w:t>
      </w:r>
    </w:p>
    <w:tbl>
      <w:tblPr>
        <w:tblStyle w:val="Table2"/>
        <w:tblW w:w="9315" w:type="dxa"/>
        <w:jc w:val="left"/>
        <w:tblInd w:w="1" w:type="dxa"/>
        <w:tblLayout w:type="fixed"/>
        <w:tblCellMar>
          <w:top w:w="0" w:type="dxa"/>
          <w:left w:w="100" w:type="dxa"/>
          <w:bottom w:w="0" w:type="dxa"/>
          <w:right w:w="100" w:type="dxa"/>
        </w:tblCellMar>
        <w:tblLook w:val="0600"/>
      </w:tblPr>
      <w:tblGrid>
        <w:gridCol w:w="1275"/>
        <w:gridCol w:w="1755"/>
        <w:gridCol w:w="1860"/>
        <w:gridCol w:w="1620"/>
        <w:gridCol w:w="2805"/>
      </w:tblGrid>
      <w:tr>
        <w:trPr>
          <w:trHeight w:val="795" w:hRule="atLeast"/>
        </w:trPr>
        <w:tc>
          <w:tcPr>
            <w:tcW w:w="1275" w:type="dxa"/>
            <w:tcBorders>
              <w:top w:val="single" w:sz="10" w:space="0" w:color="878787"/>
              <w:left w:val="single" w:sz="10" w:space="0" w:color="878787"/>
              <w:bottom w:val="single" w:sz="10" w:space="0" w:color="878787"/>
              <w:right w:val="single" w:sz="10" w:space="0" w:color="878787"/>
            </w:tcBorders>
          </w:tcPr>
          <w:p>
            <w:pPr>
              <w:pStyle w:val="Normal1"/>
              <w:widowControl w:val="false"/>
              <w:spacing w:lineRule="auto" w:line="242" w:before="120" w:after="0"/>
              <w:ind w:left="0" w:hanging="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Revision No.</w:t>
            </w:r>
          </w:p>
        </w:tc>
        <w:tc>
          <w:tcPr>
            <w:tcW w:w="1755" w:type="dxa"/>
            <w:tcBorders>
              <w:top w:val="single" w:sz="10" w:space="0" w:color="878787"/>
              <w:bottom w:val="single" w:sz="10" w:space="0" w:color="878787"/>
              <w:right w:val="single" w:sz="10" w:space="0" w:color="878787"/>
            </w:tcBorders>
          </w:tcPr>
          <w:p>
            <w:pPr>
              <w:pStyle w:val="Normal1"/>
              <w:widowControl w:val="false"/>
              <w:spacing w:lineRule="auto" w:line="240" w:before="120" w:after="0"/>
              <w:ind w:left="380" w:hanging="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Revision Date</w:t>
            </w:r>
          </w:p>
        </w:tc>
        <w:tc>
          <w:tcPr>
            <w:tcW w:w="1860" w:type="dxa"/>
            <w:tcBorders>
              <w:top w:val="single" w:sz="10" w:space="0" w:color="878787"/>
              <w:bottom w:val="single" w:sz="10" w:space="0" w:color="878787"/>
              <w:right w:val="single" w:sz="10" w:space="0" w:color="878787"/>
            </w:tcBorders>
          </w:tcPr>
          <w:p>
            <w:pPr>
              <w:pStyle w:val="Normal1"/>
              <w:widowControl w:val="false"/>
              <w:spacing w:lineRule="auto" w:line="240" w:before="120" w:after="0"/>
              <w:ind w:left="420" w:hanging="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Reviewed by</w:t>
            </w:r>
          </w:p>
        </w:tc>
        <w:tc>
          <w:tcPr>
            <w:tcW w:w="1620" w:type="dxa"/>
            <w:tcBorders>
              <w:top w:val="single" w:sz="10" w:space="0" w:color="878787"/>
              <w:bottom w:val="single" w:sz="10" w:space="0" w:color="878787"/>
              <w:right w:val="single" w:sz="10" w:space="0" w:color="878787"/>
            </w:tcBorders>
          </w:tcPr>
          <w:p>
            <w:pPr>
              <w:pStyle w:val="Normal1"/>
              <w:widowControl w:val="false"/>
              <w:spacing w:lineRule="auto" w:line="240" w:before="120" w:after="0"/>
              <w:ind w:left="300" w:hanging="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Approved by</w:t>
            </w:r>
          </w:p>
        </w:tc>
        <w:tc>
          <w:tcPr>
            <w:tcW w:w="2805" w:type="dxa"/>
            <w:tcBorders>
              <w:top w:val="single" w:sz="10" w:space="0" w:color="878787"/>
              <w:bottom w:val="single" w:sz="10" w:space="0" w:color="878787"/>
              <w:right w:val="single" w:sz="10" w:space="0" w:color="878787"/>
            </w:tcBorders>
          </w:tcPr>
          <w:p>
            <w:pPr>
              <w:pStyle w:val="Normal1"/>
              <w:widowControl w:val="false"/>
              <w:spacing w:lineRule="auto" w:line="240" w:before="120" w:after="0"/>
              <w:ind w:left="680" w:hanging="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Revision Description</w:t>
            </w:r>
          </w:p>
        </w:tc>
      </w:tr>
      <w:tr>
        <w:trPr>
          <w:trHeight w:val="765" w:hRule="atLeast"/>
        </w:trPr>
        <w:tc>
          <w:tcPr>
            <w:tcW w:w="1275" w:type="dxa"/>
            <w:tcBorders>
              <w:left w:val="single" w:sz="10" w:space="0" w:color="878787"/>
              <w:bottom w:val="single" w:sz="10" w:space="0" w:color="878787"/>
              <w:right w:val="single" w:sz="10" w:space="0" w:color="878787"/>
            </w:tcBorders>
          </w:tcPr>
          <w:p>
            <w:pPr>
              <w:pStyle w:val="Normal1"/>
              <w:widowControl w:val="false"/>
              <w:spacing w:lineRule="auto" w:line="240" w:before="100" w:after="0"/>
              <w:ind w:left="140" w:right="360" w:hanging="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1.0</w:t>
            </w:r>
          </w:p>
        </w:tc>
        <w:tc>
          <w:tcPr>
            <w:tcW w:w="1755" w:type="dxa"/>
            <w:tcBorders>
              <w:bottom w:val="single" w:sz="10" w:space="0" w:color="878787"/>
              <w:right w:val="single" w:sz="10" w:space="0" w:color="878787"/>
            </w:tcBorders>
          </w:tcPr>
          <w:p>
            <w:pPr>
              <w:pStyle w:val="Normal1"/>
              <w:widowControl w:val="false"/>
              <w:spacing w:lineRule="auto" w:line="240" w:before="240" w:after="240"/>
              <w:ind w:left="14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tc>
        <w:tc>
          <w:tcPr>
            <w:tcW w:w="1860" w:type="dxa"/>
            <w:tcBorders>
              <w:bottom w:val="single" w:sz="10" w:space="0" w:color="878787"/>
              <w:right w:val="single" w:sz="10" w:space="0" w:color="878787"/>
            </w:tcBorders>
          </w:tcPr>
          <w:p>
            <w:pPr>
              <w:pStyle w:val="Normal1"/>
              <w:widowControl w:val="false"/>
              <w:spacing w:lineRule="auto" w:line="240" w:before="240" w:after="240"/>
              <w:ind w:left="14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tc>
        <w:tc>
          <w:tcPr>
            <w:tcW w:w="1620" w:type="dxa"/>
            <w:tcBorders>
              <w:bottom w:val="single" w:sz="10" w:space="0" w:color="878787"/>
              <w:right w:val="single" w:sz="10" w:space="0" w:color="878787"/>
            </w:tcBorders>
          </w:tcPr>
          <w:p>
            <w:pPr>
              <w:pStyle w:val="Normal1"/>
              <w:widowControl w:val="false"/>
              <w:spacing w:lineRule="auto" w:line="240" w:before="240" w:after="240"/>
              <w:ind w:left="14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tc>
        <w:tc>
          <w:tcPr>
            <w:tcW w:w="2805" w:type="dxa"/>
            <w:tcBorders>
              <w:bottom w:val="single" w:sz="10" w:space="0" w:color="878787"/>
              <w:right w:val="single" w:sz="10" w:space="0" w:color="878787"/>
            </w:tcBorders>
          </w:tcPr>
          <w:p>
            <w:pPr>
              <w:pStyle w:val="Normal1"/>
              <w:widowControl w:val="false"/>
              <w:spacing w:lineRule="auto" w:line="242" w:before="100" w:after="0"/>
              <w:ind w:left="2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tc>
      </w:tr>
    </w:tbl>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480" w:after="240"/>
        <w:jc w:val="center"/>
        <w:rPr>
          <w:rFonts w:ascii="Times New Roman" w:hAnsi="Times New Roman" w:eastAsia="Times New Roman" w:cs="Times New Roman"/>
          <w:b/>
          <w:b/>
          <w:color w:val="335B8A"/>
          <w:sz w:val="24"/>
          <w:szCs w:val="24"/>
        </w:rPr>
      </w:pPr>
      <w:r>
        <w:rPr>
          <w:rFonts w:eastAsia="Times New Roman" w:cs="Times New Roman" w:ascii="Times New Roman" w:hAnsi="Times New Roman"/>
          <w:b/>
          <w:color w:val="335B8A"/>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00"/>
        <w:jc w:val="center"/>
        <w:rPr>
          <w:rFonts w:ascii="Times New Roman" w:hAnsi="Times New Roman" w:eastAsia="Times New Roman" w:cs="Times New Roman"/>
          <w:sz w:val="28"/>
          <w:szCs w:val="28"/>
        </w:rPr>
      </w:pPr>
      <w:r>
        <w:rPr>
          <w:rFonts w:eastAsia="Times New Roman" w:cs="Times New Roman" w:ascii="Times New Roman" w:hAnsi="Times New Roman"/>
          <w:b/>
          <w:sz w:val="28"/>
          <w:szCs w:val="28"/>
        </w:rPr>
        <w:t>Table of Content</w:t>
      </w:r>
    </w:p>
    <w:p>
      <w:pPr>
        <w:pStyle w:val="Normal1"/>
        <w:spacing w:lineRule="auto" w:line="240" w:before="60" w:after="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15.1 Purpose  </w:t>
      </w:r>
      <w:r>
        <w:rPr>
          <w:rFonts w:eastAsia="Times New Roman" w:cs="Times New Roman" w:ascii="Times New Roman" w:hAnsi="Times New Roman"/>
          <w:sz w:val="24"/>
          <w:szCs w:val="24"/>
        </w:rPr>
        <w:t xml:space="preserve">                                                                                                                                          </w:t>
        <w:tab/>
      </w:r>
      <w:r>
        <w:rPr>
          <w:rFonts w:eastAsia="Times New Roman" w:cs="Times New Roman" w:ascii="Times New Roman" w:hAnsi="Times New Roman"/>
          <w:b/>
          <w:sz w:val="24"/>
          <w:szCs w:val="24"/>
        </w:rPr>
        <w:t>3</w:t>
      </w:r>
    </w:p>
    <w:p>
      <w:pPr>
        <w:pStyle w:val="Normal1"/>
        <w:spacing w:lineRule="auto" w:line="240" w:before="60" w:after="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15.2 Scope                                                                                                                                                     </w:t>
        <w:tab/>
        <w:t>3</w:t>
      </w:r>
    </w:p>
    <w:p>
      <w:pPr>
        <w:pStyle w:val="Normal1"/>
        <w:spacing w:lineRule="auto" w:line="240" w:before="60" w:after="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15.3 Applicability                                                                                                               </w:t>
        <w:tab/>
        <w:t xml:space="preserve">                        3</w:t>
      </w:r>
    </w:p>
    <w:p>
      <w:pPr>
        <w:pStyle w:val="Normal1"/>
        <w:spacing w:lineRule="auto" w:line="240" w:before="60" w:after="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15.4 Policy Training                                                                                                                                   </w:t>
        <w:tab/>
        <w:t>3</w:t>
      </w:r>
    </w:p>
    <w:p>
      <w:pPr>
        <w:pStyle w:val="Normal1"/>
        <w:spacing w:lineRule="auto" w:line="240" w:before="60" w:after="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15.5 Security Awareness Training                                                                                                          </w:t>
        <w:tab/>
        <w:t>4</w:t>
      </w:r>
    </w:p>
    <w:p>
      <w:pPr>
        <w:pStyle w:val="Normal1"/>
        <w:spacing w:lineRule="auto" w:line="240" w:before="60" w:after="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15.6 Role-based Security Training                                                                                                     </w:t>
        <w:tab/>
        <w:t>4</w:t>
      </w:r>
    </w:p>
    <w:p>
      <w:pPr>
        <w:pStyle w:val="Normal1"/>
        <w:spacing w:lineRule="auto" w:line="240" w:before="60" w:after="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15.7 Suspicious Communications and Anomalous System Behaviour                                               </w:t>
        <w:tab/>
        <w:t>4</w:t>
      </w:r>
    </w:p>
    <w:p>
      <w:pPr>
        <w:pStyle w:val="Normal1"/>
        <w:spacing w:lineRule="auto" w:line="240" w:before="60" w:after="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15.8 Training Records                                                                                                                              </w:t>
        <w:tab/>
        <w:t>5</w:t>
      </w:r>
    </w:p>
    <w:p>
      <w:pPr>
        <w:pStyle w:val="Normal1"/>
        <w:spacing w:lineRule="auto" w:line="240" w:before="60" w:after="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15.9 Training Frequency                                                                                                                        </w:t>
        <w:tab/>
        <w:t>5</w:t>
      </w:r>
    </w:p>
    <w:p>
      <w:pPr>
        <w:pStyle w:val="Normal1"/>
        <w:spacing w:lineRule="auto" w:line="240" w:before="60" w:after="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15.10 Compliance                                                                                                                                 </w:t>
        <w:tab/>
        <w:t>5</w:t>
      </w:r>
    </w:p>
    <w:p>
      <w:pPr>
        <w:pStyle w:val="Normal1"/>
        <w:spacing w:lineRule="auto" w:line="240" w:before="60" w:after="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15.11 Policy Exceptions                                                                                                                          </w:t>
        <w:tab/>
        <w:t>5</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Heading1"/>
        <w:keepNext w:val="false"/>
        <w:keepLines w:val="false"/>
        <w:spacing w:lineRule="auto" w:line="240" w:before="480" w:after="0"/>
        <w:rPr>
          <w:rFonts w:ascii="Times New Roman" w:hAnsi="Times New Roman" w:eastAsia="Times New Roman" w:cs="Times New Roman"/>
          <w:b/>
          <w:b/>
          <w:sz w:val="26"/>
          <w:szCs w:val="26"/>
        </w:rPr>
      </w:pPr>
      <w:bookmarkStart w:id="0" w:name="_fqawp1uo92qx"/>
      <w:bookmarkEnd w:id="0"/>
      <w:r>
        <w:rPr>
          <w:rFonts w:eastAsia="Times New Roman" w:cs="Times New Roman" w:ascii="Times New Roman" w:hAnsi="Times New Roman"/>
          <w:b/>
          <w:sz w:val="26"/>
          <w:szCs w:val="26"/>
        </w:rPr>
        <w:t>15.1 Purpose</w:t>
      </w:r>
    </w:p>
    <w:p>
      <w:pPr>
        <w:pStyle w:val="Normal1"/>
        <w:spacing w:lineRule="auto" w:line="240" w:before="240" w:after="200"/>
        <w:ind w:left="144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The organization is committed to developing a strong learning culture in which everyone is able to achieve their full potential, which will increase job satisfaction and support career development. As such, the organization is committed to providing excellent training and development opportunities for its staff, which meet the operational and strategic objectives of the organization, as well as individuals’ own learning aspirations and needs.</w:t>
      </w:r>
    </w:p>
    <w:p>
      <w:pPr>
        <w:pStyle w:val="Heading1"/>
        <w:keepNext w:val="false"/>
        <w:keepLines w:val="false"/>
        <w:spacing w:lineRule="auto" w:line="276" w:before="480" w:after="120"/>
        <w:rPr>
          <w:rFonts w:ascii="Times New Roman" w:hAnsi="Times New Roman" w:eastAsia="Times New Roman" w:cs="Times New Roman"/>
          <w:b/>
          <w:b/>
          <w:sz w:val="26"/>
          <w:szCs w:val="26"/>
        </w:rPr>
      </w:pPr>
      <w:bookmarkStart w:id="1" w:name="_8odel0y9h8hz"/>
      <w:bookmarkEnd w:id="1"/>
      <w:r>
        <w:rPr>
          <w:rFonts w:eastAsia="Times New Roman" w:cs="Times New Roman" w:ascii="Times New Roman" w:hAnsi="Times New Roman"/>
          <w:b/>
          <w:sz w:val="26"/>
          <w:szCs w:val="26"/>
        </w:rPr>
        <w:t>15.2 Scope</w:t>
      </w:r>
    </w:p>
    <w:p>
      <w:pPr>
        <w:pStyle w:val="Normal1"/>
        <w:spacing w:lineRule="auto" w:line="276" w:before="240" w:after="240"/>
        <w:ind w:left="144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The organization is committed to ensuring that all members of staff are provided with the training they need to perform their jobs safely at all times. As such, the organization will maintain and keep under review a list of training that is mandatory for some or all staff members and ensure that appropriate training is available at the required intervals.</w:t>
      </w:r>
    </w:p>
    <w:p>
      <w:pPr>
        <w:pStyle w:val="Heading1"/>
        <w:keepNext w:val="false"/>
        <w:keepLines w:val="false"/>
        <w:spacing w:lineRule="auto" w:line="240" w:before="480" w:after="320"/>
        <w:rPr>
          <w:rFonts w:ascii="Times New Roman" w:hAnsi="Times New Roman" w:eastAsia="Times New Roman" w:cs="Times New Roman"/>
          <w:b/>
          <w:b/>
          <w:sz w:val="26"/>
          <w:szCs w:val="26"/>
        </w:rPr>
      </w:pPr>
      <w:bookmarkStart w:id="2" w:name="_kp8sm35zzi1n"/>
      <w:bookmarkEnd w:id="2"/>
      <w:r>
        <w:rPr>
          <w:rFonts w:eastAsia="Times New Roman" w:cs="Times New Roman" w:ascii="Times New Roman" w:hAnsi="Times New Roman"/>
          <w:b/>
          <w:sz w:val="26"/>
          <w:szCs w:val="26"/>
        </w:rPr>
        <w:t>15.3 Applicability</w:t>
      </w:r>
    </w:p>
    <w:p>
      <w:pPr>
        <w:pStyle w:val="Normal1"/>
        <w:spacing w:lineRule="auto" w:line="276" w:before="160" w:after="240"/>
        <w:ind w:left="1440" w:hanging="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Upon the hiring of a new employee or contractor, HR will determine which subsets of policies will apply to that individual. The individual will have five working days to read the assigned policies. The following will be logged in the “Policy Training Policy” Ledger:</w:t>
      </w:r>
    </w:p>
    <w:p>
      <w:pPr>
        <w:pStyle w:val="Normal1"/>
        <w:numPr>
          <w:ilvl w:val="0"/>
          <w:numId w:val="2"/>
        </w:numPr>
        <w:spacing w:lineRule="auto" w:line="276" w:before="160" w:afterAutospacing="0" w:after="0"/>
        <w:ind w:left="2160" w:hanging="360"/>
        <w:jc w:val="both"/>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Completion data</w:t>
      </w:r>
    </w:p>
    <w:p>
      <w:pPr>
        <w:pStyle w:val="Normal1"/>
        <w:numPr>
          <w:ilvl w:val="0"/>
          <w:numId w:val="2"/>
        </w:numPr>
        <w:spacing w:lineRule="auto" w:line="276" w:beforeAutospacing="0" w:before="0" w:afterAutospacing="0" w:after="0"/>
        <w:ind w:left="2160" w:hanging="360"/>
        <w:jc w:val="both"/>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Policy</w:t>
      </w:r>
    </w:p>
    <w:p>
      <w:pPr>
        <w:pStyle w:val="Normal1"/>
        <w:numPr>
          <w:ilvl w:val="0"/>
          <w:numId w:val="2"/>
        </w:numPr>
        <w:spacing w:lineRule="auto" w:line="276" w:beforeAutospacing="0" w:before="0" w:after="240"/>
        <w:ind w:left="2160" w:hanging="360"/>
        <w:jc w:val="both"/>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Assigner</w:t>
      </w:r>
    </w:p>
    <w:p>
      <w:pPr>
        <w:pStyle w:val="Heading1"/>
        <w:keepNext w:val="false"/>
        <w:keepLines w:val="false"/>
        <w:spacing w:lineRule="auto" w:line="240" w:before="400" w:after="320"/>
        <w:rPr>
          <w:rFonts w:ascii="Times New Roman" w:hAnsi="Times New Roman" w:eastAsia="Times New Roman" w:cs="Times New Roman"/>
          <w:b/>
          <w:b/>
          <w:sz w:val="26"/>
          <w:szCs w:val="26"/>
        </w:rPr>
      </w:pPr>
      <w:bookmarkStart w:id="3" w:name="_16348g99r033"/>
      <w:bookmarkEnd w:id="3"/>
      <w:r>
        <w:rPr>
          <w:rFonts w:eastAsia="Times New Roman" w:cs="Times New Roman" w:ascii="Times New Roman" w:hAnsi="Times New Roman"/>
          <w:b/>
          <w:sz w:val="26"/>
          <w:szCs w:val="26"/>
        </w:rPr>
        <w:t>15.4 Policy Training</w:t>
      </w:r>
    </w:p>
    <w:p>
      <w:pPr>
        <w:pStyle w:val="Normal1"/>
        <w:numPr>
          <w:ilvl w:val="0"/>
          <w:numId w:val="3"/>
        </w:numPr>
        <w:spacing w:lineRule="auto" w:line="276" w:before="160" w:afterAutospacing="0" w:after="0"/>
        <w:ind w:left="2160" w:hanging="360"/>
        <w:jc w:val="both"/>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This policy addresses policy education requirements for employees and contractors.</w:t>
      </w:r>
    </w:p>
    <w:p>
      <w:pPr>
        <w:pStyle w:val="Normal1"/>
        <w:numPr>
          <w:ilvl w:val="0"/>
          <w:numId w:val="3"/>
        </w:numPr>
        <w:spacing w:lineRule="auto" w:line="276" w:beforeAutospacing="0" w:before="0" w:afterAutospacing="0" w:after="0"/>
        <w:ind w:left="2160" w:hanging="360"/>
        <w:jc w:val="both"/>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This policy applies to all full-time employees, part-time employees, and contractors. Adherence to assigned policies is binding under their Employment Offer Letter and/or Independent Contractor Agreement.</w:t>
      </w:r>
    </w:p>
    <w:p>
      <w:pPr>
        <w:pStyle w:val="Normal1"/>
        <w:numPr>
          <w:ilvl w:val="0"/>
          <w:numId w:val="3"/>
        </w:numPr>
        <w:spacing w:lineRule="auto" w:line="276" w:beforeAutospacing="0" w:before="0" w:afterAutospacing="0" w:after="0"/>
        <w:ind w:left="2160" w:hanging="360"/>
        <w:jc w:val="both"/>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The organization implements policies and procedures to maintain compliance and integrity of data. The Security Officer and Privacy Officer are responsible for maintaining policies and procedures and assuring all organization workforce members, business associates, customers, and partners are adherent to all applicable policies.</w:t>
      </w:r>
    </w:p>
    <w:p>
      <w:pPr>
        <w:pStyle w:val="Normal1"/>
        <w:numPr>
          <w:ilvl w:val="0"/>
          <w:numId w:val="3"/>
        </w:numPr>
        <w:spacing w:lineRule="auto" w:line="276" w:beforeAutospacing="0" w:before="0" w:afterAutospacing="0" w:after="0"/>
        <w:ind w:left="2160" w:hanging="360"/>
        <w:jc w:val="both"/>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Policies are made accessible to the organization's workforce members based on the employee's role.</w:t>
      </w:r>
    </w:p>
    <w:p>
      <w:pPr>
        <w:pStyle w:val="Normal1"/>
        <w:numPr>
          <w:ilvl w:val="0"/>
          <w:numId w:val="3"/>
        </w:numPr>
        <w:spacing w:lineRule="auto" w:line="276" w:beforeAutospacing="0" w:before="0" w:afterAutospacing="0" w:after="0"/>
        <w:ind w:left="2160" w:hanging="360"/>
        <w:jc w:val="both"/>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All policies, associated documentation, and evidence are maintained by the organization, along with version history.</w:t>
      </w:r>
    </w:p>
    <w:p>
      <w:pPr>
        <w:pStyle w:val="Normal1"/>
        <w:numPr>
          <w:ilvl w:val="0"/>
          <w:numId w:val="3"/>
        </w:numPr>
        <w:spacing w:lineRule="auto" w:line="276" w:beforeAutospacing="0" w:before="0" w:after="0"/>
        <w:ind w:left="2160" w:hanging="360"/>
        <w:jc w:val="both"/>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The policies are reviewed and audited annually. Issues that come up as part of this process are reviewed by the organization's management to ensure all risks and potential gaps are mitigated and/or fully addressed.</w:t>
      </w:r>
    </w:p>
    <w:p>
      <w:pPr>
        <w:pStyle w:val="Normal1"/>
        <w:spacing w:lineRule="auto" w:line="276" w:before="160" w:after="0"/>
        <w:ind w:left="1440" w:hanging="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This policy is applicable to all departments and users of IT resources and assets.</w:t>
      </w:r>
    </w:p>
    <w:p>
      <w:pPr>
        <w:pStyle w:val="Normal1"/>
        <w:spacing w:lineRule="auto" w:line="276" w:before="160" w:after="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Heading1"/>
        <w:keepNext w:val="false"/>
        <w:keepLines w:val="false"/>
        <w:spacing w:lineRule="auto" w:line="240" w:before="160" w:after="320"/>
        <w:jc w:val="both"/>
        <w:rPr>
          <w:rFonts w:ascii="Times New Roman" w:hAnsi="Times New Roman" w:eastAsia="Times New Roman" w:cs="Times New Roman"/>
          <w:b/>
          <w:b/>
          <w:sz w:val="26"/>
          <w:szCs w:val="26"/>
        </w:rPr>
      </w:pPr>
      <w:bookmarkStart w:id="4" w:name="_iozwp6whawkt"/>
      <w:bookmarkEnd w:id="4"/>
      <w:r>
        <w:rPr>
          <w:rFonts w:eastAsia="Times New Roman" w:cs="Times New Roman" w:ascii="Times New Roman" w:hAnsi="Times New Roman"/>
          <w:b/>
          <w:sz w:val="26"/>
          <w:szCs w:val="26"/>
        </w:rPr>
        <w:t>15.5 Security Awareness Training</w:t>
      </w:r>
    </w:p>
    <w:p>
      <w:pPr>
        <w:pStyle w:val="Normal1"/>
        <w:spacing w:lineRule="auto" w:line="276" w:before="160" w:after="240"/>
        <w:ind w:left="1440" w:hanging="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organization  shall:</w:t>
      </w:r>
    </w:p>
    <w:p>
      <w:pPr>
        <w:pStyle w:val="Normal1"/>
        <w:numPr>
          <w:ilvl w:val="0"/>
          <w:numId w:val="1"/>
        </w:numPr>
        <w:spacing w:lineRule="auto" w:line="276" w:before="160" w:after="240"/>
        <w:ind w:left="2160" w:hanging="360"/>
        <w:jc w:val="both"/>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Schedule security awareness training as part of initial training for new users.</w:t>
      </w:r>
    </w:p>
    <w:p>
      <w:pPr>
        <w:pStyle w:val="Normal1"/>
        <w:spacing w:lineRule="auto" w:line="276"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Schedule security awareness training when required by information system changes and then every year thereafter.</w:t>
      </w:r>
    </w:p>
    <w:p>
      <w:pPr>
        <w:pStyle w:val="Normal1"/>
        <w:spacing w:lineRule="auto" w:line="276"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IT shall determine the appropriate content of security awareness training and security awareness techniques based on the specific organizational requirements and the information systems to which personnel have authorized access. The content shall:</w:t>
      </w:r>
    </w:p>
    <w:p>
      <w:pPr>
        <w:pStyle w:val="Normal1"/>
        <w:spacing w:lineRule="auto" w:line="276"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Include a basic understanding of the need for information security and user actions to maintain security and to respond to suspected security incidents.</w:t>
      </w:r>
    </w:p>
    <w:p>
      <w:pPr>
        <w:pStyle w:val="Normal1"/>
        <w:spacing w:lineRule="auto" w:line="276"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Address awareness of the need for operations security.</w:t>
      </w:r>
    </w:p>
    <w:p>
      <w:pPr>
        <w:pStyle w:val="Heading1"/>
        <w:keepNext w:val="false"/>
        <w:keepLines w:val="false"/>
        <w:spacing w:lineRule="auto" w:line="240" w:before="400" w:after="320"/>
        <w:rPr>
          <w:rFonts w:ascii="Times New Roman" w:hAnsi="Times New Roman" w:eastAsia="Times New Roman" w:cs="Times New Roman"/>
          <w:b/>
          <w:b/>
          <w:sz w:val="26"/>
          <w:szCs w:val="26"/>
        </w:rPr>
      </w:pPr>
      <w:bookmarkStart w:id="5" w:name="_6hq4lgid3ipr"/>
      <w:bookmarkEnd w:id="5"/>
      <w:r>
        <w:rPr>
          <w:rFonts w:eastAsia="Times New Roman" w:cs="Times New Roman" w:ascii="Times New Roman" w:hAnsi="Times New Roman"/>
          <w:b/>
          <w:sz w:val="26"/>
          <w:szCs w:val="26"/>
        </w:rPr>
        <w:t>15.6 Role-based Security Training</w:t>
      </w:r>
    </w:p>
    <w:p>
      <w:pPr>
        <w:pStyle w:val="Normal1"/>
        <w:spacing w:lineRule="auto" w:line="276" w:before="160" w:after="240"/>
        <w:ind w:left="1440" w:hanging="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organization shall determine the appropriate content of security training based on the assigned roles and responsibilities of personnel, regulatory requirements, and the information systems to which personnel have authorized access.</w:t>
      </w:r>
    </w:p>
    <w:p>
      <w:pPr>
        <w:pStyle w:val="Normal1"/>
        <w:numPr>
          <w:ilvl w:val="0"/>
          <w:numId w:val="4"/>
        </w:numPr>
        <w:spacing w:lineRule="auto" w:line="276" w:before="160" w:after="240"/>
        <w:ind w:left="2160" w:hanging="360"/>
        <w:jc w:val="both"/>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Provide role-based security training to personnel with assigned security roles and responsibilities:</w:t>
      </w:r>
    </w:p>
    <w:p>
      <w:pPr>
        <w:pStyle w:val="Normal1"/>
        <w:spacing w:lineRule="auto" w:line="276" w:before="240" w:after="240"/>
        <w:ind w:left="2520" w:hanging="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Before authorizing access to the information system or performing assigned duties.</w:t>
      </w:r>
    </w:p>
    <w:p>
      <w:pPr>
        <w:pStyle w:val="Normal1"/>
        <w:spacing w:lineRule="auto" w:line="276" w:before="240" w:after="240"/>
        <w:ind w:left="2520" w:hanging="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When required by the information system changes and [entity specified frequency] thereafter.</w:t>
      </w:r>
    </w:p>
    <w:p>
      <w:pPr>
        <w:pStyle w:val="Heading1"/>
        <w:keepNext w:val="false"/>
        <w:keepLines w:val="false"/>
        <w:spacing w:lineRule="auto" w:line="240" w:before="400" w:after="320"/>
        <w:rPr>
          <w:rFonts w:ascii="Times New Roman" w:hAnsi="Times New Roman" w:eastAsia="Times New Roman" w:cs="Times New Roman"/>
          <w:b/>
          <w:b/>
          <w:sz w:val="26"/>
          <w:szCs w:val="26"/>
        </w:rPr>
      </w:pPr>
      <w:bookmarkStart w:id="6" w:name="_xon0f28vlm7w"/>
      <w:bookmarkEnd w:id="6"/>
      <w:r>
        <w:rPr>
          <w:rFonts w:eastAsia="Times New Roman" w:cs="Times New Roman" w:ascii="Times New Roman" w:hAnsi="Times New Roman"/>
          <w:b/>
          <w:sz w:val="26"/>
          <w:szCs w:val="26"/>
        </w:rPr>
        <w:t>15.7 Suspicious Communications and Anomalous System Behaviour</w:t>
      </w:r>
    </w:p>
    <w:p>
      <w:pPr>
        <w:pStyle w:val="Normal1"/>
        <w:spacing w:lineRule="auto" w:line="276" w:before="160" w:after="240"/>
        <w:ind w:left="1440" w:hanging="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IT Department shall provide training to its specified staff on how to recognize suspicious communications and anomalous behavior in organizational information systems.</w:t>
      </w:r>
    </w:p>
    <w:p>
      <w:pPr>
        <w:pStyle w:val="Normal1"/>
        <w:spacing w:lineRule="auto" w:line="276" w:before="160" w:after="240"/>
        <w:ind w:left="1440" w:hanging="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76" w:before="160" w:after="240"/>
        <w:ind w:left="1440" w:hanging="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1"/>
        <w:keepNext w:val="false"/>
        <w:keepLines w:val="false"/>
        <w:spacing w:lineRule="auto" w:line="240" w:before="400" w:after="320"/>
        <w:rPr>
          <w:rFonts w:ascii="Times New Roman" w:hAnsi="Times New Roman" w:eastAsia="Times New Roman" w:cs="Times New Roman"/>
          <w:b/>
          <w:b/>
          <w:sz w:val="26"/>
          <w:szCs w:val="26"/>
        </w:rPr>
      </w:pPr>
      <w:bookmarkStart w:id="7" w:name="_f9h7omamxpnv"/>
      <w:bookmarkEnd w:id="7"/>
      <w:r>
        <w:rPr>
          <w:rFonts w:eastAsia="Times New Roman" w:cs="Times New Roman" w:ascii="Times New Roman" w:hAnsi="Times New Roman"/>
          <w:b/>
          <w:sz w:val="26"/>
          <w:szCs w:val="26"/>
        </w:rPr>
        <w:t>15.8 Training Records</w:t>
      </w:r>
    </w:p>
    <w:p>
      <w:pPr>
        <w:pStyle w:val="Heading1"/>
        <w:keepNext w:val="false"/>
        <w:keepLines w:val="false"/>
        <w:spacing w:lineRule="auto" w:line="240" w:before="400" w:after="320"/>
        <w:ind w:left="1440" w:hanging="0"/>
        <w:rPr>
          <w:rFonts w:ascii="Times New Roman" w:hAnsi="Times New Roman" w:eastAsia="Times New Roman" w:cs="Times New Roman"/>
          <w:sz w:val="24"/>
          <w:szCs w:val="24"/>
        </w:rPr>
      </w:pPr>
      <w:bookmarkStart w:id="8" w:name="_j3a7318sp85"/>
      <w:bookmarkEnd w:id="8"/>
      <w:r>
        <w:rPr>
          <w:rFonts w:eastAsia="Times New Roman" w:cs="Times New Roman" w:ascii="Times New Roman" w:hAnsi="Times New Roman"/>
          <w:sz w:val="24"/>
          <w:szCs w:val="24"/>
        </w:rPr>
        <w:t>The organization shall designate personnel to document and monitor individual information system security training activities, including basic security awareness training and specific information system security training.</w:t>
      </w:r>
    </w:p>
    <w:p>
      <w:pPr>
        <w:pStyle w:val="Heading1"/>
        <w:keepNext w:val="false"/>
        <w:keepLines w:val="false"/>
        <w:spacing w:lineRule="auto" w:line="276" w:before="160" w:after="120"/>
        <w:jc w:val="both"/>
        <w:rPr>
          <w:rFonts w:ascii="Times New Roman" w:hAnsi="Times New Roman" w:eastAsia="Times New Roman" w:cs="Times New Roman"/>
          <w:b/>
          <w:b/>
          <w:sz w:val="26"/>
          <w:szCs w:val="26"/>
        </w:rPr>
      </w:pPr>
      <w:bookmarkStart w:id="9" w:name="_gx7tnhbnmkid"/>
      <w:bookmarkEnd w:id="9"/>
      <w:r>
        <w:rPr>
          <w:rFonts w:eastAsia="Times New Roman" w:cs="Times New Roman" w:ascii="Times New Roman" w:hAnsi="Times New Roman"/>
          <w:b/>
          <w:sz w:val="26"/>
          <w:szCs w:val="26"/>
        </w:rPr>
        <w:t>15.9 Training Frequency</w:t>
      </w:r>
    </w:p>
    <w:p>
      <w:pPr>
        <w:pStyle w:val="Normal1"/>
        <w:spacing w:lineRule="auto" w:line="276" w:before="160" w:after="240"/>
        <w:ind w:left="1440" w:hanging="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organization shall provide training to all the employees whenever there is a change in the company's policies and at least annually thereafter.</w:t>
      </w:r>
    </w:p>
    <w:p>
      <w:pPr>
        <w:pStyle w:val="Heading1"/>
        <w:keepNext w:val="false"/>
        <w:keepLines w:val="false"/>
        <w:spacing w:lineRule="auto" w:line="240" w:before="160" w:after="320"/>
        <w:jc w:val="both"/>
        <w:rPr>
          <w:rFonts w:ascii="Times New Roman" w:hAnsi="Times New Roman" w:eastAsia="Times New Roman" w:cs="Times New Roman"/>
          <w:b/>
          <w:b/>
          <w:sz w:val="26"/>
          <w:szCs w:val="26"/>
        </w:rPr>
      </w:pPr>
      <w:bookmarkStart w:id="10" w:name="_khg335d0ax2"/>
      <w:bookmarkEnd w:id="10"/>
      <w:r>
        <w:rPr>
          <w:rFonts w:eastAsia="Times New Roman" w:cs="Times New Roman" w:ascii="Times New Roman" w:hAnsi="Times New Roman"/>
          <w:b/>
          <w:sz w:val="26"/>
          <w:szCs w:val="26"/>
        </w:rPr>
        <w:t>15.10 Compliance</w:t>
      </w:r>
    </w:p>
    <w:p>
      <w:pPr>
        <w:pStyle w:val="Normal1"/>
        <w:spacing w:lineRule="auto" w:line="276" w:before="160" w:after="240"/>
        <w:ind w:left="1440" w:hanging="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Employees who violate this policy may be subject to appropriate disciplinary action up to and including discharge, as well as both civil and criminal penalties. Non-employees, including, without limitation, contractors, may be subject to termination of contractual agreements, denial of access to IT resources, and other actions, as well as both civil and criminal penalties.</w:t>
      </w:r>
    </w:p>
    <w:p>
      <w:pPr>
        <w:pStyle w:val="Heading1"/>
        <w:keepNext w:val="false"/>
        <w:keepLines w:val="false"/>
        <w:spacing w:lineRule="auto" w:line="240" w:before="160" w:after="320"/>
        <w:jc w:val="both"/>
        <w:rPr>
          <w:rFonts w:ascii="Times New Roman" w:hAnsi="Times New Roman" w:eastAsia="Times New Roman" w:cs="Times New Roman"/>
          <w:b/>
          <w:b/>
          <w:sz w:val="26"/>
          <w:szCs w:val="26"/>
        </w:rPr>
      </w:pPr>
      <w:bookmarkStart w:id="11" w:name="_q25tsvibvxuy"/>
      <w:bookmarkEnd w:id="11"/>
      <w:r>
        <w:rPr>
          <w:rFonts w:eastAsia="Times New Roman" w:cs="Times New Roman" w:ascii="Times New Roman" w:hAnsi="Times New Roman"/>
          <w:b/>
          <w:sz w:val="26"/>
          <w:szCs w:val="26"/>
        </w:rPr>
        <w:t>15.11 Policy Exceptions</w:t>
      </w:r>
    </w:p>
    <w:p>
      <w:pPr>
        <w:pStyle w:val="Normal1"/>
        <w:spacing w:lineRule="auto" w:line="276" w:before="160" w:after="240"/>
        <w:ind w:left="1440" w:hanging="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Requests for exceptions to this policy shall be reviewed by the Chief Information Security Officer (CISO). Departments requesting exceptions shall provide such requests to the CISO. The request should specifically state the scope of the exception along with justification for granting the exception, the potential impact or risk attendant upon granting the exception, risk mitigation measures to be undertaken by the IT Department, initiatives, actions, and a time frame for achieving the minimum compliance level with the policies set forth herein. The CISO shall review such requests and confer with the requesting department.</w:t>
      </w:r>
    </w:p>
    <w:p>
      <w:pPr>
        <w:pStyle w:val="Normal1"/>
        <w:spacing w:lineRule="auto" w:line="276"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76" w:before="240" w:after="240"/>
        <w:rPr>
          <w:rFonts w:ascii="Times New Roman" w:hAnsi="Times New Roman" w:eastAsia="Times New Roman" w:cs="Times New Roman"/>
          <w:b/>
          <w:b/>
          <w:color w:val="0B5394"/>
          <w:sz w:val="24"/>
          <w:szCs w:val="24"/>
        </w:rPr>
      </w:pPr>
      <w:r>
        <w:rPr>
          <w:rFonts w:eastAsia="Times New Roman" w:cs="Times New Roman" w:ascii="Times New Roman" w:hAnsi="Times New Roman"/>
          <w:b/>
          <w:color w:val="0B5394"/>
          <w:sz w:val="24"/>
          <w:szCs w:val="24"/>
        </w:rPr>
      </w:r>
    </w:p>
    <w:p>
      <w:pPr>
        <w:pStyle w:val="Normal1"/>
        <w:ind w:left="2160" w:hanging="0"/>
        <w:rPr>
          <w:rFonts w:ascii="Times New Roman" w:hAnsi="Times New Roman" w:eastAsia="Times New Roman" w:cs="Times New Roman"/>
          <w:sz w:val="24"/>
          <w:szCs w:val="24"/>
        </w:rPr>
      </w:pPr>
      <w:r>
        <w:rPr/>
      </w:r>
    </w:p>
    <w:sectPr>
      <w:headerReference w:type="default" r:id="rId2"/>
      <w:footerReference w:type="default" r:id="rId3"/>
      <w:type w:val="nextPage"/>
      <w:pgSz w:w="12240" w:h="15840"/>
      <w:pgMar w:left="720" w:right="720" w:gutter="0" w:header="720" w:top="1080" w:footer="720" w:bottom="108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Times New Roman">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2160" w:hanging="360"/>
      </w:pPr>
      <w:rPr>
        <w:rFonts w:ascii="Wingdings" w:hAnsi="Wingdings" w:cs="Wingdings" w:hint="default"/>
        <w:u w:val="none"/>
      </w:rPr>
    </w:lvl>
    <w:lvl w:ilvl="1">
      <w:start w:val="1"/>
      <w:numFmt w:val="bullet"/>
      <w:lvlText w:val=""/>
      <w:lvlJc w:val="left"/>
      <w:pPr>
        <w:tabs>
          <w:tab w:val="num" w:pos="0"/>
        </w:tabs>
        <w:ind w:left="2880" w:hanging="360"/>
      </w:pPr>
      <w:rPr>
        <w:rFonts w:ascii="Wingdings 2" w:hAnsi="Wingdings 2" w:cs="Wingdings 2" w:hint="default"/>
        <w:u w:val="none"/>
      </w:rPr>
    </w:lvl>
    <w:lvl w:ilvl="2">
      <w:start w:val="1"/>
      <w:numFmt w:val="bullet"/>
      <w:lvlText w:val="■"/>
      <w:lvlJc w:val="left"/>
      <w:pPr>
        <w:tabs>
          <w:tab w:val="num" w:pos="0"/>
        </w:tabs>
        <w:ind w:left="3600" w:hanging="360"/>
      </w:pPr>
      <w:rPr>
        <w:rFonts w:ascii="OpenSymbol" w:hAnsi="OpenSymbol" w:cs="OpenSymbol" w:hint="default"/>
        <w:u w:val="none"/>
      </w:rPr>
    </w:lvl>
    <w:lvl w:ilvl="3">
      <w:start w:val="1"/>
      <w:numFmt w:val="bullet"/>
      <w:lvlText w:val=""/>
      <w:lvlJc w:val="left"/>
      <w:pPr>
        <w:tabs>
          <w:tab w:val="num" w:pos="0"/>
        </w:tabs>
        <w:ind w:left="4320" w:hanging="360"/>
      </w:pPr>
      <w:rPr>
        <w:rFonts w:ascii="Wingdings" w:hAnsi="Wingdings" w:cs="Wingdings" w:hint="default"/>
        <w:u w:val="none"/>
      </w:rPr>
    </w:lvl>
    <w:lvl w:ilvl="4">
      <w:start w:val="1"/>
      <w:numFmt w:val="bullet"/>
      <w:lvlText w:val=""/>
      <w:lvlJc w:val="left"/>
      <w:pPr>
        <w:tabs>
          <w:tab w:val="num" w:pos="0"/>
        </w:tabs>
        <w:ind w:left="5040" w:hanging="360"/>
      </w:pPr>
      <w:rPr>
        <w:rFonts w:ascii="Wingdings 2" w:hAnsi="Wingdings 2" w:cs="Wingdings 2" w:hint="default"/>
        <w:u w:val="none"/>
      </w:rPr>
    </w:lvl>
    <w:lvl w:ilvl="5">
      <w:start w:val="1"/>
      <w:numFmt w:val="bullet"/>
      <w:lvlText w:val="■"/>
      <w:lvlJc w:val="left"/>
      <w:pPr>
        <w:tabs>
          <w:tab w:val="num" w:pos="0"/>
        </w:tabs>
        <w:ind w:left="5760" w:hanging="360"/>
      </w:pPr>
      <w:rPr>
        <w:rFonts w:ascii="OpenSymbol" w:hAnsi="OpenSymbol" w:cs="OpenSymbol" w:hint="default"/>
        <w:u w:val="none"/>
      </w:rPr>
    </w:lvl>
    <w:lvl w:ilvl="6">
      <w:start w:val="1"/>
      <w:numFmt w:val="bullet"/>
      <w:lvlText w:val=""/>
      <w:lvlJc w:val="left"/>
      <w:pPr>
        <w:tabs>
          <w:tab w:val="num" w:pos="0"/>
        </w:tabs>
        <w:ind w:left="6480" w:hanging="360"/>
      </w:pPr>
      <w:rPr>
        <w:rFonts w:ascii="Wingdings" w:hAnsi="Wingdings" w:cs="Wingdings" w:hint="default"/>
        <w:u w:val="none"/>
      </w:rPr>
    </w:lvl>
    <w:lvl w:ilvl="7">
      <w:start w:val="1"/>
      <w:numFmt w:val="bullet"/>
      <w:lvlText w:val=""/>
      <w:lvlJc w:val="left"/>
      <w:pPr>
        <w:tabs>
          <w:tab w:val="num" w:pos="0"/>
        </w:tabs>
        <w:ind w:left="7200" w:hanging="360"/>
      </w:pPr>
      <w:rPr>
        <w:rFonts w:ascii="Wingdings 2" w:hAnsi="Wingdings 2" w:cs="Wingdings 2" w:hint="default"/>
        <w:u w:val="none"/>
      </w:rPr>
    </w:lvl>
    <w:lvl w:ilvl="8">
      <w:start w:val="1"/>
      <w:numFmt w:val="bullet"/>
      <w:lvlText w:val="■"/>
      <w:lvlJc w:val="left"/>
      <w:pPr>
        <w:tabs>
          <w:tab w:val="num" w:pos="0"/>
        </w:tabs>
        <w:ind w:left="7920" w:hanging="360"/>
      </w:pPr>
      <w:rPr>
        <w:rFonts w:ascii="OpenSymbol" w:hAnsi="OpenSymbol" w:cs="OpenSymbol" w:hint="default"/>
        <w:u w:val="none"/>
      </w:rPr>
    </w:lvl>
  </w:abstractNum>
  <w:abstractNum w:abstractNumId="2">
    <w:lvl w:ilvl="0">
      <w:start w:val="1"/>
      <w:numFmt w:val="bullet"/>
      <w:lvlText w:val=""/>
      <w:lvlJc w:val="left"/>
      <w:pPr>
        <w:tabs>
          <w:tab w:val="num" w:pos="0"/>
        </w:tabs>
        <w:ind w:left="2160" w:hanging="360"/>
      </w:pPr>
      <w:rPr>
        <w:rFonts w:ascii="Wingdings" w:hAnsi="Wingdings" w:cs="Wingdings" w:hint="default"/>
        <w:u w:val="none"/>
      </w:rPr>
    </w:lvl>
    <w:lvl w:ilvl="1">
      <w:start w:val="1"/>
      <w:numFmt w:val="bullet"/>
      <w:lvlText w:val=""/>
      <w:lvlJc w:val="left"/>
      <w:pPr>
        <w:tabs>
          <w:tab w:val="num" w:pos="0"/>
        </w:tabs>
        <w:ind w:left="2880" w:hanging="360"/>
      </w:pPr>
      <w:rPr>
        <w:rFonts w:ascii="Wingdings 2" w:hAnsi="Wingdings 2" w:cs="Wingdings 2" w:hint="default"/>
        <w:u w:val="none"/>
      </w:rPr>
    </w:lvl>
    <w:lvl w:ilvl="2">
      <w:start w:val="1"/>
      <w:numFmt w:val="bullet"/>
      <w:lvlText w:val="■"/>
      <w:lvlJc w:val="left"/>
      <w:pPr>
        <w:tabs>
          <w:tab w:val="num" w:pos="0"/>
        </w:tabs>
        <w:ind w:left="3600" w:hanging="360"/>
      </w:pPr>
      <w:rPr>
        <w:rFonts w:ascii="OpenSymbol" w:hAnsi="OpenSymbol" w:cs="OpenSymbol" w:hint="default"/>
        <w:u w:val="none"/>
      </w:rPr>
    </w:lvl>
    <w:lvl w:ilvl="3">
      <w:start w:val="1"/>
      <w:numFmt w:val="bullet"/>
      <w:lvlText w:val=""/>
      <w:lvlJc w:val="left"/>
      <w:pPr>
        <w:tabs>
          <w:tab w:val="num" w:pos="0"/>
        </w:tabs>
        <w:ind w:left="4320" w:hanging="360"/>
      </w:pPr>
      <w:rPr>
        <w:rFonts w:ascii="Wingdings" w:hAnsi="Wingdings" w:cs="Wingdings" w:hint="default"/>
        <w:u w:val="none"/>
      </w:rPr>
    </w:lvl>
    <w:lvl w:ilvl="4">
      <w:start w:val="1"/>
      <w:numFmt w:val="bullet"/>
      <w:lvlText w:val=""/>
      <w:lvlJc w:val="left"/>
      <w:pPr>
        <w:tabs>
          <w:tab w:val="num" w:pos="0"/>
        </w:tabs>
        <w:ind w:left="5040" w:hanging="360"/>
      </w:pPr>
      <w:rPr>
        <w:rFonts w:ascii="Wingdings 2" w:hAnsi="Wingdings 2" w:cs="Wingdings 2" w:hint="default"/>
        <w:u w:val="none"/>
      </w:rPr>
    </w:lvl>
    <w:lvl w:ilvl="5">
      <w:start w:val="1"/>
      <w:numFmt w:val="bullet"/>
      <w:lvlText w:val="■"/>
      <w:lvlJc w:val="left"/>
      <w:pPr>
        <w:tabs>
          <w:tab w:val="num" w:pos="0"/>
        </w:tabs>
        <w:ind w:left="5760" w:hanging="360"/>
      </w:pPr>
      <w:rPr>
        <w:rFonts w:ascii="OpenSymbol" w:hAnsi="OpenSymbol" w:cs="OpenSymbol" w:hint="default"/>
        <w:u w:val="none"/>
      </w:rPr>
    </w:lvl>
    <w:lvl w:ilvl="6">
      <w:start w:val="1"/>
      <w:numFmt w:val="bullet"/>
      <w:lvlText w:val=""/>
      <w:lvlJc w:val="left"/>
      <w:pPr>
        <w:tabs>
          <w:tab w:val="num" w:pos="0"/>
        </w:tabs>
        <w:ind w:left="6480" w:hanging="360"/>
      </w:pPr>
      <w:rPr>
        <w:rFonts w:ascii="Wingdings" w:hAnsi="Wingdings" w:cs="Wingdings" w:hint="default"/>
        <w:u w:val="none"/>
      </w:rPr>
    </w:lvl>
    <w:lvl w:ilvl="7">
      <w:start w:val="1"/>
      <w:numFmt w:val="bullet"/>
      <w:lvlText w:val=""/>
      <w:lvlJc w:val="left"/>
      <w:pPr>
        <w:tabs>
          <w:tab w:val="num" w:pos="0"/>
        </w:tabs>
        <w:ind w:left="7200" w:hanging="360"/>
      </w:pPr>
      <w:rPr>
        <w:rFonts w:ascii="Wingdings 2" w:hAnsi="Wingdings 2" w:cs="Wingdings 2" w:hint="default"/>
        <w:u w:val="none"/>
      </w:rPr>
    </w:lvl>
    <w:lvl w:ilvl="8">
      <w:start w:val="1"/>
      <w:numFmt w:val="bullet"/>
      <w:lvlText w:val="■"/>
      <w:lvlJc w:val="left"/>
      <w:pPr>
        <w:tabs>
          <w:tab w:val="num" w:pos="0"/>
        </w:tabs>
        <w:ind w:left="7920" w:hanging="360"/>
      </w:pPr>
      <w:rPr>
        <w:rFonts w:ascii="OpenSymbol" w:hAnsi="OpenSymbol" w:cs="OpenSymbol" w:hint="default"/>
        <w:u w:val="none"/>
      </w:rPr>
    </w:lvl>
  </w:abstractNum>
  <w:abstractNum w:abstractNumId="3">
    <w:lvl w:ilvl="0">
      <w:start w:val="1"/>
      <w:numFmt w:val="bullet"/>
      <w:lvlText w:val=""/>
      <w:lvlJc w:val="left"/>
      <w:pPr>
        <w:tabs>
          <w:tab w:val="num" w:pos="0"/>
        </w:tabs>
        <w:ind w:left="2160" w:hanging="360"/>
      </w:pPr>
      <w:rPr>
        <w:rFonts w:ascii="Wingdings" w:hAnsi="Wingdings" w:cs="Wingdings" w:hint="default"/>
        <w:u w:val="none"/>
      </w:rPr>
    </w:lvl>
    <w:lvl w:ilvl="1">
      <w:start w:val="1"/>
      <w:numFmt w:val="bullet"/>
      <w:lvlText w:val=""/>
      <w:lvlJc w:val="left"/>
      <w:pPr>
        <w:tabs>
          <w:tab w:val="num" w:pos="0"/>
        </w:tabs>
        <w:ind w:left="2880" w:hanging="360"/>
      </w:pPr>
      <w:rPr>
        <w:rFonts w:ascii="Wingdings 2" w:hAnsi="Wingdings 2" w:cs="Wingdings 2" w:hint="default"/>
        <w:u w:val="none"/>
      </w:rPr>
    </w:lvl>
    <w:lvl w:ilvl="2">
      <w:start w:val="1"/>
      <w:numFmt w:val="bullet"/>
      <w:lvlText w:val="■"/>
      <w:lvlJc w:val="left"/>
      <w:pPr>
        <w:tabs>
          <w:tab w:val="num" w:pos="0"/>
        </w:tabs>
        <w:ind w:left="3600" w:hanging="360"/>
      </w:pPr>
      <w:rPr>
        <w:rFonts w:ascii="OpenSymbol" w:hAnsi="OpenSymbol" w:cs="OpenSymbol" w:hint="default"/>
        <w:u w:val="none"/>
      </w:rPr>
    </w:lvl>
    <w:lvl w:ilvl="3">
      <w:start w:val="1"/>
      <w:numFmt w:val="bullet"/>
      <w:lvlText w:val=""/>
      <w:lvlJc w:val="left"/>
      <w:pPr>
        <w:tabs>
          <w:tab w:val="num" w:pos="0"/>
        </w:tabs>
        <w:ind w:left="4320" w:hanging="360"/>
      </w:pPr>
      <w:rPr>
        <w:rFonts w:ascii="Wingdings" w:hAnsi="Wingdings" w:cs="Wingdings" w:hint="default"/>
        <w:u w:val="none"/>
      </w:rPr>
    </w:lvl>
    <w:lvl w:ilvl="4">
      <w:start w:val="1"/>
      <w:numFmt w:val="bullet"/>
      <w:lvlText w:val=""/>
      <w:lvlJc w:val="left"/>
      <w:pPr>
        <w:tabs>
          <w:tab w:val="num" w:pos="0"/>
        </w:tabs>
        <w:ind w:left="5040" w:hanging="360"/>
      </w:pPr>
      <w:rPr>
        <w:rFonts w:ascii="Wingdings 2" w:hAnsi="Wingdings 2" w:cs="Wingdings 2" w:hint="default"/>
        <w:u w:val="none"/>
      </w:rPr>
    </w:lvl>
    <w:lvl w:ilvl="5">
      <w:start w:val="1"/>
      <w:numFmt w:val="bullet"/>
      <w:lvlText w:val="■"/>
      <w:lvlJc w:val="left"/>
      <w:pPr>
        <w:tabs>
          <w:tab w:val="num" w:pos="0"/>
        </w:tabs>
        <w:ind w:left="5760" w:hanging="360"/>
      </w:pPr>
      <w:rPr>
        <w:rFonts w:ascii="OpenSymbol" w:hAnsi="OpenSymbol" w:cs="OpenSymbol" w:hint="default"/>
        <w:u w:val="none"/>
      </w:rPr>
    </w:lvl>
    <w:lvl w:ilvl="6">
      <w:start w:val="1"/>
      <w:numFmt w:val="bullet"/>
      <w:lvlText w:val=""/>
      <w:lvlJc w:val="left"/>
      <w:pPr>
        <w:tabs>
          <w:tab w:val="num" w:pos="0"/>
        </w:tabs>
        <w:ind w:left="6480" w:hanging="360"/>
      </w:pPr>
      <w:rPr>
        <w:rFonts w:ascii="Wingdings" w:hAnsi="Wingdings" w:cs="Wingdings" w:hint="default"/>
        <w:u w:val="none"/>
      </w:rPr>
    </w:lvl>
    <w:lvl w:ilvl="7">
      <w:start w:val="1"/>
      <w:numFmt w:val="bullet"/>
      <w:lvlText w:val=""/>
      <w:lvlJc w:val="left"/>
      <w:pPr>
        <w:tabs>
          <w:tab w:val="num" w:pos="0"/>
        </w:tabs>
        <w:ind w:left="7200" w:hanging="360"/>
      </w:pPr>
      <w:rPr>
        <w:rFonts w:ascii="Wingdings 2" w:hAnsi="Wingdings 2" w:cs="Wingdings 2" w:hint="default"/>
        <w:u w:val="none"/>
      </w:rPr>
    </w:lvl>
    <w:lvl w:ilvl="8">
      <w:start w:val="1"/>
      <w:numFmt w:val="bullet"/>
      <w:lvlText w:val="■"/>
      <w:lvlJc w:val="left"/>
      <w:pPr>
        <w:tabs>
          <w:tab w:val="num" w:pos="0"/>
        </w:tabs>
        <w:ind w:left="7920" w:hanging="360"/>
      </w:pPr>
      <w:rPr>
        <w:rFonts w:ascii="OpenSymbol" w:hAnsi="OpenSymbol" w:cs="OpenSymbol" w:hint="default"/>
        <w:u w:val="none"/>
      </w:rPr>
    </w:lvl>
  </w:abstractNum>
  <w:abstractNum w:abstractNumId="4">
    <w:lvl w:ilvl="0">
      <w:start w:val="1"/>
      <w:numFmt w:val="bullet"/>
      <w:lvlText w:val=""/>
      <w:lvlJc w:val="left"/>
      <w:pPr>
        <w:tabs>
          <w:tab w:val="num" w:pos="0"/>
        </w:tabs>
        <w:ind w:left="2160" w:hanging="360"/>
      </w:pPr>
      <w:rPr>
        <w:rFonts w:ascii="Wingdings" w:hAnsi="Wingdings" w:cs="Wingdings" w:hint="default"/>
        <w:u w:val="none"/>
      </w:rPr>
    </w:lvl>
    <w:lvl w:ilvl="1">
      <w:start w:val="1"/>
      <w:numFmt w:val="bullet"/>
      <w:lvlText w:val=""/>
      <w:lvlJc w:val="left"/>
      <w:pPr>
        <w:tabs>
          <w:tab w:val="num" w:pos="0"/>
        </w:tabs>
        <w:ind w:left="2880" w:hanging="360"/>
      </w:pPr>
      <w:rPr>
        <w:rFonts w:ascii="Wingdings 2" w:hAnsi="Wingdings 2" w:cs="Wingdings 2" w:hint="default"/>
        <w:u w:val="none"/>
      </w:rPr>
    </w:lvl>
    <w:lvl w:ilvl="2">
      <w:start w:val="1"/>
      <w:numFmt w:val="bullet"/>
      <w:lvlText w:val="■"/>
      <w:lvlJc w:val="left"/>
      <w:pPr>
        <w:tabs>
          <w:tab w:val="num" w:pos="0"/>
        </w:tabs>
        <w:ind w:left="3600" w:hanging="360"/>
      </w:pPr>
      <w:rPr>
        <w:rFonts w:ascii="OpenSymbol" w:hAnsi="OpenSymbol" w:cs="OpenSymbol" w:hint="default"/>
        <w:u w:val="none"/>
      </w:rPr>
    </w:lvl>
    <w:lvl w:ilvl="3">
      <w:start w:val="1"/>
      <w:numFmt w:val="bullet"/>
      <w:lvlText w:val=""/>
      <w:lvlJc w:val="left"/>
      <w:pPr>
        <w:tabs>
          <w:tab w:val="num" w:pos="0"/>
        </w:tabs>
        <w:ind w:left="4320" w:hanging="360"/>
      </w:pPr>
      <w:rPr>
        <w:rFonts w:ascii="Wingdings" w:hAnsi="Wingdings" w:cs="Wingdings" w:hint="default"/>
        <w:u w:val="none"/>
      </w:rPr>
    </w:lvl>
    <w:lvl w:ilvl="4">
      <w:start w:val="1"/>
      <w:numFmt w:val="bullet"/>
      <w:lvlText w:val=""/>
      <w:lvlJc w:val="left"/>
      <w:pPr>
        <w:tabs>
          <w:tab w:val="num" w:pos="0"/>
        </w:tabs>
        <w:ind w:left="5040" w:hanging="360"/>
      </w:pPr>
      <w:rPr>
        <w:rFonts w:ascii="Wingdings 2" w:hAnsi="Wingdings 2" w:cs="Wingdings 2" w:hint="default"/>
        <w:u w:val="none"/>
      </w:rPr>
    </w:lvl>
    <w:lvl w:ilvl="5">
      <w:start w:val="1"/>
      <w:numFmt w:val="bullet"/>
      <w:lvlText w:val="■"/>
      <w:lvlJc w:val="left"/>
      <w:pPr>
        <w:tabs>
          <w:tab w:val="num" w:pos="0"/>
        </w:tabs>
        <w:ind w:left="5760" w:hanging="360"/>
      </w:pPr>
      <w:rPr>
        <w:rFonts w:ascii="OpenSymbol" w:hAnsi="OpenSymbol" w:cs="OpenSymbol" w:hint="default"/>
        <w:u w:val="none"/>
      </w:rPr>
    </w:lvl>
    <w:lvl w:ilvl="6">
      <w:start w:val="1"/>
      <w:numFmt w:val="bullet"/>
      <w:lvlText w:val=""/>
      <w:lvlJc w:val="left"/>
      <w:pPr>
        <w:tabs>
          <w:tab w:val="num" w:pos="0"/>
        </w:tabs>
        <w:ind w:left="6480" w:hanging="360"/>
      </w:pPr>
      <w:rPr>
        <w:rFonts w:ascii="Wingdings" w:hAnsi="Wingdings" w:cs="Wingdings" w:hint="default"/>
        <w:u w:val="none"/>
      </w:rPr>
    </w:lvl>
    <w:lvl w:ilvl="7">
      <w:start w:val="1"/>
      <w:numFmt w:val="bullet"/>
      <w:lvlText w:val=""/>
      <w:lvlJc w:val="left"/>
      <w:pPr>
        <w:tabs>
          <w:tab w:val="num" w:pos="0"/>
        </w:tabs>
        <w:ind w:left="7200" w:hanging="360"/>
      </w:pPr>
      <w:rPr>
        <w:rFonts w:ascii="Wingdings 2" w:hAnsi="Wingdings 2" w:cs="Wingdings 2" w:hint="default"/>
        <w:u w:val="none"/>
      </w:rPr>
    </w:lvl>
    <w:lvl w:ilvl="8">
      <w:start w:val="1"/>
      <w:numFmt w:val="bullet"/>
      <w:lvlText w:val="■"/>
      <w:lvlJc w:val="left"/>
      <w:pPr>
        <w:tabs>
          <w:tab w:val="num" w:pos="0"/>
        </w:tabs>
        <w:ind w:left="7920" w:hanging="360"/>
      </w:pPr>
      <w:rPr>
        <w:rFonts w:ascii="OpenSymbol" w:hAnsi="OpenSymbol" w:cs="OpenSymbol" w:hint="default"/>
        <w:u w:val="none"/>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5</Pages>
  <Words>836</Words>
  <Characters>4973</Characters>
  <CharactersWithSpaces>7079</CharactersWithSpaces>
  <Paragraphs>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2024-03-26T16:24:03Z</dcterms:modified>
  <cp:revision>1</cp:revision>
  <dc:subject/>
  <dc:title/>
</cp:coreProperties>
</file>