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76" w:before="240" w:after="240"/>
        <w:jc w:val="center"/>
        <w:rPr>
          <w:rFonts w:ascii="Times New Roman" w:hAnsi="Times New Roman" w:eastAsia="Times New Roman" w:cs="Times New Roman"/>
          <w:b/>
          <w:b/>
          <w:color w:val="0B5394"/>
          <w:sz w:val="28"/>
          <w:szCs w:val="28"/>
        </w:rPr>
      </w:pPr>
      <w:r>
        <w:rPr>
          <w:rFonts w:eastAsia="Times New Roman" w:cs="Times New Roman" w:ascii="Times New Roman" w:hAnsi="Times New Roman"/>
          <w:b/>
          <w:color w:val="0B5394"/>
          <w:sz w:val="28"/>
          <w:szCs w:val="28"/>
        </w:rPr>
        <w:t>{Org_Logo}</w:t>
      </w:r>
    </w:p>
    <w:p>
      <w:pPr>
        <w:pStyle w:val="Normal1"/>
        <w:spacing w:lineRule="auto" w:line="276" w:before="240" w:after="240"/>
        <w:jc w:val="center"/>
        <w:rPr>
          <w:rFonts w:ascii="Times New Roman" w:hAnsi="Times New Roman" w:eastAsia="Times New Roman" w:cs="Times New Roman"/>
          <w:b/>
          <w:b/>
          <w:color w:val="0B5394"/>
          <w:sz w:val="28"/>
          <w:szCs w:val="28"/>
        </w:rPr>
      </w:pPr>
      <w:r>
        <w:rPr>
          <w:rFonts w:eastAsia="Times New Roman" w:cs="Times New Roman" w:ascii="Times New Roman" w:hAnsi="Times New Roman"/>
          <w:b/>
          <w:color w:val="0B5394"/>
          <w:sz w:val="28"/>
          <w:szCs w:val="28"/>
        </w:rPr>
        <w:t>Human Resource Security Policy</w:t>
      </w:r>
    </w:p>
    <w:p>
      <w:pPr>
        <w:pStyle w:val="Normal1"/>
        <w:spacing w:lineRule="auto" w:line="276" w:before="240" w:after="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{Org_Name}</w:t>
      </w:r>
    </w:p>
    <w:p>
      <w:pPr>
        <w:pStyle w:val="Normal1"/>
        <w:spacing w:lineRule="auto" w:line="276" w:before="240" w:after="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{Date_Code}</w:t>
      </w:r>
    </w:p>
    <w:p>
      <w:pPr>
        <w:pStyle w:val="Normal1"/>
        <w:spacing w:lineRule="auto" w:line="276"/>
        <w:rPr>
          <w:b/>
          <w:b/>
          <w:sz w:val="10"/>
          <w:szCs w:val="10"/>
        </w:rPr>
      </w:pPr>
      <w:r>
        <w:rPr>
          <w:b/>
          <w:sz w:val="10"/>
          <w:szCs w:val="10"/>
        </w:rPr>
        <w:t xml:space="preserve"> </w:t>
      </w:r>
    </w:p>
    <w:p>
      <w:pPr>
        <w:pStyle w:val="Normal1"/>
        <w:spacing w:lineRule="auto" w:line="276"/>
        <w:rPr>
          <w:b/>
          <w:b/>
          <w:sz w:val="10"/>
          <w:szCs w:val="10"/>
        </w:rPr>
      </w:pPr>
      <w:r>
        <w:rPr>
          <w:b/>
          <w:sz w:val="10"/>
          <w:szCs w:val="10"/>
        </w:rPr>
        <w:t xml:space="preserve"> </w:t>
      </w:r>
    </w:p>
    <w:p>
      <w:pPr>
        <w:pStyle w:val="Normal1"/>
        <w:spacing w:lineRule="auto" w:line="276"/>
        <w:rPr>
          <w:b/>
          <w:b/>
          <w:sz w:val="10"/>
          <w:szCs w:val="10"/>
        </w:rPr>
      </w:pPr>
      <w:r>
        <w:rPr>
          <w:b/>
          <w:sz w:val="10"/>
          <w:szCs w:val="10"/>
        </w:rPr>
        <w:t xml:space="preserve"> </w:t>
      </w:r>
    </w:p>
    <w:p>
      <w:pPr>
        <w:pStyle w:val="Normal1"/>
        <w:spacing w:lineRule="auto" w:line="276"/>
        <w:rPr>
          <w:b/>
          <w:b/>
          <w:sz w:val="10"/>
          <w:szCs w:val="10"/>
        </w:rPr>
      </w:pPr>
      <w:r>
        <w:rPr>
          <w:b/>
          <w:sz w:val="10"/>
          <w:szCs w:val="10"/>
        </w:rPr>
        <w:t xml:space="preserve"> </w:t>
      </w:r>
    </w:p>
    <w:p>
      <w:pPr>
        <w:pStyle w:val="Normal1"/>
        <w:spacing w:lineRule="auto" w:line="276"/>
        <w:rPr>
          <w:b/>
          <w:b/>
          <w:sz w:val="10"/>
          <w:szCs w:val="10"/>
        </w:rPr>
      </w:pPr>
      <w:r>
        <w:rPr>
          <w:b/>
          <w:sz w:val="10"/>
          <w:szCs w:val="10"/>
        </w:rPr>
        <w:t xml:space="preserve"> </w:t>
      </w:r>
    </w:p>
    <w:p>
      <w:pPr>
        <w:pStyle w:val="Normal1"/>
        <w:spacing w:lineRule="auto" w:line="276"/>
        <w:rPr>
          <w:b/>
          <w:b/>
          <w:sz w:val="10"/>
          <w:szCs w:val="10"/>
        </w:rPr>
      </w:pPr>
      <w:r>
        <w:rPr>
          <w:b/>
          <w:sz w:val="10"/>
          <w:szCs w:val="10"/>
        </w:rPr>
        <w:t xml:space="preserve"> </w:t>
      </w:r>
    </w:p>
    <w:tbl>
      <w:tblPr>
        <w:tblStyle w:val="Table1"/>
        <w:tblW w:w="9330" w:type="dxa"/>
        <w:jc w:val="left"/>
        <w:tblInd w:w="1" w:type="dxa"/>
        <w:tblLayout w:type="fixed"/>
        <w:tblCellMar>
          <w:top w:w="0" w:type="dxa"/>
          <w:left w:w="100" w:type="dxa"/>
          <w:bottom w:w="0" w:type="dxa"/>
          <w:right w:w="100" w:type="dxa"/>
        </w:tblCellMar>
        <w:tblLook w:val="0600"/>
      </w:tblPr>
      <w:tblGrid>
        <w:gridCol w:w="2219"/>
        <w:gridCol w:w="7110"/>
      </w:tblGrid>
      <w:tr>
        <w:trPr>
          <w:trHeight w:val="420" w:hRule="atLeast"/>
        </w:trPr>
        <w:tc>
          <w:tcPr>
            <w:tcW w:w="2219" w:type="dxa"/>
            <w:tcBorders>
              <w:top w:val="single" w:sz="10" w:space="0" w:color="878787"/>
              <w:left w:val="single" w:sz="10" w:space="0" w:color="878787"/>
              <w:bottom w:val="single" w:sz="10" w:space="0" w:color="878787"/>
              <w:right w:val="single" w:sz="10" w:space="0" w:color="878787"/>
            </w:tcBorders>
          </w:tcPr>
          <w:p>
            <w:pPr>
              <w:pStyle w:val="Normal1"/>
              <w:widowControl w:val="false"/>
              <w:spacing w:lineRule="auto" w:line="276" w:before="100" w:after="0"/>
              <w:ind w:left="300" w:hanging="0"/>
              <w:rPr>
                <w:rFonts w:ascii="Verdana" w:hAnsi="Verdana" w:eastAsia="Verdana" w:cs="Verdana"/>
                <w:b/>
                <w:b/>
                <w:sz w:val="20"/>
                <w:szCs w:val="20"/>
              </w:rPr>
            </w:pPr>
            <w:r>
              <w:rPr>
                <w:rFonts w:eastAsia="Verdana" w:cs="Verdana" w:ascii="Verdana" w:hAnsi="Verdana"/>
                <w:b/>
                <w:sz w:val="20"/>
                <w:szCs w:val="20"/>
              </w:rPr>
              <w:t>ISMS No.</w:t>
            </w:r>
          </w:p>
        </w:tc>
        <w:tc>
          <w:tcPr>
            <w:tcW w:w="7110" w:type="dxa"/>
            <w:tcBorders>
              <w:top w:val="single" w:sz="10" w:space="0" w:color="878787"/>
              <w:bottom w:val="single" w:sz="10" w:space="0" w:color="878787"/>
              <w:right w:val="single" w:sz="10" w:space="0" w:color="878787"/>
            </w:tcBorders>
          </w:tcPr>
          <w:p>
            <w:pPr>
              <w:pStyle w:val="Normal1"/>
              <w:widowControl w:val="false"/>
              <w:spacing w:lineRule="auto" w:line="276" w:before="100" w:after="0"/>
              <w:ind w:left="220" w:hanging="0"/>
              <w:rPr>
                <w:rFonts w:ascii="Verdana" w:hAnsi="Verdana" w:eastAsia="Verdana" w:cs="Verdana"/>
                <w:sz w:val="20"/>
                <w:szCs w:val="20"/>
              </w:rPr>
            </w:pPr>
            <w:r>
              <w:rPr>
                <w:rFonts w:eastAsia="Verdana" w:cs="Verdana" w:ascii="Verdana" w:hAnsi="Verdana"/>
                <w:sz w:val="20"/>
                <w:szCs w:val="20"/>
              </w:rPr>
              <w:t>POL-26</w:t>
            </w:r>
          </w:p>
        </w:tc>
      </w:tr>
      <w:tr>
        <w:trPr>
          <w:trHeight w:val="450" w:hRule="atLeast"/>
        </w:trPr>
        <w:tc>
          <w:tcPr>
            <w:tcW w:w="2219" w:type="dxa"/>
            <w:tcBorders>
              <w:left w:val="single" w:sz="10" w:space="0" w:color="878787"/>
              <w:bottom w:val="single" w:sz="10" w:space="0" w:color="878787"/>
              <w:right w:val="single" w:sz="10" w:space="0" w:color="878787"/>
            </w:tcBorders>
          </w:tcPr>
          <w:p>
            <w:pPr>
              <w:pStyle w:val="Normal1"/>
              <w:widowControl w:val="false"/>
              <w:spacing w:lineRule="auto" w:line="276" w:before="100" w:after="0"/>
              <w:ind w:left="300" w:hanging="0"/>
              <w:rPr>
                <w:rFonts w:ascii="Verdana" w:hAnsi="Verdana" w:eastAsia="Verdana" w:cs="Verdana"/>
                <w:b/>
                <w:b/>
                <w:sz w:val="20"/>
                <w:szCs w:val="20"/>
              </w:rPr>
            </w:pPr>
            <w:r>
              <w:rPr>
                <w:rFonts w:eastAsia="Verdana" w:cs="Verdana" w:ascii="Verdana" w:hAnsi="Verdana"/>
                <w:b/>
                <w:sz w:val="20"/>
                <w:szCs w:val="20"/>
              </w:rPr>
              <w:t>Title</w:t>
            </w:r>
          </w:p>
        </w:tc>
        <w:tc>
          <w:tcPr>
            <w:tcW w:w="7110" w:type="dxa"/>
            <w:tcBorders>
              <w:bottom w:val="single" w:sz="10" w:space="0" w:color="878787"/>
              <w:right w:val="single" w:sz="10" w:space="0" w:color="878787"/>
            </w:tcBorders>
          </w:tcPr>
          <w:p>
            <w:pPr>
              <w:pStyle w:val="Normal1"/>
              <w:widowControl w:val="false"/>
              <w:spacing w:lineRule="auto" w:line="276" w:before="100" w:after="0"/>
              <w:ind w:left="140" w:hanging="0"/>
              <w:rPr>
                <w:rFonts w:ascii="Verdana" w:hAnsi="Verdana" w:eastAsia="Verdana" w:cs="Verdana"/>
              </w:rPr>
            </w:pPr>
            <w:r>
              <w:rPr>
                <w:rFonts w:eastAsia="Verdana" w:cs="Verdana" w:ascii="Verdana" w:hAnsi="Verdana"/>
              </w:rPr>
              <w:t>Human Resource Security Policy</w:t>
            </w:r>
          </w:p>
        </w:tc>
      </w:tr>
      <w:tr>
        <w:trPr>
          <w:trHeight w:val="420" w:hRule="atLeast"/>
        </w:trPr>
        <w:tc>
          <w:tcPr>
            <w:tcW w:w="2219" w:type="dxa"/>
            <w:tcBorders>
              <w:left w:val="single" w:sz="10" w:space="0" w:color="878787"/>
              <w:bottom w:val="single" w:sz="10" w:space="0" w:color="878787"/>
              <w:right w:val="single" w:sz="10" w:space="0" w:color="878787"/>
            </w:tcBorders>
          </w:tcPr>
          <w:p>
            <w:pPr>
              <w:pStyle w:val="Normal1"/>
              <w:widowControl w:val="false"/>
              <w:spacing w:lineRule="auto" w:line="276" w:before="100" w:after="0"/>
              <w:ind w:left="300" w:hanging="0"/>
              <w:rPr>
                <w:rFonts w:ascii="Verdana" w:hAnsi="Verdana" w:eastAsia="Verdana" w:cs="Verdana"/>
                <w:b/>
                <w:b/>
                <w:sz w:val="20"/>
                <w:szCs w:val="20"/>
              </w:rPr>
            </w:pPr>
            <w:r>
              <w:rPr>
                <w:rFonts w:eastAsia="Verdana" w:cs="Verdana" w:ascii="Verdana" w:hAnsi="Verdana"/>
                <w:b/>
                <w:sz w:val="20"/>
                <w:szCs w:val="20"/>
              </w:rPr>
              <w:t>Revision</w:t>
            </w:r>
          </w:p>
        </w:tc>
        <w:tc>
          <w:tcPr>
            <w:tcW w:w="7110" w:type="dxa"/>
            <w:tcBorders>
              <w:bottom w:val="single" w:sz="10" w:space="0" w:color="878787"/>
              <w:right w:val="single" w:sz="10" w:space="0" w:color="878787"/>
            </w:tcBorders>
          </w:tcPr>
          <w:p>
            <w:pPr>
              <w:pStyle w:val="Normal1"/>
              <w:widowControl w:val="false"/>
              <w:spacing w:lineRule="auto" w:line="276" w:before="100" w:after="0"/>
              <w:ind w:left="220" w:hanging="0"/>
              <w:rPr>
                <w:rFonts w:ascii="Verdana" w:hAnsi="Verdana" w:eastAsia="Verdana" w:cs="Verdana"/>
                <w:sz w:val="20"/>
                <w:szCs w:val="20"/>
              </w:rPr>
            </w:pPr>
            <w:r>
              <w:rPr>
                <w:rFonts w:eastAsia="Verdana" w:cs="Verdana" w:ascii="Verdana" w:hAnsi="Verdana"/>
                <w:sz w:val="20"/>
                <w:szCs w:val="20"/>
              </w:rPr>
              <w:t xml:space="preserve"> </w:t>
            </w:r>
          </w:p>
        </w:tc>
      </w:tr>
      <w:tr>
        <w:trPr>
          <w:trHeight w:val="420" w:hRule="atLeast"/>
        </w:trPr>
        <w:tc>
          <w:tcPr>
            <w:tcW w:w="2219" w:type="dxa"/>
            <w:tcBorders>
              <w:left w:val="single" w:sz="10" w:space="0" w:color="878787"/>
              <w:bottom w:val="single" w:sz="10" w:space="0" w:color="878787"/>
              <w:right w:val="single" w:sz="10" w:space="0" w:color="878787"/>
            </w:tcBorders>
          </w:tcPr>
          <w:p>
            <w:pPr>
              <w:pStyle w:val="Normal1"/>
              <w:widowControl w:val="false"/>
              <w:spacing w:lineRule="auto" w:line="276" w:before="100" w:after="0"/>
              <w:ind w:left="300" w:hanging="0"/>
              <w:rPr>
                <w:rFonts w:ascii="Verdana" w:hAnsi="Verdana" w:eastAsia="Verdana" w:cs="Verdana"/>
                <w:b/>
                <w:b/>
                <w:sz w:val="20"/>
                <w:szCs w:val="20"/>
              </w:rPr>
            </w:pPr>
            <w:r>
              <w:rPr>
                <w:rFonts w:eastAsia="Verdana" w:cs="Verdana" w:ascii="Verdana" w:hAnsi="Verdana"/>
                <w:b/>
                <w:sz w:val="20"/>
                <w:szCs w:val="20"/>
              </w:rPr>
              <w:t>Effective Date</w:t>
            </w:r>
          </w:p>
        </w:tc>
        <w:tc>
          <w:tcPr>
            <w:tcW w:w="7110" w:type="dxa"/>
            <w:tcBorders>
              <w:bottom w:val="single" w:sz="10" w:space="0" w:color="878787"/>
              <w:right w:val="single" w:sz="10" w:space="0" w:color="878787"/>
            </w:tcBorders>
          </w:tcPr>
          <w:p>
            <w:pPr>
              <w:pStyle w:val="Normal1"/>
              <w:widowControl w:val="false"/>
              <w:spacing w:lineRule="auto" w:line="276" w:before="100" w:after="0"/>
              <w:ind w:left="220" w:hanging="0"/>
              <w:rPr>
                <w:rFonts w:ascii="Verdana" w:hAnsi="Verdana" w:eastAsia="Verdana" w:cs="Verdana"/>
                <w:sz w:val="20"/>
                <w:szCs w:val="20"/>
              </w:rPr>
            </w:pPr>
            <w:r>
              <w:rPr>
                <w:rFonts w:eastAsia="Verdana" w:cs="Verdana" w:ascii="Verdana" w:hAnsi="Verdana"/>
                <w:sz w:val="20"/>
                <w:szCs w:val="20"/>
              </w:rPr>
              <w:t xml:space="preserve"> </w:t>
            </w:r>
          </w:p>
        </w:tc>
      </w:tr>
    </w:tbl>
    <w:p>
      <w:pPr>
        <w:pStyle w:val="Normal1"/>
        <w:spacing w:lineRule="auto" w:line="276" w:before="240" w:after="0"/>
        <w:rPr>
          <w:b/>
          <w:b/>
          <w:sz w:val="20"/>
          <w:szCs w:val="20"/>
        </w:rPr>
      </w:pPr>
      <w:r>
        <w:rPr>
          <w:b/>
          <w:sz w:val="20"/>
          <w:szCs w:val="20"/>
        </w:rPr>
        <w:t xml:space="preserve"> </w:t>
      </w:r>
    </w:p>
    <w:p>
      <w:pPr>
        <w:pStyle w:val="Normal1"/>
        <w:spacing w:lineRule="auto" w:line="276"/>
        <w:rPr>
          <w:b/>
          <w:b/>
          <w:sz w:val="29"/>
          <w:szCs w:val="29"/>
        </w:rPr>
      </w:pPr>
      <w:r>
        <w:rPr>
          <w:b/>
          <w:sz w:val="29"/>
          <w:szCs w:val="29"/>
        </w:rPr>
        <w:t xml:space="preserve"> </w:t>
      </w:r>
    </w:p>
    <w:tbl>
      <w:tblPr>
        <w:tblStyle w:val="Table2"/>
        <w:tblW w:w="9330" w:type="dxa"/>
        <w:jc w:val="left"/>
        <w:tblInd w:w="1" w:type="dxa"/>
        <w:tblLayout w:type="fixed"/>
        <w:tblCellMar>
          <w:top w:w="0" w:type="dxa"/>
          <w:left w:w="100" w:type="dxa"/>
          <w:bottom w:w="0" w:type="dxa"/>
          <w:right w:w="100" w:type="dxa"/>
        </w:tblCellMar>
        <w:tblLook w:val="0600"/>
      </w:tblPr>
      <w:tblGrid>
        <w:gridCol w:w="1305"/>
        <w:gridCol w:w="1755"/>
        <w:gridCol w:w="1859"/>
        <w:gridCol w:w="1636"/>
        <w:gridCol w:w="2775"/>
      </w:tblGrid>
      <w:tr>
        <w:trPr>
          <w:trHeight w:val="795" w:hRule="atLeast"/>
        </w:trPr>
        <w:tc>
          <w:tcPr>
            <w:tcW w:w="1305" w:type="dxa"/>
            <w:tcBorders>
              <w:top w:val="single" w:sz="10" w:space="0" w:color="878787"/>
              <w:left w:val="single" w:sz="10" w:space="0" w:color="878787"/>
              <w:bottom w:val="single" w:sz="10" w:space="0" w:color="878787"/>
              <w:right w:val="single" w:sz="10" w:space="0" w:color="878787"/>
            </w:tcBorders>
          </w:tcPr>
          <w:p>
            <w:pPr>
              <w:pStyle w:val="Normal1"/>
              <w:widowControl w:val="false"/>
              <w:spacing w:lineRule="auto" w:line="242" w:before="120" w:after="0"/>
              <w:ind w:left="0" w:hanging="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Revision No.</w:t>
            </w:r>
          </w:p>
        </w:tc>
        <w:tc>
          <w:tcPr>
            <w:tcW w:w="1755" w:type="dxa"/>
            <w:tcBorders>
              <w:top w:val="single" w:sz="10" w:space="0" w:color="878787"/>
              <w:bottom w:val="single" w:sz="10" w:space="0" w:color="878787"/>
              <w:right w:val="single" w:sz="10" w:space="0" w:color="878787"/>
            </w:tcBorders>
          </w:tcPr>
          <w:p>
            <w:pPr>
              <w:pStyle w:val="Normal1"/>
              <w:widowControl w:val="false"/>
              <w:spacing w:lineRule="auto" w:line="276" w:before="120" w:after="0"/>
              <w:ind w:left="380" w:hanging="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Revision Date</w:t>
            </w:r>
          </w:p>
        </w:tc>
        <w:tc>
          <w:tcPr>
            <w:tcW w:w="1859" w:type="dxa"/>
            <w:tcBorders>
              <w:top w:val="single" w:sz="10" w:space="0" w:color="878787"/>
              <w:bottom w:val="single" w:sz="10" w:space="0" w:color="878787"/>
              <w:right w:val="single" w:sz="10" w:space="0" w:color="878787"/>
            </w:tcBorders>
          </w:tcPr>
          <w:p>
            <w:pPr>
              <w:pStyle w:val="Normal1"/>
              <w:widowControl w:val="false"/>
              <w:spacing w:lineRule="auto" w:line="276" w:before="120" w:after="0"/>
              <w:ind w:left="420" w:hanging="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Reviewed by</w:t>
            </w:r>
          </w:p>
        </w:tc>
        <w:tc>
          <w:tcPr>
            <w:tcW w:w="1636" w:type="dxa"/>
            <w:tcBorders>
              <w:top w:val="single" w:sz="10" w:space="0" w:color="878787"/>
              <w:bottom w:val="single" w:sz="10" w:space="0" w:color="878787"/>
              <w:right w:val="single" w:sz="10" w:space="0" w:color="878787"/>
            </w:tcBorders>
          </w:tcPr>
          <w:p>
            <w:pPr>
              <w:pStyle w:val="Normal1"/>
              <w:widowControl w:val="false"/>
              <w:spacing w:lineRule="auto" w:line="276" w:before="120" w:after="0"/>
              <w:ind w:left="300" w:hanging="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Approved by</w:t>
            </w:r>
          </w:p>
        </w:tc>
        <w:tc>
          <w:tcPr>
            <w:tcW w:w="2775" w:type="dxa"/>
            <w:tcBorders>
              <w:top w:val="single" w:sz="10" w:space="0" w:color="878787"/>
              <w:bottom w:val="single" w:sz="10" w:space="0" w:color="878787"/>
              <w:right w:val="single" w:sz="10" w:space="0" w:color="878787"/>
            </w:tcBorders>
          </w:tcPr>
          <w:p>
            <w:pPr>
              <w:pStyle w:val="Normal1"/>
              <w:widowControl w:val="false"/>
              <w:spacing w:lineRule="auto" w:line="276" w:before="120" w:after="0"/>
              <w:ind w:left="680" w:hanging="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Revision Description</w:t>
            </w:r>
          </w:p>
        </w:tc>
      </w:tr>
      <w:tr>
        <w:trPr>
          <w:trHeight w:val="765" w:hRule="atLeast"/>
        </w:trPr>
        <w:tc>
          <w:tcPr>
            <w:tcW w:w="1305" w:type="dxa"/>
            <w:tcBorders>
              <w:left w:val="single" w:sz="10" w:space="0" w:color="878787"/>
              <w:bottom w:val="single" w:sz="10" w:space="0" w:color="878787"/>
              <w:right w:val="single" w:sz="10" w:space="0" w:color="878787"/>
            </w:tcBorders>
          </w:tcPr>
          <w:p>
            <w:pPr>
              <w:pStyle w:val="Normal1"/>
              <w:widowControl w:val="false"/>
              <w:spacing w:lineRule="auto" w:line="276" w:before="100" w:after="0"/>
              <w:ind w:left="140" w:right="360" w:hanging="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1.0</w:t>
            </w:r>
          </w:p>
        </w:tc>
        <w:tc>
          <w:tcPr>
            <w:tcW w:w="1755" w:type="dxa"/>
            <w:tcBorders>
              <w:bottom w:val="single" w:sz="10" w:space="0" w:color="878787"/>
              <w:right w:val="single" w:sz="10" w:space="0" w:color="878787"/>
            </w:tcBorders>
          </w:tcPr>
          <w:p>
            <w:pPr>
              <w:pStyle w:val="Normal1"/>
              <w:widowControl w:val="false"/>
              <w:spacing w:lineRule="auto" w:line="276" w:before="240" w:after="0"/>
              <w:ind w:left="140" w:hanging="0"/>
              <w:rPr>
                <w:rFonts w:ascii="Times New Roman" w:hAnsi="Times New Roman" w:eastAsia="Times New Roman" w:cs="Times New Roman"/>
              </w:rPr>
            </w:pPr>
            <w:r>
              <w:rPr>
                <w:rFonts w:eastAsia="Times New Roman" w:cs="Times New Roman" w:ascii="Times New Roman" w:hAnsi="Times New Roman"/>
              </w:rPr>
              <w:t xml:space="preserve"> </w:t>
            </w:r>
          </w:p>
        </w:tc>
        <w:tc>
          <w:tcPr>
            <w:tcW w:w="1859" w:type="dxa"/>
            <w:tcBorders>
              <w:bottom w:val="single" w:sz="10" w:space="0" w:color="878787"/>
              <w:right w:val="single" w:sz="10" w:space="0" w:color="878787"/>
            </w:tcBorders>
          </w:tcPr>
          <w:p>
            <w:pPr>
              <w:pStyle w:val="Normal1"/>
              <w:widowControl w:val="false"/>
              <w:spacing w:lineRule="auto" w:line="276" w:before="240" w:after="0"/>
              <w:ind w:left="140" w:hanging="0"/>
              <w:rPr>
                <w:rFonts w:ascii="Times New Roman" w:hAnsi="Times New Roman" w:eastAsia="Times New Roman" w:cs="Times New Roman"/>
              </w:rPr>
            </w:pPr>
            <w:r>
              <w:rPr>
                <w:rFonts w:eastAsia="Times New Roman" w:cs="Times New Roman" w:ascii="Times New Roman" w:hAnsi="Times New Roman"/>
              </w:rPr>
              <w:t xml:space="preserve"> </w:t>
            </w:r>
          </w:p>
        </w:tc>
        <w:tc>
          <w:tcPr>
            <w:tcW w:w="1636" w:type="dxa"/>
            <w:tcBorders>
              <w:bottom w:val="single" w:sz="10" w:space="0" w:color="878787"/>
              <w:right w:val="single" w:sz="10" w:space="0" w:color="878787"/>
            </w:tcBorders>
          </w:tcPr>
          <w:p>
            <w:pPr>
              <w:pStyle w:val="Normal1"/>
              <w:widowControl w:val="false"/>
              <w:spacing w:lineRule="auto" w:line="276" w:before="240" w:after="0"/>
              <w:ind w:left="140" w:hanging="0"/>
              <w:rPr>
                <w:rFonts w:ascii="Times New Roman" w:hAnsi="Times New Roman" w:eastAsia="Times New Roman" w:cs="Times New Roman"/>
              </w:rPr>
            </w:pPr>
            <w:r>
              <w:rPr>
                <w:rFonts w:eastAsia="Times New Roman" w:cs="Times New Roman" w:ascii="Times New Roman" w:hAnsi="Times New Roman"/>
              </w:rPr>
              <w:t xml:space="preserve"> </w:t>
            </w:r>
          </w:p>
        </w:tc>
        <w:tc>
          <w:tcPr>
            <w:tcW w:w="2775" w:type="dxa"/>
            <w:tcBorders>
              <w:bottom w:val="single" w:sz="10" w:space="0" w:color="878787"/>
              <w:right w:val="single" w:sz="10" w:space="0" w:color="878787"/>
            </w:tcBorders>
          </w:tcPr>
          <w:p>
            <w:pPr>
              <w:pStyle w:val="Normal1"/>
              <w:widowControl w:val="false"/>
              <w:spacing w:lineRule="auto" w:line="242" w:before="100" w:after="0"/>
              <w:ind w:left="2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tc>
      </w:tr>
    </w:tbl>
    <w:p>
      <w:pPr>
        <w:pStyle w:val="Normal1"/>
        <w:spacing w:lineRule="auto" w:line="276"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76"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76"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76"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76"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76"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76"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76"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76"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76"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76" w:before="240" w:after="240"/>
        <w:jc w:val="center"/>
        <w:rPr>
          <w:rFonts w:ascii="Times New Roman" w:hAnsi="Times New Roman" w:eastAsia="Times New Roman" w:cs="Times New Roman"/>
          <w:b/>
          <w:b/>
          <w:sz w:val="28"/>
          <w:szCs w:val="28"/>
        </w:rPr>
      </w:pPr>
      <w:r>
        <w:rPr>
          <w:rFonts w:eastAsia="Times New Roman" w:cs="Times New Roman" w:ascii="Times New Roman" w:hAnsi="Times New Roman"/>
          <w:b/>
          <w:sz w:val="28"/>
          <w:szCs w:val="28"/>
        </w:rPr>
        <w:t>Table of Content</w:t>
      </w:r>
    </w:p>
    <w:p>
      <w:pPr>
        <w:pStyle w:val="Normal1"/>
        <w:spacing w:lineRule="auto" w:line="276" w:before="240" w:after="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26.1 Purpose                                                                                                                      </w:t>
        <w:tab/>
        <w:t>3</w:t>
      </w:r>
    </w:p>
    <w:p>
      <w:pPr>
        <w:pStyle w:val="Normal1"/>
        <w:spacing w:lineRule="auto" w:line="276" w:before="60" w:after="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26.2 Scope                                                                                                                          </w:t>
        <w:tab/>
        <w:t>3</w:t>
      </w:r>
    </w:p>
    <w:p>
      <w:pPr>
        <w:pStyle w:val="Normal1"/>
        <w:spacing w:lineRule="auto" w:line="276" w:before="60" w:after="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26.3 Hiring Process                                                                                                           </w:t>
        <w:tab/>
        <w:t>3</w:t>
      </w:r>
    </w:p>
    <w:p>
      <w:pPr>
        <w:pStyle w:val="Normal1"/>
        <w:spacing w:lineRule="auto" w:line="276" w:before="60" w:after="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26.3.1 Job Postings                                                                                                    </w:t>
        <w:tab/>
        <w:t>3</w:t>
      </w:r>
    </w:p>
    <w:p>
      <w:pPr>
        <w:pStyle w:val="Normal1"/>
        <w:spacing w:lineRule="auto" w:line="276" w:before="60" w:after="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26.3.2 Job Descriptions                                                                                              </w:t>
        <w:tab/>
        <w:t>3</w:t>
      </w:r>
    </w:p>
    <w:p>
      <w:pPr>
        <w:pStyle w:val="Normal1"/>
        <w:spacing w:lineRule="auto" w:line="276" w:before="60" w:after="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26.3.3 Employee Selection Criteria                                                                           </w:t>
        <w:tab/>
        <w:t>3</w:t>
      </w:r>
    </w:p>
    <w:p>
      <w:pPr>
        <w:pStyle w:val="Normal1"/>
        <w:spacing w:lineRule="auto" w:line="276" w:before="60" w:after="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26.4 Prior to Employment                                                                                                 </w:t>
        <w:tab/>
        <w:t>4</w:t>
      </w:r>
    </w:p>
    <w:p>
      <w:pPr>
        <w:pStyle w:val="Normal1"/>
        <w:spacing w:lineRule="auto" w:line="276" w:before="60" w:after="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26.5 During Employment                                                                                                  </w:t>
        <w:tab/>
        <w:t>4</w:t>
      </w:r>
    </w:p>
    <w:p>
      <w:pPr>
        <w:pStyle w:val="Normal1"/>
        <w:spacing w:lineRule="auto" w:line="276" w:before="60" w:after="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26.6 Termination and Change of Employment                                                              </w:t>
        <w:tab/>
        <w:t>5</w:t>
      </w:r>
    </w:p>
    <w:p>
      <w:pPr>
        <w:pStyle w:val="Normal1"/>
        <w:spacing w:lineRule="auto" w:line="276" w:before="60" w:after="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26.7 Exceptions                                                                                                                 </w:t>
        <w:tab/>
        <w:t>6</w:t>
      </w:r>
    </w:p>
    <w:p>
      <w:pPr>
        <w:pStyle w:val="Normal1"/>
        <w:spacing w:lineRule="auto" w:line="276" w:before="60" w:after="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26.8 Non-Compliance                                                                                                        </w:t>
        <w:tab/>
        <w:t>6</w:t>
      </w:r>
    </w:p>
    <w:p>
      <w:pPr>
        <w:pStyle w:val="Normal1"/>
        <w:spacing w:lineRule="auto" w:line="276"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76"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76"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76"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76"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76"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76"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76"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76"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76"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76"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76"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76"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76"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76"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76" w:before="240" w:after="240"/>
        <w:rPr>
          <w:rFonts w:ascii="Times New Roman" w:hAnsi="Times New Roman" w:eastAsia="Times New Roman" w:cs="Times New Roman"/>
          <w:b/>
          <w:b/>
          <w:sz w:val="26"/>
          <w:szCs w:val="26"/>
        </w:rPr>
      </w:pPr>
      <w:r>
        <w:rPr>
          <w:rFonts w:eastAsia="Times New Roman" w:cs="Times New Roman" w:ascii="Times New Roman" w:hAnsi="Times New Roman"/>
          <w:b/>
          <w:sz w:val="26"/>
          <w:szCs w:val="26"/>
        </w:rPr>
        <w:t>26.1 Purpose</w:t>
      </w:r>
    </w:p>
    <w:p>
      <w:pPr>
        <w:pStyle w:val="Normal1"/>
        <w:spacing w:lineRule="auto" w:line="276" w:before="180" w:after="180"/>
        <w:ind w:left="144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This policy establishes the organization's personnel security policy for managing risks from personnel screening, onboarding, termination, transfer, and management. The personnel security policy helps the organization implement security best practices with regard to personnel processes and events.</w:t>
      </w:r>
    </w:p>
    <w:p>
      <w:pPr>
        <w:pStyle w:val="Heading1"/>
        <w:keepNext w:val="false"/>
        <w:keepLines w:val="false"/>
        <w:spacing w:lineRule="auto" w:line="276" w:before="480" w:after="120"/>
        <w:rPr>
          <w:rFonts w:ascii="Times New Roman" w:hAnsi="Times New Roman" w:eastAsia="Times New Roman" w:cs="Times New Roman"/>
          <w:b/>
          <w:b/>
          <w:sz w:val="26"/>
          <w:szCs w:val="26"/>
        </w:rPr>
      </w:pPr>
      <w:bookmarkStart w:id="0" w:name="_kqtaocx7dq1t"/>
      <w:bookmarkEnd w:id="0"/>
      <w:r>
        <w:rPr>
          <w:rFonts w:eastAsia="Times New Roman" w:cs="Times New Roman" w:ascii="Times New Roman" w:hAnsi="Times New Roman"/>
          <w:b/>
          <w:sz w:val="26"/>
          <w:szCs w:val="26"/>
        </w:rPr>
        <w:t>26.2 Scope</w:t>
      </w:r>
    </w:p>
    <w:p>
      <w:pPr>
        <w:pStyle w:val="Normal1"/>
        <w:spacing w:lineRule="auto" w:line="276" w:before="180" w:after="180"/>
        <w:ind w:left="144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The scope of this policy applies to all employees, interns, and contractors (collectively referred to as “Users” in this policy).</w:t>
      </w:r>
    </w:p>
    <w:p>
      <w:pPr>
        <w:pStyle w:val="Normal1"/>
        <w:spacing w:lineRule="auto" w:line="276" w:before="180" w:after="18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Heading1"/>
        <w:keepNext w:val="false"/>
        <w:keepLines w:val="false"/>
        <w:spacing w:lineRule="auto" w:line="276" w:before="180" w:after="180"/>
        <w:rPr>
          <w:rFonts w:ascii="Times New Roman" w:hAnsi="Times New Roman" w:eastAsia="Times New Roman" w:cs="Times New Roman"/>
          <w:b/>
          <w:b/>
          <w:sz w:val="26"/>
          <w:szCs w:val="26"/>
        </w:rPr>
      </w:pPr>
      <w:bookmarkStart w:id="1" w:name="_rerr5mw2uqiw"/>
      <w:bookmarkEnd w:id="1"/>
      <w:r>
        <w:rPr>
          <w:rFonts w:eastAsia="Times New Roman" w:cs="Times New Roman" w:ascii="Times New Roman" w:hAnsi="Times New Roman"/>
          <w:b/>
          <w:sz w:val="26"/>
          <w:szCs w:val="26"/>
        </w:rPr>
        <w:t>26.3 Hiring Process</w:t>
      </w:r>
    </w:p>
    <w:p>
      <w:pPr>
        <w:pStyle w:val="Normal1"/>
        <w:spacing w:lineRule="auto" w:line="276" w:before="180" w:after="180"/>
        <w:ind w:left="144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The organization believes information security should be taken into consideration while hiring qualified individuals to fill positions. Each employee is hired to make significant contributions to [Company Name]. The following process should be followed while hiring candidates.</w:t>
      </w:r>
    </w:p>
    <w:p>
      <w:pPr>
        <w:pStyle w:val="Heading3"/>
        <w:keepNext w:val="false"/>
        <w:keepLines w:val="false"/>
        <w:spacing w:lineRule="auto" w:line="276" w:before="180" w:after="180"/>
        <w:ind w:left="1440" w:hanging="0"/>
        <w:rPr>
          <w:rFonts w:ascii="Times New Roman" w:hAnsi="Times New Roman" w:eastAsia="Times New Roman" w:cs="Times New Roman"/>
          <w:b/>
          <w:b/>
          <w:color w:val="999999"/>
          <w:sz w:val="26"/>
          <w:szCs w:val="26"/>
        </w:rPr>
      </w:pPr>
      <w:bookmarkStart w:id="2" w:name="_181h2n149fqn"/>
      <w:bookmarkEnd w:id="2"/>
      <w:r>
        <w:rPr>
          <w:rFonts w:eastAsia="Times New Roman" w:cs="Times New Roman" w:ascii="Times New Roman" w:hAnsi="Times New Roman"/>
          <w:b/>
          <w:color w:val="999999"/>
          <w:sz w:val="26"/>
          <w:szCs w:val="26"/>
        </w:rPr>
        <w:t>26.3.1 Job Postings</w:t>
      </w:r>
    </w:p>
    <w:p>
      <w:pPr>
        <w:pStyle w:val="Normal1"/>
        <w:spacing w:lineRule="auto" w:line="276" w:before="180" w:after="180"/>
        <w:ind w:left="144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Hiring managers should post the job openings on the company website or publish them in the organization's communication channel through references, etc.</w:t>
      </w:r>
    </w:p>
    <w:p>
      <w:pPr>
        <w:pStyle w:val="Heading3"/>
        <w:keepNext w:val="false"/>
        <w:keepLines w:val="false"/>
        <w:spacing w:lineRule="auto" w:line="276" w:before="180" w:after="180"/>
        <w:ind w:left="1440" w:hanging="0"/>
        <w:rPr>
          <w:rFonts w:ascii="Times New Roman" w:hAnsi="Times New Roman" w:eastAsia="Times New Roman" w:cs="Times New Roman"/>
          <w:b/>
          <w:b/>
          <w:color w:val="999999"/>
          <w:sz w:val="26"/>
          <w:szCs w:val="26"/>
        </w:rPr>
      </w:pPr>
      <w:bookmarkStart w:id="3" w:name="_bhdlg7xi4exw"/>
      <w:bookmarkEnd w:id="3"/>
      <w:r>
        <w:rPr>
          <w:rFonts w:eastAsia="Times New Roman" w:cs="Times New Roman" w:ascii="Times New Roman" w:hAnsi="Times New Roman"/>
          <w:b/>
          <w:color w:val="999999"/>
          <w:sz w:val="26"/>
          <w:szCs w:val="26"/>
        </w:rPr>
        <w:t>26.3.2 Job descriptions</w:t>
      </w:r>
    </w:p>
    <w:p>
      <w:pPr>
        <w:pStyle w:val="Normal1"/>
        <w:spacing w:lineRule="auto" w:line="276" w:before="180" w:after="180"/>
        <w:ind w:left="144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Hiring managers should create full job descriptions of each role in order to accurately represent the open position, which includes the description of the company's mission, role, list of responsibilities, requirements, etc.</w:t>
      </w:r>
    </w:p>
    <w:p>
      <w:pPr>
        <w:pStyle w:val="Heading3"/>
        <w:keepNext w:val="false"/>
        <w:keepLines w:val="false"/>
        <w:spacing w:lineRule="auto" w:line="276" w:before="180" w:after="180"/>
        <w:ind w:left="1440" w:hanging="0"/>
        <w:rPr>
          <w:rFonts w:ascii="Times New Roman" w:hAnsi="Times New Roman" w:eastAsia="Times New Roman" w:cs="Times New Roman"/>
          <w:b/>
          <w:b/>
          <w:color w:val="999999"/>
          <w:sz w:val="26"/>
          <w:szCs w:val="26"/>
        </w:rPr>
      </w:pPr>
      <w:bookmarkStart w:id="4" w:name="_4ireo69dhqxi"/>
      <w:bookmarkEnd w:id="4"/>
      <w:r>
        <w:rPr>
          <w:rFonts w:eastAsia="Times New Roman" w:cs="Times New Roman" w:ascii="Times New Roman" w:hAnsi="Times New Roman"/>
          <w:b/>
          <w:color w:val="999999"/>
          <w:sz w:val="26"/>
          <w:szCs w:val="26"/>
        </w:rPr>
        <w:t>26.3.3 Employee Selection Criteria</w:t>
      </w:r>
    </w:p>
    <w:p>
      <w:pPr>
        <w:pStyle w:val="Normal1"/>
        <w:spacing w:lineRule="auto" w:line="276" w:before="180" w:after="180"/>
        <w:ind w:left="144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The organization follows a standard hiring process according to a role’s requirements. The standard process includes</w:t>
      </w:r>
    </w:p>
    <w:p>
      <w:pPr>
        <w:pStyle w:val="Normal1"/>
        <w:numPr>
          <w:ilvl w:val="0"/>
          <w:numId w:val="1"/>
        </w:numPr>
        <w:spacing w:lineRule="auto" w:line="276" w:before="180" w:afterAutospacing="0" w:after="0"/>
        <w:ind w:left="2160" w:hanging="360"/>
        <w:rPr>
          <w:rFonts w:ascii="Times New Roman" w:hAnsi="Times New Roman" w:eastAsia="Times New Roman" w:cs="Times New Roman"/>
          <w:u w:val="none"/>
        </w:rPr>
      </w:pPr>
      <w:r>
        <w:rPr>
          <w:rFonts w:eastAsia="Times New Roman" w:cs="Times New Roman" w:ascii="Times New Roman" w:hAnsi="Times New Roman"/>
          <w:sz w:val="14"/>
          <w:szCs w:val="14"/>
        </w:rPr>
        <w:t xml:space="preserve"> </w:t>
      </w:r>
      <w:r>
        <w:rPr>
          <w:rFonts w:eastAsia="Times New Roman" w:cs="Times New Roman" w:ascii="Times New Roman" w:hAnsi="Times New Roman"/>
          <w:sz w:val="24"/>
          <w:szCs w:val="24"/>
        </w:rPr>
        <w:t>Resume screening</w:t>
      </w:r>
    </w:p>
    <w:p>
      <w:pPr>
        <w:pStyle w:val="Normal1"/>
        <w:numPr>
          <w:ilvl w:val="0"/>
          <w:numId w:val="1"/>
        </w:numPr>
        <w:spacing w:lineRule="auto" w:line="276" w:beforeAutospacing="0" w:before="0" w:afterAutospacing="0" w:after="0"/>
        <w:ind w:left="2160" w:hanging="360"/>
        <w:rPr>
          <w:rFonts w:ascii="Times New Roman" w:hAnsi="Times New Roman" w:eastAsia="Times New Roman" w:cs="Times New Roman"/>
          <w:u w:val="none"/>
        </w:rPr>
      </w:pPr>
      <w:r>
        <w:rPr>
          <w:rFonts w:eastAsia="Times New Roman" w:cs="Times New Roman" w:ascii="Times New Roman" w:hAnsi="Times New Roman"/>
          <w:sz w:val="24"/>
          <w:szCs w:val="24"/>
        </w:rPr>
        <w:t>Phone screening</w:t>
      </w:r>
    </w:p>
    <w:p>
      <w:pPr>
        <w:pStyle w:val="Normal1"/>
        <w:numPr>
          <w:ilvl w:val="0"/>
          <w:numId w:val="1"/>
        </w:numPr>
        <w:spacing w:lineRule="auto" w:line="276" w:beforeAutospacing="0" w:before="0" w:afterAutospacing="0" w:after="0"/>
        <w:ind w:left="2160" w:hanging="360"/>
        <w:rPr>
          <w:rFonts w:ascii="Times New Roman" w:hAnsi="Times New Roman" w:eastAsia="Times New Roman" w:cs="Times New Roman"/>
          <w:u w:val="none"/>
        </w:rPr>
      </w:pPr>
      <w:r>
        <w:rPr>
          <w:rFonts w:eastAsia="Times New Roman" w:cs="Times New Roman" w:ascii="Times New Roman" w:hAnsi="Times New Roman"/>
          <w:sz w:val="24"/>
          <w:szCs w:val="24"/>
        </w:rPr>
        <w:t>Evaluation of referrals (if any)</w:t>
      </w:r>
    </w:p>
    <w:p>
      <w:pPr>
        <w:pStyle w:val="Normal1"/>
        <w:numPr>
          <w:ilvl w:val="0"/>
          <w:numId w:val="1"/>
        </w:numPr>
        <w:spacing w:lineRule="auto" w:line="276" w:beforeAutospacing="0" w:before="0" w:afterAutospacing="0" w:after="0"/>
        <w:ind w:left="2160" w:hanging="360"/>
        <w:rPr>
          <w:rFonts w:ascii="Times New Roman" w:hAnsi="Times New Roman" w:eastAsia="Times New Roman" w:cs="Times New Roman"/>
          <w:u w:val="none"/>
        </w:rPr>
      </w:pPr>
      <w:r>
        <w:rPr>
          <w:rFonts w:eastAsia="Times New Roman" w:cs="Times New Roman" w:ascii="Times New Roman" w:hAnsi="Times New Roman"/>
          <w:sz w:val="14"/>
          <w:szCs w:val="14"/>
        </w:rPr>
        <w:t xml:space="preserve"> </w:t>
      </w:r>
      <w:r>
        <w:rPr>
          <w:rFonts w:eastAsia="Times New Roman" w:cs="Times New Roman" w:ascii="Times New Roman" w:hAnsi="Times New Roman"/>
          <w:sz w:val="24"/>
          <w:szCs w:val="24"/>
        </w:rPr>
        <w:t>Assignment (if applicable)</w:t>
      </w:r>
    </w:p>
    <w:p>
      <w:pPr>
        <w:pStyle w:val="Normal1"/>
        <w:numPr>
          <w:ilvl w:val="0"/>
          <w:numId w:val="1"/>
        </w:numPr>
        <w:spacing w:lineRule="auto" w:line="276" w:beforeAutospacing="0" w:before="0" w:after="180"/>
        <w:ind w:left="2160" w:hanging="360"/>
        <w:rPr>
          <w:rFonts w:ascii="Times New Roman" w:hAnsi="Times New Roman" w:eastAsia="Times New Roman" w:cs="Times New Roman"/>
          <w:u w:val="none"/>
        </w:rPr>
      </w:pPr>
      <w:r>
        <w:rPr>
          <w:rFonts w:eastAsia="Times New Roman" w:cs="Times New Roman" w:ascii="Times New Roman" w:hAnsi="Times New Roman"/>
          <w:sz w:val="14"/>
          <w:szCs w:val="14"/>
        </w:rPr>
        <w:t xml:space="preserve"> </w:t>
      </w:r>
      <w:r>
        <w:rPr>
          <w:rFonts w:eastAsia="Times New Roman" w:cs="Times New Roman" w:ascii="Times New Roman" w:hAnsi="Times New Roman"/>
          <w:sz w:val="24"/>
          <w:szCs w:val="24"/>
        </w:rPr>
        <w:t>Interview</w:t>
      </w:r>
    </w:p>
    <w:p>
      <w:pPr>
        <w:pStyle w:val="Normal1"/>
        <w:spacing w:lineRule="auto" w:line="276" w:before="180" w:after="180"/>
        <w:ind w:left="144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The organization's hiring manager should provide feedback on the interview, whether it is positive or negative.</w:t>
      </w:r>
    </w:p>
    <w:p>
      <w:pPr>
        <w:pStyle w:val="Normal1"/>
        <w:spacing w:lineRule="auto" w:line="276" w:before="180" w:after="180"/>
        <w:ind w:left="144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1"/>
        <w:keepNext w:val="false"/>
        <w:keepLines w:val="false"/>
        <w:spacing w:lineRule="auto" w:line="276" w:before="480" w:after="120"/>
        <w:rPr>
          <w:rFonts w:ascii="Times New Roman" w:hAnsi="Times New Roman" w:eastAsia="Times New Roman" w:cs="Times New Roman"/>
          <w:b/>
          <w:b/>
          <w:sz w:val="26"/>
          <w:szCs w:val="26"/>
        </w:rPr>
      </w:pPr>
      <w:bookmarkStart w:id="5" w:name="_3g7pbygwhi5j"/>
      <w:bookmarkEnd w:id="5"/>
      <w:r>
        <w:rPr>
          <w:rFonts w:eastAsia="Times New Roman" w:cs="Times New Roman" w:ascii="Times New Roman" w:hAnsi="Times New Roman"/>
          <w:b/>
          <w:sz w:val="26"/>
          <w:szCs w:val="26"/>
        </w:rPr>
        <w:t>26.4 Prior to Employment</w:t>
      </w:r>
    </w:p>
    <w:p>
      <w:pPr>
        <w:pStyle w:val="Heading1"/>
        <w:keepNext w:val="false"/>
        <w:keepLines w:val="false"/>
        <w:numPr>
          <w:ilvl w:val="0"/>
          <w:numId w:val="7"/>
        </w:numPr>
        <w:spacing w:lineRule="auto" w:line="276" w:before="480" w:after="120"/>
        <w:ind w:left="2160" w:hanging="360"/>
        <w:rPr>
          <w:rFonts w:ascii="Times New Roman" w:hAnsi="Times New Roman" w:eastAsia="Times New Roman" w:cs="Times New Roman"/>
          <w:u w:val="none"/>
        </w:rPr>
      </w:pPr>
      <w:bookmarkStart w:id="6" w:name="_5qcvyl9uoobp"/>
      <w:bookmarkEnd w:id="6"/>
      <w:r>
        <w:rPr>
          <w:rFonts w:eastAsia="Times New Roman" w:cs="Times New Roman" w:ascii="Times New Roman" w:hAnsi="Times New Roman"/>
          <w:sz w:val="14"/>
          <w:szCs w:val="14"/>
        </w:rPr>
        <w:t xml:space="preserve"> </w:t>
      </w:r>
      <w:r>
        <w:rPr>
          <w:rFonts w:eastAsia="Times New Roman" w:cs="Times New Roman" w:ascii="Times New Roman" w:hAnsi="Times New Roman"/>
          <w:sz w:val="24"/>
          <w:szCs w:val="24"/>
        </w:rPr>
        <w:t>All recruitments shall be done after careful scrutiny and examination. All candidates for employment, including contractors and third-party users, must undergo background verification checks in accordance with the appropriate laws. The screening must include verification of the following:</w:t>
      </w:r>
    </w:p>
    <w:p>
      <w:pPr>
        <w:pStyle w:val="Normal1"/>
        <w:spacing w:lineRule="auto" w:line="276"/>
        <w:ind w:left="32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24"/>
          <w:szCs w:val="24"/>
        </w:rPr>
        <w:t>Identity</w:t>
      </w:r>
    </w:p>
    <w:p>
      <w:pPr>
        <w:pStyle w:val="Normal1"/>
        <w:spacing w:lineRule="auto" w:line="276"/>
        <w:ind w:left="32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24"/>
          <w:szCs w:val="24"/>
        </w:rPr>
        <w:t>Education, skills, and experience</w:t>
      </w:r>
    </w:p>
    <w:p>
      <w:pPr>
        <w:pStyle w:val="Normal1"/>
        <w:spacing w:lineRule="auto" w:line="276"/>
        <w:ind w:left="32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24"/>
          <w:szCs w:val="24"/>
        </w:rPr>
        <w:t>Employment History</w:t>
      </w:r>
    </w:p>
    <w:p>
      <w:pPr>
        <w:pStyle w:val="Normal1"/>
        <w:spacing w:lineRule="auto" w:line="276" w:before="0" w:after="40"/>
        <w:ind w:left="32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24"/>
          <w:szCs w:val="24"/>
        </w:rPr>
        <w:t>Character references</w:t>
      </w:r>
    </w:p>
    <w:p>
      <w:pPr>
        <w:pStyle w:val="Normal1"/>
        <w:numPr>
          <w:ilvl w:val="0"/>
          <w:numId w:val="3"/>
        </w:numPr>
        <w:spacing w:lineRule="auto" w:line="276" w:before="0" w:after="40"/>
        <w:ind w:left="2160" w:hanging="36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All the newly hired are required to acknowledge a number of documents within a week of their hiring. These should include, at minimum, the following:</w:t>
      </w:r>
    </w:p>
    <w:p>
      <w:pPr>
        <w:pStyle w:val="Normal1"/>
        <w:spacing w:lineRule="auto" w:line="276"/>
        <w:ind w:left="32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24"/>
          <w:szCs w:val="24"/>
        </w:rPr>
        <w:t>The employee handbook</w:t>
      </w:r>
    </w:p>
    <w:p>
      <w:pPr>
        <w:pStyle w:val="Normal1"/>
        <w:spacing w:lineRule="auto" w:line="276"/>
        <w:ind w:left="32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24"/>
          <w:szCs w:val="24"/>
        </w:rPr>
        <w:t>The acceptable use policy</w:t>
      </w:r>
    </w:p>
    <w:p>
      <w:pPr>
        <w:pStyle w:val="Normal1"/>
        <w:spacing w:lineRule="auto" w:line="276"/>
        <w:ind w:left="32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24"/>
          <w:szCs w:val="24"/>
        </w:rPr>
        <w:t>The privacy and information security policies, as applicable to the specific role</w:t>
      </w:r>
    </w:p>
    <w:p>
      <w:pPr>
        <w:pStyle w:val="Normal1"/>
        <w:spacing w:lineRule="auto" w:line="276" w:before="0" w:after="40"/>
        <w:ind w:left="32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24"/>
          <w:szCs w:val="24"/>
        </w:rPr>
        <w:t>{Organization’s} non-disclosure and confidentiality agreement (NDA)</w:t>
      </w:r>
    </w:p>
    <w:p>
      <w:pPr>
        <w:pStyle w:val="Normal1"/>
        <w:numPr>
          <w:ilvl w:val="0"/>
          <w:numId w:val="4"/>
        </w:numPr>
        <w:spacing w:lineRule="auto" w:line="276" w:before="0" w:afterAutospacing="0" w:after="0"/>
        <w:ind w:left="2160" w:hanging="36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Under no circumstances should access be requested and granted verbally. All users shall have a contractual agreement with the organization not to divulge any confidential or sensitive information to any unauthorized parties. Also, Contractual agreements with all employees and contractors will clearly outline the responsibility of the individual/contractor to information security.</w:t>
      </w:r>
    </w:p>
    <w:p>
      <w:pPr>
        <w:pStyle w:val="Normal1"/>
        <w:numPr>
          <w:ilvl w:val="0"/>
          <w:numId w:val="4"/>
        </w:numPr>
        <w:spacing w:lineRule="auto" w:line="276"/>
        <w:ind w:left="2160" w:hanging="36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Roles and responsibilities shall be defined in a job description highlighting the responsibilities and required skills for specific roles and communicated to individuals.</w:t>
      </w:r>
    </w:p>
    <w:p>
      <w:pPr>
        <w:pStyle w:val="Normal1"/>
        <w:numPr>
          <w:ilvl w:val="0"/>
          <w:numId w:val="4"/>
        </w:numPr>
        <w:spacing w:lineRule="auto" w:line="276"/>
        <w:ind w:left="2160" w:hanging="36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The organization shall conduct periodic training and awareness programs for all users on information security responsibilities.</w:t>
      </w:r>
    </w:p>
    <w:p>
      <w:pPr>
        <w:pStyle w:val="Heading1"/>
        <w:keepNext w:val="false"/>
        <w:keepLines w:val="false"/>
        <w:spacing w:lineRule="auto" w:line="276" w:before="480" w:after="120"/>
        <w:rPr>
          <w:rFonts w:ascii="Times New Roman" w:hAnsi="Times New Roman" w:eastAsia="Times New Roman" w:cs="Times New Roman"/>
          <w:b/>
          <w:b/>
          <w:sz w:val="26"/>
          <w:szCs w:val="26"/>
        </w:rPr>
      </w:pPr>
      <w:bookmarkStart w:id="7" w:name="_nuccb36mwmwx"/>
      <w:bookmarkEnd w:id="7"/>
      <w:r>
        <w:rPr>
          <w:rFonts w:eastAsia="Times New Roman" w:cs="Times New Roman" w:ascii="Times New Roman" w:hAnsi="Times New Roman"/>
          <w:b/>
          <w:sz w:val="26"/>
          <w:szCs w:val="26"/>
        </w:rPr>
        <w:t>26.5 During Employment</w:t>
      </w:r>
    </w:p>
    <w:p>
      <w:pPr>
        <w:pStyle w:val="Normal1"/>
        <w:numPr>
          <w:ilvl w:val="0"/>
          <w:numId w:val="2"/>
        </w:numPr>
        <w:spacing w:lineRule="auto" w:line="276" w:before="240" w:afterAutospacing="0" w:after="0"/>
        <w:ind w:left="2160" w:hanging="36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The organization shall conduct annual performance evaluations by the end of each calendar year for employees who have been with the organization for more than a year. Respective supervisors shall be responsible for performing these formal performance evaluations at least annually based on the criteria and objectives outlined in the job descriptions. A review of job descriptions shall be performed, and any changes shall be communicated to individuals by management.</w:t>
      </w:r>
    </w:p>
    <w:p>
      <w:pPr>
        <w:pStyle w:val="Normal1"/>
        <w:numPr>
          <w:ilvl w:val="0"/>
          <w:numId w:val="2"/>
        </w:numPr>
        <w:spacing w:lineRule="auto" w:line="276" w:beforeAutospacing="0" w:before="0" w:after="240"/>
        <w:ind w:left="2160" w:hanging="36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Management must require and ensure all employees and contractors adhere to applicable information policies and procedures within the organization. Managers must ensure that personnel apply security in accordance with standards, policies, and procedures by:</w:t>
      </w:r>
    </w:p>
    <w:p>
      <w:pPr>
        <w:pStyle w:val="Normal1"/>
        <w:spacing w:lineRule="auto" w:line="276"/>
        <w:ind w:left="32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1.</w:t>
      </w:r>
      <w:r>
        <w:rPr>
          <w:rFonts w:eastAsia="Times New Roman" w:cs="Times New Roman" w:ascii="Times New Roman" w:hAnsi="Times New Roman"/>
          <w:sz w:val="14"/>
          <w:szCs w:val="14"/>
        </w:rPr>
        <w:t xml:space="preserve"> </w:t>
        <w:tab/>
      </w:r>
      <w:r>
        <w:rPr>
          <w:rFonts w:eastAsia="Times New Roman" w:cs="Times New Roman" w:ascii="Times New Roman" w:hAnsi="Times New Roman"/>
          <w:sz w:val="24"/>
          <w:szCs w:val="24"/>
        </w:rPr>
        <w:t>Briefing all personnel on their security roles and responsibilities prior to granting access to sensitive data and systems</w:t>
      </w:r>
    </w:p>
    <w:p>
      <w:pPr>
        <w:pStyle w:val="Normal1"/>
        <w:spacing w:lineRule="auto" w:line="276"/>
        <w:ind w:left="32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2.</w:t>
      </w:r>
      <w:r>
        <w:rPr>
          <w:rFonts w:eastAsia="Times New Roman" w:cs="Times New Roman" w:ascii="Times New Roman" w:hAnsi="Times New Roman"/>
          <w:sz w:val="14"/>
          <w:szCs w:val="14"/>
        </w:rPr>
        <w:t xml:space="preserve"> </w:t>
        <w:tab/>
      </w:r>
      <w:r>
        <w:rPr>
          <w:rFonts w:eastAsia="Times New Roman" w:cs="Times New Roman" w:ascii="Times New Roman" w:hAnsi="Times New Roman"/>
          <w:sz w:val="24"/>
          <w:szCs w:val="24"/>
        </w:rPr>
        <w:t>Ensuring all personnel have access to these Information Security Standards</w:t>
      </w:r>
    </w:p>
    <w:p>
      <w:pPr>
        <w:pStyle w:val="Normal1"/>
        <w:spacing w:lineRule="auto" w:line="276"/>
        <w:ind w:left="32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3.</w:t>
      </w:r>
      <w:r>
        <w:rPr>
          <w:rFonts w:eastAsia="Times New Roman" w:cs="Times New Roman" w:ascii="Times New Roman" w:hAnsi="Times New Roman"/>
          <w:sz w:val="14"/>
          <w:szCs w:val="14"/>
        </w:rPr>
        <w:t xml:space="preserve"> </w:t>
        <w:tab/>
      </w:r>
      <w:r>
        <w:rPr>
          <w:rFonts w:eastAsia="Times New Roman" w:cs="Times New Roman" w:ascii="Times New Roman" w:hAnsi="Times New Roman"/>
          <w:sz w:val="24"/>
          <w:szCs w:val="24"/>
        </w:rPr>
        <w:t>Ensuring all personnel conform to the terms and conditions of employment.</w:t>
      </w:r>
    </w:p>
    <w:p>
      <w:pPr>
        <w:pStyle w:val="Normal1"/>
        <w:spacing w:lineRule="auto" w:line="276"/>
        <w:ind w:left="32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4.</w:t>
      </w:r>
      <w:r>
        <w:rPr>
          <w:rFonts w:eastAsia="Times New Roman" w:cs="Times New Roman" w:ascii="Times New Roman" w:hAnsi="Times New Roman"/>
          <w:sz w:val="14"/>
          <w:szCs w:val="14"/>
        </w:rPr>
        <w:t xml:space="preserve"> </w:t>
        <w:tab/>
      </w:r>
      <w:r>
        <w:rPr>
          <w:rFonts w:eastAsia="Times New Roman" w:cs="Times New Roman" w:ascii="Times New Roman" w:hAnsi="Times New Roman"/>
          <w:sz w:val="24"/>
          <w:szCs w:val="24"/>
        </w:rPr>
        <w:t>This includes access agreements, which must be signed by personnel prior to being granted access.</w:t>
      </w:r>
    </w:p>
    <w:p>
      <w:pPr>
        <w:pStyle w:val="Normal1"/>
        <w:spacing w:lineRule="auto" w:line="276" w:before="24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numPr>
          <w:ilvl w:val="0"/>
          <w:numId w:val="6"/>
        </w:numPr>
        <w:spacing w:lineRule="auto" w:line="276"/>
        <w:ind w:left="2160" w:hanging="36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All employees must undergo awareness training based on their roles, as well as relevant updates in policies and procedures applicable to their jobs:</w:t>
      </w:r>
    </w:p>
    <w:p>
      <w:pPr>
        <w:pStyle w:val="Normal1"/>
        <w:spacing w:lineRule="auto" w:line="276"/>
        <w:ind w:left="32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1. </w:t>
        <w:tab/>
        <w:t>Safeguarding sensitive information</w:t>
      </w:r>
    </w:p>
    <w:p>
      <w:pPr>
        <w:pStyle w:val="Normal1"/>
        <w:spacing w:lineRule="auto" w:line="276"/>
        <w:ind w:left="32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2. </w:t>
        <w:tab/>
        <w:t>Known threats to Information security.</w:t>
      </w:r>
    </w:p>
    <w:p>
      <w:pPr>
        <w:pStyle w:val="Normal1"/>
        <w:spacing w:lineRule="auto" w:line="276"/>
        <w:ind w:left="32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3. </w:t>
        <w:tab/>
        <w:t>Information security standards, policies, directives, and guidelines</w:t>
      </w:r>
    </w:p>
    <w:p>
      <w:pPr>
        <w:pStyle w:val="Normal1"/>
        <w:spacing w:lineRule="auto" w:line="276"/>
        <w:ind w:left="32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4. </w:t>
        <w:tab/>
        <w:t>How to report information security events</w:t>
      </w:r>
    </w:p>
    <w:p>
      <w:pPr>
        <w:pStyle w:val="Normal1"/>
        <w:spacing w:lineRule="auto" w:line="276"/>
        <w:ind w:left="32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5. </w:t>
        <w:tab/>
        <w:t>Related disciplinary processes.</w:t>
      </w:r>
    </w:p>
    <w:p>
      <w:pPr>
        <w:pStyle w:val="Normal1"/>
        <w:spacing w:lineRule="auto" w:line="276"/>
        <w:ind w:left="32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6. </w:t>
        <w:tab/>
        <w:t>How to obtain security advice</w:t>
      </w:r>
    </w:p>
    <w:p>
      <w:pPr>
        <w:pStyle w:val="Normal1"/>
        <w:spacing w:lineRule="auto" w:line="276"/>
        <w:ind w:left="32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7. </w:t>
        <w:tab/>
        <w:t>Training must be accompanied by an assessment procedure based on the cyber security training content presented to determine comprehension of key cyber security concepts and procedures.</w:t>
      </w:r>
    </w:p>
    <w:p>
      <w:pPr>
        <w:pStyle w:val="Normal1"/>
        <w:numPr>
          <w:ilvl w:val="0"/>
          <w:numId w:val="5"/>
        </w:numPr>
        <w:spacing w:lineRule="auto" w:line="276" w:before="240" w:afterAutospacing="0" w:after="0"/>
        <w:ind w:left="2160" w:hanging="36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There must be a formal and communicated disciplinary process in place to act against employees who have committed an information security breach.</w:t>
      </w:r>
    </w:p>
    <w:p>
      <w:pPr>
        <w:pStyle w:val="Normal1"/>
        <w:numPr>
          <w:ilvl w:val="0"/>
          <w:numId w:val="5"/>
        </w:numPr>
        <w:spacing w:lineRule="auto" w:line="276" w:beforeAutospacing="0" w:before="0" w:afterAutospacing="0" w:after="0"/>
        <w:ind w:left="2160" w:hanging="36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When it is determined that an employee or contractor was responsible for a security breach or a violation of standards or policies, the Information Security Branch must notify the appropriate personnel in the organization.</w:t>
      </w:r>
    </w:p>
    <w:p>
      <w:pPr>
        <w:pStyle w:val="Normal1"/>
        <w:numPr>
          <w:ilvl w:val="0"/>
          <w:numId w:val="5"/>
        </w:numPr>
        <w:spacing w:lineRule="auto" w:line="276" w:beforeAutospacing="0" w:before="0" w:after="0"/>
        <w:ind w:left="2160" w:hanging="36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Appropriate personnel in the organization must review details of the incident, consider disciplinary action if warranted, and arrange for permanent or temporary removal of access privileges when appropriate.</w:t>
      </w:r>
    </w:p>
    <w:p>
      <w:pPr>
        <w:pStyle w:val="Heading1"/>
        <w:keepNext w:val="false"/>
        <w:keepLines w:val="false"/>
        <w:spacing w:lineRule="auto" w:line="276" w:before="480" w:after="120"/>
        <w:rPr>
          <w:rFonts w:ascii="Times New Roman" w:hAnsi="Times New Roman" w:eastAsia="Times New Roman" w:cs="Times New Roman"/>
          <w:b/>
          <w:b/>
          <w:sz w:val="26"/>
          <w:szCs w:val="26"/>
        </w:rPr>
      </w:pPr>
      <w:bookmarkStart w:id="8" w:name="_gau25wezfqgz"/>
      <w:bookmarkEnd w:id="8"/>
      <w:r>
        <w:rPr>
          <w:rFonts w:eastAsia="Times New Roman" w:cs="Times New Roman" w:ascii="Times New Roman" w:hAnsi="Times New Roman"/>
          <w:b/>
          <w:sz w:val="26"/>
          <w:szCs w:val="26"/>
        </w:rPr>
        <w:t>26.6 Termination and Change of Employment</w:t>
      </w:r>
    </w:p>
    <w:p>
      <w:pPr>
        <w:pStyle w:val="Normal1"/>
        <w:numPr>
          <w:ilvl w:val="0"/>
          <w:numId w:val="8"/>
        </w:numPr>
        <w:spacing w:lineRule="auto" w:line="276"/>
        <w:ind w:left="2160" w:hanging="360"/>
        <w:rPr>
          <w:rFonts w:ascii="Times New Roman" w:hAnsi="Times New Roman" w:eastAsia="Times New Roman" w:cs="Times New Roman"/>
          <w:u w:val="none"/>
        </w:rPr>
      </w:pPr>
      <w:r>
        <w:rPr>
          <w:rFonts w:eastAsia="Times New Roman" w:cs="Times New Roman" w:ascii="Times New Roman" w:hAnsi="Times New Roman"/>
          <w:sz w:val="14"/>
          <w:szCs w:val="14"/>
        </w:rPr>
        <w:t xml:space="preserve"> </w:t>
      </w:r>
      <w:r>
        <w:rPr>
          <w:rFonts w:eastAsia="Times New Roman" w:cs="Times New Roman" w:ascii="Times New Roman" w:hAnsi="Times New Roman"/>
          <w:sz w:val="24"/>
          <w:szCs w:val="24"/>
        </w:rPr>
        <w:t>Managers must advise personnel of their information security responsibilities when employment changes or is terminated. Terminated employees and contractors must be made aware of:</w:t>
      </w:r>
    </w:p>
    <w:p>
      <w:pPr>
        <w:pStyle w:val="Normal1"/>
        <w:spacing w:lineRule="auto" w:line="276"/>
        <w:ind w:left="32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Ongoing security requirements, including the need to not disclose sensitive information.</w:t>
      </w:r>
    </w:p>
    <w:p>
      <w:pPr>
        <w:pStyle w:val="Normal1"/>
        <w:spacing w:lineRule="auto" w:line="276"/>
        <w:ind w:left="32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Legal responsibilities.</w:t>
      </w:r>
    </w:p>
    <w:p>
      <w:pPr>
        <w:pStyle w:val="Normal1"/>
        <w:spacing w:lineRule="auto" w:line="276"/>
        <w:ind w:left="32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Responsibilities described in confidentiality or non-disclosure agreements.</w:t>
      </w:r>
    </w:p>
    <w:p>
      <w:pPr>
        <w:pStyle w:val="Normal1"/>
        <w:spacing w:lineRule="auto" w:line="276"/>
        <w:ind w:left="32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Any other applicable policy standards or contracts.</w:t>
      </w:r>
    </w:p>
    <w:p>
      <w:pPr>
        <w:pStyle w:val="Normal1"/>
        <w:spacing w:lineRule="auto" w:line="276"/>
        <w:ind w:left="32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This process includes exit interviews and removal of documents (and all copies thereof) and other property and materials in their possession or control.</w:t>
      </w:r>
    </w:p>
    <w:p>
      <w:pPr>
        <w:pStyle w:val="Normal1"/>
        <w:spacing w:lineRule="auto" w:line="276" w:before="24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Heading1"/>
        <w:keepNext w:val="false"/>
        <w:keepLines w:val="false"/>
        <w:spacing w:lineRule="auto" w:line="276" w:before="480" w:after="120"/>
        <w:rPr>
          <w:rFonts w:ascii="Times New Roman" w:hAnsi="Times New Roman" w:eastAsia="Times New Roman" w:cs="Times New Roman"/>
          <w:b/>
          <w:b/>
          <w:sz w:val="26"/>
          <w:szCs w:val="26"/>
        </w:rPr>
      </w:pPr>
      <w:r>
        <w:rPr>
          <w:rFonts w:eastAsia="Times New Roman" w:cs="Times New Roman" w:ascii="Times New Roman" w:hAnsi="Times New Roman"/>
          <w:b/>
          <w:sz w:val="26"/>
          <w:szCs w:val="26"/>
        </w:rPr>
      </w:r>
      <w:bookmarkStart w:id="9" w:name="_hh718um3iued"/>
      <w:bookmarkStart w:id="10" w:name="_hh718um3iued"/>
      <w:bookmarkEnd w:id="10"/>
    </w:p>
    <w:p>
      <w:pPr>
        <w:pStyle w:val="Heading1"/>
        <w:keepNext w:val="false"/>
        <w:keepLines w:val="false"/>
        <w:spacing w:lineRule="auto" w:line="276" w:before="480" w:after="120"/>
        <w:rPr>
          <w:rFonts w:ascii="Times New Roman" w:hAnsi="Times New Roman" w:eastAsia="Times New Roman" w:cs="Times New Roman"/>
          <w:b/>
          <w:b/>
          <w:sz w:val="26"/>
          <w:szCs w:val="26"/>
        </w:rPr>
      </w:pPr>
      <w:bookmarkStart w:id="11" w:name="_opkwfiub0nhx"/>
      <w:bookmarkEnd w:id="11"/>
      <w:r>
        <w:rPr>
          <w:rFonts w:eastAsia="Times New Roman" w:cs="Times New Roman" w:ascii="Times New Roman" w:hAnsi="Times New Roman"/>
          <w:b/>
          <w:sz w:val="26"/>
          <w:szCs w:val="26"/>
        </w:rPr>
        <w:t>26.7 Exceptions</w:t>
      </w:r>
    </w:p>
    <w:p>
      <w:pPr>
        <w:pStyle w:val="Normal1"/>
        <w:spacing w:lineRule="auto" w:line="276" w:before="180" w:after="180"/>
        <w:ind w:left="144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In certain circumstances, exceptions to this policy may be allowed based on a review and acceptance of risk by the Security Governance Committee or any personnel in charge. Exceptions to this policy must be formally documented and approved by the Chief Information Officer or person in charge under the guidance of the Information Security Branch. Policy exceptions will be reviewed periodically for appropriateness.</w:t>
      </w:r>
    </w:p>
    <w:p>
      <w:pPr>
        <w:pStyle w:val="Heading1"/>
        <w:keepNext w:val="false"/>
        <w:keepLines w:val="false"/>
        <w:spacing w:lineRule="auto" w:line="276" w:before="480" w:after="120"/>
        <w:rPr>
          <w:rFonts w:ascii="Times New Roman" w:hAnsi="Times New Roman" w:eastAsia="Times New Roman" w:cs="Times New Roman"/>
          <w:b/>
          <w:b/>
          <w:sz w:val="26"/>
          <w:szCs w:val="26"/>
        </w:rPr>
      </w:pPr>
      <w:bookmarkStart w:id="12" w:name="_rcf5ew91275b"/>
      <w:bookmarkEnd w:id="12"/>
      <w:r>
        <w:rPr>
          <w:rFonts w:eastAsia="Times New Roman" w:cs="Times New Roman" w:ascii="Times New Roman" w:hAnsi="Times New Roman"/>
          <w:b/>
          <w:sz w:val="26"/>
          <w:szCs w:val="26"/>
        </w:rPr>
        <w:t>26.8 Non-Compliance</w:t>
      </w:r>
    </w:p>
    <w:p>
      <w:pPr>
        <w:pStyle w:val="Normal1"/>
        <w:spacing w:lineRule="auto" w:line="276" w:before="180" w:after="180"/>
        <w:ind w:left="144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In cases where it is determined that a breach or violation of policies has occurred, the Information Security Branch, under the direction of the Chief Information Officer or the person responsible, will initiate corrective measures, including restricting access to services or initiating disciplinary action up to and including dismissal, or in the case of contractors, vendors, or agents, the termination of a contract or agreement with the contractor, vendor, or agent.</w:t>
      </w:r>
    </w:p>
    <w:p>
      <w:pPr>
        <w:pStyle w:val="Normal1"/>
        <w:spacing w:lineRule="auto" w:line="276" w:before="180" w:after="18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76" w:before="240" w:after="240"/>
        <w:rPr>
          <w:rFonts w:ascii="Times New Roman" w:hAnsi="Times New Roman" w:eastAsia="Times New Roman" w:cs="Times New Roman"/>
          <w:b/>
          <w:b/>
          <w:color w:val="0B5394"/>
          <w:sz w:val="28"/>
          <w:szCs w:val="28"/>
        </w:rPr>
      </w:pPr>
      <w:r>
        <w:rPr>
          <w:rFonts w:eastAsia="Times New Roman" w:cs="Times New Roman" w:ascii="Times New Roman" w:hAnsi="Times New Roman"/>
          <w:b/>
          <w:color w:val="0B5394"/>
          <w:sz w:val="28"/>
          <w:szCs w:val="28"/>
        </w:rPr>
      </w:r>
    </w:p>
    <w:p>
      <w:pPr>
        <w:pStyle w:val="Normal1"/>
        <w:ind w:left="2160" w:hanging="0"/>
        <w:rPr>
          <w:rFonts w:ascii="Times New Roman" w:hAnsi="Times New Roman" w:eastAsia="Times New Roman" w:cs="Times New Roman"/>
          <w:sz w:val="24"/>
          <w:szCs w:val="24"/>
        </w:rPr>
      </w:pPr>
      <w:r>
        <w:rPr/>
      </w:r>
    </w:p>
    <w:sectPr>
      <w:headerReference w:type="default" r:id="rId2"/>
      <w:footerReference w:type="default" r:id="rId3"/>
      <w:type w:val="nextPage"/>
      <w:pgSz w:w="12240" w:h="15840"/>
      <w:pgMar w:left="720" w:right="720" w:gutter="0" w:header="720" w:top="1080" w:footer="720" w:bottom="108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variable"/>
  </w:font>
  <w:font w:name="Verdana">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2160" w:hanging="360"/>
      </w:pPr>
      <w:rPr>
        <w:rFonts w:ascii="Wingdings" w:hAnsi="Wingdings" w:cs="Wingdings" w:hint="default"/>
        <w:u w:val="none"/>
      </w:rPr>
    </w:lvl>
    <w:lvl w:ilvl="1">
      <w:start w:val="1"/>
      <w:numFmt w:val="bullet"/>
      <w:lvlText w:val=""/>
      <w:lvlJc w:val="left"/>
      <w:pPr>
        <w:tabs>
          <w:tab w:val="num" w:pos="0"/>
        </w:tabs>
        <w:ind w:left="2880" w:hanging="360"/>
      </w:pPr>
      <w:rPr>
        <w:rFonts w:ascii="Wingdings 2" w:hAnsi="Wingdings 2" w:cs="Wingdings 2" w:hint="default"/>
        <w:u w:val="none"/>
      </w:rPr>
    </w:lvl>
    <w:lvl w:ilvl="2">
      <w:start w:val="1"/>
      <w:numFmt w:val="bullet"/>
      <w:lvlText w:val="■"/>
      <w:lvlJc w:val="left"/>
      <w:pPr>
        <w:tabs>
          <w:tab w:val="num" w:pos="0"/>
        </w:tabs>
        <w:ind w:left="3600" w:hanging="360"/>
      </w:pPr>
      <w:rPr>
        <w:rFonts w:ascii="OpenSymbol" w:hAnsi="OpenSymbol" w:cs="OpenSymbol" w:hint="default"/>
        <w:u w:val="none"/>
      </w:rPr>
    </w:lvl>
    <w:lvl w:ilvl="3">
      <w:start w:val="1"/>
      <w:numFmt w:val="bullet"/>
      <w:lvlText w:val=""/>
      <w:lvlJc w:val="left"/>
      <w:pPr>
        <w:tabs>
          <w:tab w:val="num" w:pos="0"/>
        </w:tabs>
        <w:ind w:left="4320" w:hanging="360"/>
      </w:pPr>
      <w:rPr>
        <w:rFonts w:ascii="Wingdings" w:hAnsi="Wingdings" w:cs="Wingdings" w:hint="default"/>
        <w:u w:val="none"/>
      </w:rPr>
    </w:lvl>
    <w:lvl w:ilvl="4">
      <w:start w:val="1"/>
      <w:numFmt w:val="bullet"/>
      <w:lvlText w:val=""/>
      <w:lvlJc w:val="left"/>
      <w:pPr>
        <w:tabs>
          <w:tab w:val="num" w:pos="0"/>
        </w:tabs>
        <w:ind w:left="5040" w:hanging="360"/>
      </w:pPr>
      <w:rPr>
        <w:rFonts w:ascii="Wingdings 2" w:hAnsi="Wingdings 2" w:cs="Wingdings 2" w:hint="default"/>
        <w:u w:val="none"/>
      </w:rPr>
    </w:lvl>
    <w:lvl w:ilvl="5">
      <w:start w:val="1"/>
      <w:numFmt w:val="bullet"/>
      <w:lvlText w:val="■"/>
      <w:lvlJc w:val="left"/>
      <w:pPr>
        <w:tabs>
          <w:tab w:val="num" w:pos="0"/>
        </w:tabs>
        <w:ind w:left="5760" w:hanging="360"/>
      </w:pPr>
      <w:rPr>
        <w:rFonts w:ascii="OpenSymbol" w:hAnsi="OpenSymbol" w:cs="OpenSymbol" w:hint="default"/>
        <w:u w:val="none"/>
      </w:rPr>
    </w:lvl>
    <w:lvl w:ilvl="6">
      <w:start w:val="1"/>
      <w:numFmt w:val="bullet"/>
      <w:lvlText w:val=""/>
      <w:lvlJc w:val="left"/>
      <w:pPr>
        <w:tabs>
          <w:tab w:val="num" w:pos="0"/>
        </w:tabs>
        <w:ind w:left="6480" w:hanging="360"/>
      </w:pPr>
      <w:rPr>
        <w:rFonts w:ascii="Wingdings" w:hAnsi="Wingdings" w:cs="Wingdings" w:hint="default"/>
        <w:u w:val="none"/>
      </w:rPr>
    </w:lvl>
    <w:lvl w:ilvl="7">
      <w:start w:val="1"/>
      <w:numFmt w:val="bullet"/>
      <w:lvlText w:val=""/>
      <w:lvlJc w:val="left"/>
      <w:pPr>
        <w:tabs>
          <w:tab w:val="num" w:pos="0"/>
        </w:tabs>
        <w:ind w:left="7200" w:hanging="360"/>
      </w:pPr>
      <w:rPr>
        <w:rFonts w:ascii="Wingdings 2" w:hAnsi="Wingdings 2" w:cs="Wingdings 2" w:hint="default"/>
        <w:u w:val="none"/>
      </w:rPr>
    </w:lvl>
    <w:lvl w:ilvl="8">
      <w:start w:val="1"/>
      <w:numFmt w:val="bullet"/>
      <w:lvlText w:val="■"/>
      <w:lvlJc w:val="left"/>
      <w:pPr>
        <w:tabs>
          <w:tab w:val="num" w:pos="0"/>
        </w:tabs>
        <w:ind w:left="7920" w:hanging="360"/>
      </w:pPr>
      <w:rPr>
        <w:rFonts w:ascii="OpenSymbol" w:hAnsi="OpenSymbol" w:cs="OpenSymbol" w:hint="default"/>
        <w:u w:val="none"/>
      </w:rPr>
    </w:lvl>
  </w:abstractNum>
  <w:abstractNum w:abstractNumId="2">
    <w:lvl w:ilvl="0">
      <w:start w:val="1"/>
      <w:numFmt w:val="bullet"/>
      <w:lvlText w:val=""/>
      <w:lvlJc w:val="left"/>
      <w:pPr>
        <w:tabs>
          <w:tab w:val="num" w:pos="0"/>
        </w:tabs>
        <w:ind w:left="2160" w:hanging="360"/>
      </w:pPr>
      <w:rPr>
        <w:rFonts w:ascii="Wingdings" w:hAnsi="Wingdings" w:cs="Wingdings" w:hint="default"/>
        <w:u w:val="none"/>
      </w:rPr>
    </w:lvl>
    <w:lvl w:ilvl="1">
      <w:start w:val="1"/>
      <w:numFmt w:val="bullet"/>
      <w:lvlText w:val=""/>
      <w:lvlJc w:val="left"/>
      <w:pPr>
        <w:tabs>
          <w:tab w:val="num" w:pos="0"/>
        </w:tabs>
        <w:ind w:left="2880" w:hanging="360"/>
      </w:pPr>
      <w:rPr>
        <w:rFonts w:ascii="Wingdings 2" w:hAnsi="Wingdings 2" w:cs="Wingdings 2" w:hint="default"/>
        <w:u w:val="none"/>
      </w:rPr>
    </w:lvl>
    <w:lvl w:ilvl="2">
      <w:start w:val="1"/>
      <w:numFmt w:val="bullet"/>
      <w:lvlText w:val="■"/>
      <w:lvlJc w:val="left"/>
      <w:pPr>
        <w:tabs>
          <w:tab w:val="num" w:pos="0"/>
        </w:tabs>
        <w:ind w:left="3600" w:hanging="360"/>
      </w:pPr>
      <w:rPr>
        <w:rFonts w:ascii="OpenSymbol" w:hAnsi="OpenSymbol" w:cs="OpenSymbol" w:hint="default"/>
        <w:u w:val="none"/>
      </w:rPr>
    </w:lvl>
    <w:lvl w:ilvl="3">
      <w:start w:val="1"/>
      <w:numFmt w:val="bullet"/>
      <w:lvlText w:val=""/>
      <w:lvlJc w:val="left"/>
      <w:pPr>
        <w:tabs>
          <w:tab w:val="num" w:pos="0"/>
        </w:tabs>
        <w:ind w:left="4320" w:hanging="360"/>
      </w:pPr>
      <w:rPr>
        <w:rFonts w:ascii="Wingdings" w:hAnsi="Wingdings" w:cs="Wingdings" w:hint="default"/>
        <w:u w:val="none"/>
      </w:rPr>
    </w:lvl>
    <w:lvl w:ilvl="4">
      <w:start w:val="1"/>
      <w:numFmt w:val="bullet"/>
      <w:lvlText w:val=""/>
      <w:lvlJc w:val="left"/>
      <w:pPr>
        <w:tabs>
          <w:tab w:val="num" w:pos="0"/>
        </w:tabs>
        <w:ind w:left="5040" w:hanging="360"/>
      </w:pPr>
      <w:rPr>
        <w:rFonts w:ascii="Wingdings 2" w:hAnsi="Wingdings 2" w:cs="Wingdings 2" w:hint="default"/>
        <w:u w:val="none"/>
      </w:rPr>
    </w:lvl>
    <w:lvl w:ilvl="5">
      <w:start w:val="1"/>
      <w:numFmt w:val="bullet"/>
      <w:lvlText w:val="■"/>
      <w:lvlJc w:val="left"/>
      <w:pPr>
        <w:tabs>
          <w:tab w:val="num" w:pos="0"/>
        </w:tabs>
        <w:ind w:left="5760" w:hanging="360"/>
      </w:pPr>
      <w:rPr>
        <w:rFonts w:ascii="OpenSymbol" w:hAnsi="OpenSymbol" w:cs="OpenSymbol" w:hint="default"/>
        <w:u w:val="none"/>
      </w:rPr>
    </w:lvl>
    <w:lvl w:ilvl="6">
      <w:start w:val="1"/>
      <w:numFmt w:val="bullet"/>
      <w:lvlText w:val=""/>
      <w:lvlJc w:val="left"/>
      <w:pPr>
        <w:tabs>
          <w:tab w:val="num" w:pos="0"/>
        </w:tabs>
        <w:ind w:left="6480" w:hanging="360"/>
      </w:pPr>
      <w:rPr>
        <w:rFonts w:ascii="Wingdings" w:hAnsi="Wingdings" w:cs="Wingdings" w:hint="default"/>
        <w:u w:val="none"/>
      </w:rPr>
    </w:lvl>
    <w:lvl w:ilvl="7">
      <w:start w:val="1"/>
      <w:numFmt w:val="bullet"/>
      <w:lvlText w:val=""/>
      <w:lvlJc w:val="left"/>
      <w:pPr>
        <w:tabs>
          <w:tab w:val="num" w:pos="0"/>
        </w:tabs>
        <w:ind w:left="7200" w:hanging="360"/>
      </w:pPr>
      <w:rPr>
        <w:rFonts w:ascii="Wingdings 2" w:hAnsi="Wingdings 2" w:cs="Wingdings 2" w:hint="default"/>
        <w:u w:val="none"/>
      </w:rPr>
    </w:lvl>
    <w:lvl w:ilvl="8">
      <w:start w:val="1"/>
      <w:numFmt w:val="bullet"/>
      <w:lvlText w:val="■"/>
      <w:lvlJc w:val="left"/>
      <w:pPr>
        <w:tabs>
          <w:tab w:val="num" w:pos="0"/>
        </w:tabs>
        <w:ind w:left="7920" w:hanging="360"/>
      </w:pPr>
      <w:rPr>
        <w:rFonts w:ascii="OpenSymbol" w:hAnsi="OpenSymbol" w:cs="OpenSymbol" w:hint="default"/>
        <w:u w:val="none"/>
      </w:rPr>
    </w:lvl>
  </w:abstractNum>
  <w:abstractNum w:abstractNumId="3">
    <w:lvl w:ilvl="0">
      <w:start w:val="1"/>
      <w:numFmt w:val="bullet"/>
      <w:lvlText w:val=""/>
      <w:lvlJc w:val="left"/>
      <w:pPr>
        <w:tabs>
          <w:tab w:val="num" w:pos="0"/>
        </w:tabs>
        <w:ind w:left="2160" w:hanging="360"/>
      </w:pPr>
      <w:rPr>
        <w:rFonts w:ascii="Wingdings" w:hAnsi="Wingdings" w:cs="Wingdings" w:hint="default"/>
        <w:u w:val="none"/>
      </w:rPr>
    </w:lvl>
    <w:lvl w:ilvl="1">
      <w:start w:val="1"/>
      <w:numFmt w:val="bullet"/>
      <w:lvlText w:val=""/>
      <w:lvlJc w:val="left"/>
      <w:pPr>
        <w:tabs>
          <w:tab w:val="num" w:pos="0"/>
        </w:tabs>
        <w:ind w:left="2880" w:hanging="360"/>
      </w:pPr>
      <w:rPr>
        <w:rFonts w:ascii="Wingdings 2" w:hAnsi="Wingdings 2" w:cs="Wingdings 2" w:hint="default"/>
        <w:u w:val="none"/>
      </w:rPr>
    </w:lvl>
    <w:lvl w:ilvl="2">
      <w:start w:val="1"/>
      <w:numFmt w:val="bullet"/>
      <w:lvlText w:val="■"/>
      <w:lvlJc w:val="left"/>
      <w:pPr>
        <w:tabs>
          <w:tab w:val="num" w:pos="0"/>
        </w:tabs>
        <w:ind w:left="3600" w:hanging="360"/>
      </w:pPr>
      <w:rPr>
        <w:rFonts w:ascii="OpenSymbol" w:hAnsi="OpenSymbol" w:cs="OpenSymbol" w:hint="default"/>
        <w:u w:val="none"/>
      </w:rPr>
    </w:lvl>
    <w:lvl w:ilvl="3">
      <w:start w:val="1"/>
      <w:numFmt w:val="bullet"/>
      <w:lvlText w:val=""/>
      <w:lvlJc w:val="left"/>
      <w:pPr>
        <w:tabs>
          <w:tab w:val="num" w:pos="0"/>
        </w:tabs>
        <w:ind w:left="4320" w:hanging="360"/>
      </w:pPr>
      <w:rPr>
        <w:rFonts w:ascii="Wingdings" w:hAnsi="Wingdings" w:cs="Wingdings" w:hint="default"/>
        <w:u w:val="none"/>
      </w:rPr>
    </w:lvl>
    <w:lvl w:ilvl="4">
      <w:start w:val="1"/>
      <w:numFmt w:val="bullet"/>
      <w:lvlText w:val=""/>
      <w:lvlJc w:val="left"/>
      <w:pPr>
        <w:tabs>
          <w:tab w:val="num" w:pos="0"/>
        </w:tabs>
        <w:ind w:left="5040" w:hanging="360"/>
      </w:pPr>
      <w:rPr>
        <w:rFonts w:ascii="Wingdings 2" w:hAnsi="Wingdings 2" w:cs="Wingdings 2" w:hint="default"/>
        <w:u w:val="none"/>
      </w:rPr>
    </w:lvl>
    <w:lvl w:ilvl="5">
      <w:start w:val="1"/>
      <w:numFmt w:val="bullet"/>
      <w:lvlText w:val="■"/>
      <w:lvlJc w:val="left"/>
      <w:pPr>
        <w:tabs>
          <w:tab w:val="num" w:pos="0"/>
        </w:tabs>
        <w:ind w:left="5760" w:hanging="360"/>
      </w:pPr>
      <w:rPr>
        <w:rFonts w:ascii="OpenSymbol" w:hAnsi="OpenSymbol" w:cs="OpenSymbol" w:hint="default"/>
        <w:u w:val="none"/>
      </w:rPr>
    </w:lvl>
    <w:lvl w:ilvl="6">
      <w:start w:val="1"/>
      <w:numFmt w:val="bullet"/>
      <w:lvlText w:val=""/>
      <w:lvlJc w:val="left"/>
      <w:pPr>
        <w:tabs>
          <w:tab w:val="num" w:pos="0"/>
        </w:tabs>
        <w:ind w:left="6480" w:hanging="360"/>
      </w:pPr>
      <w:rPr>
        <w:rFonts w:ascii="Wingdings" w:hAnsi="Wingdings" w:cs="Wingdings" w:hint="default"/>
        <w:u w:val="none"/>
      </w:rPr>
    </w:lvl>
    <w:lvl w:ilvl="7">
      <w:start w:val="1"/>
      <w:numFmt w:val="bullet"/>
      <w:lvlText w:val=""/>
      <w:lvlJc w:val="left"/>
      <w:pPr>
        <w:tabs>
          <w:tab w:val="num" w:pos="0"/>
        </w:tabs>
        <w:ind w:left="7200" w:hanging="360"/>
      </w:pPr>
      <w:rPr>
        <w:rFonts w:ascii="Wingdings 2" w:hAnsi="Wingdings 2" w:cs="Wingdings 2" w:hint="default"/>
        <w:u w:val="none"/>
      </w:rPr>
    </w:lvl>
    <w:lvl w:ilvl="8">
      <w:start w:val="1"/>
      <w:numFmt w:val="bullet"/>
      <w:lvlText w:val="■"/>
      <w:lvlJc w:val="left"/>
      <w:pPr>
        <w:tabs>
          <w:tab w:val="num" w:pos="0"/>
        </w:tabs>
        <w:ind w:left="7920" w:hanging="360"/>
      </w:pPr>
      <w:rPr>
        <w:rFonts w:ascii="OpenSymbol" w:hAnsi="OpenSymbol" w:cs="OpenSymbol" w:hint="default"/>
        <w:u w:val="none"/>
      </w:rPr>
    </w:lvl>
  </w:abstractNum>
  <w:abstractNum w:abstractNumId="4">
    <w:lvl w:ilvl="0">
      <w:start w:val="1"/>
      <w:numFmt w:val="bullet"/>
      <w:lvlText w:val=""/>
      <w:lvlJc w:val="left"/>
      <w:pPr>
        <w:tabs>
          <w:tab w:val="num" w:pos="0"/>
        </w:tabs>
        <w:ind w:left="2160" w:hanging="360"/>
      </w:pPr>
      <w:rPr>
        <w:rFonts w:ascii="Wingdings" w:hAnsi="Wingdings" w:cs="Wingdings" w:hint="default"/>
        <w:u w:val="none"/>
      </w:rPr>
    </w:lvl>
    <w:lvl w:ilvl="1">
      <w:start w:val="1"/>
      <w:numFmt w:val="bullet"/>
      <w:lvlText w:val=""/>
      <w:lvlJc w:val="left"/>
      <w:pPr>
        <w:tabs>
          <w:tab w:val="num" w:pos="0"/>
        </w:tabs>
        <w:ind w:left="2880" w:hanging="360"/>
      </w:pPr>
      <w:rPr>
        <w:rFonts w:ascii="Wingdings 2" w:hAnsi="Wingdings 2" w:cs="Wingdings 2" w:hint="default"/>
        <w:u w:val="none"/>
      </w:rPr>
    </w:lvl>
    <w:lvl w:ilvl="2">
      <w:start w:val="1"/>
      <w:numFmt w:val="bullet"/>
      <w:lvlText w:val="■"/>
      <w:lvlJc w:val="left"/>
      <w:pPr>
        <w:tabs>
          <w:tab w:val="num" w:pos="0"/>
        </w:tabs>
        <w:ind w:left="3600" w:hanging="360"/>
      </w:pPr>
      <w:rPr>
        <w:rFonts w:ascii="OpenSymbol" w:hAnsi="OpenSymbol" w:cs="OpenSymbol" w:hint="default"/>
        <w:u w:val="none"/>
      </w:rPr>
    </w:lvl>
    <w:lvl w:ilvl="3">
      <w:start w:val="1"/>
      <w:numFmt w:val="bullet"/>
      <w:lvlText w:val=""/>
      <w:lvlJc w:val="left"/>
      <w:pPr>
        <w:tabs>
          <w:tab w:val="num" w:pos="0"/>
        </w:tabs>
        <w:ind w:left="4320" w:hanging="360"/>
      </w:pPr>
      <w:rPr>
        <w:rFonts w:ascii="Wingdings" w:hAnsi="Wingdings" w:cs="Wingdings" w:hint="default"/>
        <w:u w:val="none"/>
      </w:rPr>
    </w:lvl>
    <w:lvl w:ilvl="4">
      <w:start w:val="1"/>
      <w:numFmt w:val="bullet"/>
      <w:lvlText w:val=""/>
      <w:lvlJc w:val="left"/>
      <w:pPr>
        <w:tabs>
          <w:tab w:val="num" w:pos="0"/>
        </w:tabs>
        <w:ind w:left="5040" w:hanging="360"/>
      </w:pPr>
      <w:rPr>
        <w:rFonts w:ascii="Wingdings 2" w:hAnsi="Wingdings 2" w:cs="Wingdings 2" w:hint="default"/>
        <w:u w:val="none"/>
      </w:rPr>
    </w:lvl>
    <w:lvl w:ilvl="5">
      <w:start w:val="1"/>
      <w:numFmt w:val="bullet"/>
      <w:lvlText w:val="■"/>
      <w:lvlJc w:val="left"/>
      <w:pPr>
        <w:tabs>
          <w:tab w:val="num" w:pos="0"/>
        </w:tabs>
        <w:ind w:left="5760" w:hanging="360"/>
      </w:pPr>
      <w:rPr>
        <w:rFonts w:ascii="OpenSymbol" w:hAnsi="OpenSymbol" w:cs="OpenSymbol" w:hint="default"/>
        <w:u w:val="none"/>
      </w:rPr>
    </w:lvl>
    <w:lvl w:ilvl="6">
      <w:start w:val="1"/>
      <w:numFmt w:val="bullet"/>
      <w:lvlText w:val=""/>
      <w:lvlJc w:val="left"/>
      <w:pPr>
        <w:tabs>
          <w:tab w:val="num" w:pos="0"/>
        </w:tabs>
        <w:ind w:left="6480" w:hanging="360"/>
      </w:pPr>
      <w:rPr>
        <w:rFonts w:ascii="Wingdings" w:hAnsi="Wingdings" w:cs="Wingdings" w:hint="default"/>
        <w:u w:val="none"/>
      </w:rPr>
    </w:lvl>
    <w:lvl w:ilvl="7">
      <w:start w:val="1"/>
      <w:numFmt w:val="bullet"/>
      <w:lvlText w:val=""/>
      <w:lvlJc w:val="left"/>
      <w:pPr>
        <w:tabs>
          <w:tab w:val="num" w:pos="0"/>
        </w:tabs>
        <w:ind w:left="7200" w:hanging="360"/>
      </w:pPr>
      <w:rPr>
        <w:rFonts w:ascii="Wingdings 2" w:hAnsi="Wingdings 2" w:cs="Wingdings 2" w:hint="default"/>
        <w:u w:val="none"/>
      </w:rPr>
    </w:lvl>
    <w:lvl w:ilvl="8">
      <w:start w:val="1"/>
      <w:numFmt w:val="bullet"/>
      <w:lvlText w:val="■"/>
      <w:lvlJc w:val="left"/>
      <w:pPr>
        <w:tabs>
          <w:tab w:val="num" w:pos="0"/>
        </w:tabs>
        <w:ind w:left="7920" w:hanging="360"/>
      </w:pPr>
      <w:rPr>
        <w:rFonts w:ascii="OpenSymbol" w:hAnsi="OpenSymbol" w:cs="OpenSymbol" w:hint="default"/>
        <w:u w:val="none"/>
      </w:rPr>
    </w:lvl>
  </w:abstractNum>
  <w:abstractNum w:abstractNumId="5">
    <w:lvl w:ilvl="0">
      <w:start w:val="1"/>
      <w:numFmt w:val="bullet"/>
      <w:lvlText w:val=""/>
      <w:lvlJc w:val="left"/>
      <w:pPr>
        <w:tabs>
          <w:tab w:val="num" w:pos="0"/>
        </w:tabs>
        <w:ind w:left="2160" w:hanging="360"/>
      </w:pPr>
      <w:rPr>
        <w:rFonts w:ascii="Wingdings" w:hAnsi="Wingdings" w:cs="Wingdings" w:hint="default"/>
        <w:u w:val="none"/>
      </w:rPr>
    </w:lvl>
    <w:lvl w:ilvl="1">
      <w:start w:val="1"/>
      <w:numFmt w:val="bullet"/>
      <w:lvlText w:val=""/>
      <w:lvlJc w:val="left"/>
      <w:pPr>
        <w:tabs>
          <w:tab w:val="num" w:pos="0"/>
        </w:tabs>
        <w:ind w:left="2880" w:hanging="360"/>
      </w:pPr>
      <w:rPr>
        <w:rFonts w:ascii="Wingdings 2" w:hAnsi="Wingdings 2" w:cs="Wingdings 2" w:hint="default"/>
        <w:u w:val="none"/>
      </w:rPr>
    </w:lvl>
    <w:lvl w:ilvl="2">
      <w:start w:val="1"/>
      <w:numFmt w:val="bullet"/>
      <w:lvlText w:val="■"/>
      <w:lvlJc w:val="left"/>
      <w:pPr>
        <w:tabs>
          <w:tab w:val="num" w:pos="0"/>
        </w:tabs>
        <w:ind w:left="3600" w:hanging="360"/>
      </w:pPr>
      <w:rPr>
        <w:rFonts w:ascii="OpenSymbol" w:hAnsi="OpenSymbol" w:cs="OpenSymbol" w:hint="default"/>
        <w:u w:val="none"/>
      </w:rPr>
    </w:lvl>
    <w:lvl w:ilvl="3">
      <w:start w:val="1"/>
      <w:numFmt w:val="bullet"/>
      <w:lvlText w:val=""/>
      <w:lvlJc w:val="left"/>
      <w:pPr>
        <w:tabs>
          <w:tab w:val="num" w:pos="0"/>
        </w:tabs>
        <w:ind w:left="4320" w:hanging="360"/>
      </w:pPr>
      <w:rPr>
        <w:rFonts w:ascii="Wingdings" w:hAnsi="Wingdings" w:cs="Wingdings" w:hint="default"/>
        <w:u w:val="none"/>
      </w:rPr>
    </w:lvl>
    <w:lvl w:ilvl="4">
      <w:start w:val="1"/>
      <w:numFmt w:val="bullet"/>
      <w:lvlText w:val=""/>
      <w:lvlJc w:val="left"/>
      <w:pPr>
        <w:tabs>
          <w:tab w:val="num" w:pos="0"/>
        </w:tabs>
        <w:ind w:left="5040" w:hanging="360"/>
      </w:pPr>
      <w:rPr>
        <w:rFonts w:ascii="Wingdings 2" w:hAnsi="Wingdings 2" w:cs="Wingdings 2" w:hint="default"/>
        <w:u w:val="none"/>
      </w:rPr>
    </w:lvl>
    <w:lvl w:ilvl="5">
      <w:start w:val="1"/>
      <w:numFmt w:val="bullet"/>
      <w:lvlText w:val="■"/>
      <w:lvlJc w:val="left"/>
      <w:pPr>
        <w:tabs>
          <w:tab w:val="num" w:pos="0"/>
        </w:tabs>
        <w:ind w:left="5760" w:hanging="360"/>
      </w:pPr>
      <w:rPr>
        <w:rFonts w:ascii="OpenSymbol" w:hAnsi="OpenSymbol" w:cs="OpenSymbol" w:hint="default"/>
        <w:u w:val="none"/>
      </w:rPr>
    </w:lvl>
    <w:lvl w:ilvl="6">
      <w:start w:val="1"/>
      <w:numFmt w:val="bullet"/>
      <w:lvlText w:val=""/>
      <w:lvlJc w:val="left"/>
      <w:pPr>
        <w:tabs>
          <w:tab w:val="num" w:pos="0"/>
        </w:tabs>
        <w:ind w:left="6480" w:hanging="360"/>
      </w:pPr>
      <w:rPr>
        <w:rFonts w:ascii="Wingdings" w:hAnsi="Wingdings" w:cs="Wingdings" w:hint="default"/>
        <w:u w:val="none"/>
      </w:rPr>
    </w:lvl>
    <w:lvl w:ilvl="7">
      <w:start w:val="1"/>
      <w:numFmt w:val="bullet"/>
      <w:lvlText w:val=""/>
      <w:lvlJc w:val="left"/>
      <w:pPr>
        <w:tabs>
          <w:tab w:val="num" w:pos="0"/>
        </w:tabs>
        <w:ind w:left="7200" w:hanging="360"/>
      </w:pPr>
      <w:rPr>
        <w:rFonts w:ascii="Wingdings 2" w:hAnsi="Wingdings 2" w:cs="Wingdings 2" w:hint="default"/>
        <w:u w:val="none"/>
      </w:rPr>
    </w:lvl>
    <w:lvl w:ilvl="8">
      <w:start w:val="1"/>
      <w:numFmt w:val="bullet"/>
      <w:lvlText w:val="■"/>
      <w:lvlJc w:val="left"/>
      <w:pPr>
        <w:tabs>
          <w:tab w:val="num" w:pos="0"/>
        </w:tabs>
        <w:ind w:left="7920" w:hanging="360"/>
      </w:pPr>
      <w:rPr>
        <w:rFonts w:ascii="OpenSymbol" w:hAnsi="OpenSymbol" w:cs="OpenSymbol" w:hint="default"/>
        <w:u w:val="none"/>
      </w:rPr>
    </w:lvl>
  </w:abstractNum>
  <w:abstractNum w:abstractNumId="6">
    <w:lvl w:ilvl="0">
      <w:start w:val="1"/>
      <w:numFmt w:val="bullet"/>
      <w:lvlText w:val=""/>
      <w:lvlJc w:val="left"/>
      <w:pPr>
        <w:tabs>
          <w:tab w:val="num" w:pos="0"/>
        </w:tabs>
        <w:ind w:left="2160" w:hanging="360"/>
      </w:pPr>
      <w:rPr>
        <w:rFonts w:ascii="Wingdings" w:hAnsi="Wingdings" w:cs="Wingdings" w:hint="default"/>
        <w:u w:val="none"/>
      </w:rPr>
    </w:lvl>
    <w:lvl w:ilvl="1">
      <w:start w:val="1"/>
      <w:numFmt w:val="bullet"/>
      <w:lvlText w:val=""/>
      <w:lvlJc w:val="left"/>
      <w:pPr>
        <w:tabs>
          <w:tab w:val="num" w:pos="0"/>
        </w:tabs>
        <w:ind w:left="2880" w:hanging="360"/>
      </w:pPr>
      <w:rPr>
        <w:rFonts w:ascii="Wingdings 2" w:hAnsi="Wingdings 2" w:cs="Wingdings 2" w:hint="default"/>
        <w:u w:val="none"/>
      </w:rPr>
    </w:lvl>
    <w:lvl w:ilvl="2">
      <w:start w:val="1"/>
      <w:numFmt w:val="bullet"/>
      <w:lvlText w:val="■"/>
      <w:lvlJc w:val="left"/>
      <w:pPr>
        <w:tabs>
          <w:tab w:val="num" w:pos="0"/>
        </w:tabs>
        <w:ind w:left="3600" w:hanging="360"/>
      </w:pPr>
      <w:rPr>
        <w:rFonts w:ascii="OpenSymbol" w:hAnsi="OpenSymbol" w:cs="OpenSymbol" w:hint="default"/>
        <w:u w:val="none"/>
      </w:rPr>
    </w:lvl>
    <w:lvl w:ilvl="3">
      <w:start w:val="1"/>
      <w:numFmt w:val="bullet"/>
      <w:lvlText w:val=""/>
      <w:lvlJc w:val="left"/>
      <w:pPr>
        <w:tabs>
          <w:tab w:val="num" w:pos="0"/>
        </w:tabs>
        <w:ind w:left="4320" w:hanging="360"/>
      </w:pPr>
      <w:rPr>
        <w:rFonts w:ascii="Wingdings" w:hAnsi="Wingdings" w:cs="Wingdings" w:hint="default"/>
        <w:u w:val="none"/>
      </w:rPr>
    </w:lvl>
    <w:lvl w:ilvl="4">
      <w:start w:val="1"/>
      <w:numFmt w:val="bullet"/>
      <w:lvlText w:val=""/>
      <w:lvlJc w:val="left"/>
      <w:pPr>
        <w:tabs>
          <w:tab w:val="num" w:pos="0"/>
        </w:tabs>
        <w:ind w:left="5040" w:hanging="360"/>
      </w:pPr>
      <w:rPr>
        <w:rFonts w:ascii="Wingdings 2" w:hAnsi="Wingdings 2" w:cs="Wingdings 2" w:hint="default"/>
        <w:u w:val="none"/>
      </w:rPr>
    </w:lvl>
    <w:lvl w:ilvl="5">
      <w:start w:val="1"/>
      <w:numFmt w:val="bullet"/>
      <w:lvlText w:val="■"/>
      <w:lvlJc w:val="left"/>
      <w:pPr>
        <w:tabs>
          <w:tab w:val="num" w:pos="0"/>
        </w:tabs>
        <w:ind w:left="5760" w:hanging="360"/>
      </w:pPr>
      <w:rPr>
        <w:rFonts w:ascii="OpenSymbol" w:hAnsi="OpenSymbol" w:cs="OpenSymbol" w:hint="default"/>
        <w:u w:val="none"/>
      </w:rPr>
    </w:lvl>
    <w:lvl w:ilvl="6">
      <w:start w:val="1"/>
      <w:numFmt w:val="bullet"/>
      <w:lvlText w:val=""/>
      <w:lvlJc w:val="left"/>
      <w:pPr>
        <w:tabs>
          <w:tab w:val="num" w:pos="0"/>
        </w:tabs>
        <w:ind w:left="6480" w:hanging="360"/>
      </w:pPr>
      <w:rPr>
        <w:rFonts w:ascii="Wingdings" w:hAnsi="Wingdings" w:cs="Wingdings" w:hint="default"/>
        <w:u w:val="none"/>
      </w:rPr>
    </w:lvl>
    <w:lvl w:ilvl="7">
      <w:start w:val="1"/>
      <w:numFmt w:val="bullet"/>
      <w:lvlText w:val=""/>
      <w:lvlJc w:val="left"/>
      <w:pPr>
        <w:tabs>
          <w:tab w:val="num" w:pos="0"/>
        </w:tabs>
        <w:ind w:left="7200" w:hanging="360"/>
      </w:pPr>
      <w:rPr>
        <w:rFonts w:ascii="Wingdings 2" w:hAnsi="Wingdings 2" w:cs="Wingdings 2" w:hint="default"/>
        <w:u w:val="none"/>
      </w:rPr>
    </w:lvl>
    <w:lvl w:ilvl="8">
      <w:start w:val="1"/>
      <w:numFmt w:val="bullet"/>
      <w:lvlText w:val="■"/>
      <w:lvlJc w:val="left"/>
      <w:pPr>
        <w:tabs>
          <w:tab w:val="num" w:pos="0"/>
        </w:tabs>
        <w:ind w:left="7920" w:hanging="360"/>
      </w:pPr>
      <w:rPr>
        <w:rFonts w:ascii="OpenSymbol" w:hAnsi="OpenSymbol" w:cs="OpenSymbol" w:hint="default"/>
        <w:u w:val="none"/>
      </w:rPr>
    </w:lvl>
  </w:abstractNum>
  <w:abstractNum w:abstractNumId="7">
    <w:lvl w:ilvl="0">
      <w:start w:val="1"/>
      <w:numFmt w:val="bullet"/>
      <w:lvlText w:val=""/>
      <w:lvlJc w:val="left"/>
      <w:pPr>
        <w:tabs>
          <w:tab w:val="num" w:pos="0"/>
        </w:tabs>
        <w:ind w:left="2160" w:hanging="360"/>
      </w:pPr>
      <w:rPr>
        <w:rFonts w:ascii="Wingdings" w:hAnsi="Wingdings" w:cs="Wingdings" w:hint="default"/>
        <w:sz w:val="24"/>
        <w:u w:val="none"/>
        <w:szCs w:val="24"/>
      </w:rPr>
    </w:lvl>
    <w:lvl w:ilvl="1">
      <w:start w:val="1"/>
      <w:numFmt w:val="bullet"/>
      <w:lvlText w:val=""/>
      <w:lvlJc w:val="left"/>
      <w:pPr>
        <w:tabs>
          <w:tab w:val="num" w:pos="0"/>
        </w:tabs>
        <w:ind w:left="2880" w:hanging="360"/>
      </w:pPr>
      <w:rPr>
        <w:rFonts w:ascii="Wingdings 2" w:hAnsi="Wingdings 2" w:cs="Wingdings 2" w:hint="default"/>
        <w:u w:val="none"/>
      </w:rPr>
    </w:lvl>
    <w:lvl w:ilvl="2">
      <w:start w:val="1"/>
      <w:numFmt w:val="bullet"/>
      <w:lvlText w:val="■"/>
      <w:lvlJc w:val="left"/>
      <w:pPr>
        <w:tabs>
          <w:tab w:val="num" w:pos="0"/>
        </w:tabs>
        <w:ind w:left="3600" w:hanging="360"/>
      </w:pPr>
      <w:rPr>
        <w:rFonts w:ascii="OpenSymbol" w:hAnsi="OpenSymbol" w:cs="OpenSymbol" w:hint="default"/>
        <w:u w:val="none"/>
      </w:rPr>
    </w:lvl>
    <w:lvl w:ilvl="3">
      <w:start w:val="1"/>
      <w:numFmt w:val="bullet"/>
      <w:lvlText w:val=""/>
      <w:lvlJc w:val="left"/>
      <w:pPr>
        <w:tabs>
          <w:tab w:val="num" w:pos="0"/>
        </w:tabs>
        <w:ind w:left="4320" w:hanging="360"/>
      </w:pPr>
      <w:rPr>
        <w:rFonts w:ascii="Wingdings" w:hAnsi="Wingdings" w:cs="Wingdings" w:hint="default"/>
        <w:u w:val="none"/>
      </w:rPr>
    </w:lvl>
    <w:lvl w:ilvl="4">
      <w:start w:val="1"/>
      <w:numFmt w:val="bullet"/>
      <w:lvlText w:val=""/>
      <w:lvlJc w:val="left"/>
      <w:pPr>
        <w:tabs>
          <w:tab w:val="num" w:pos="0"/>
        </w:tabs>
        <w:ind w:left="5040" w:hanging="360"/>
      </w:pPr>
      <w:rPr>
        <w:rFonts w:ascii="Wingdings 2" w:hAnsi="Wingdings 2" w:cs="Wingdings 2" w:hint="default"/>
        <w:u w:val="none"/>
      </w:rPr>
    </w:lvl>
    <w:lvl w:ilvl="5">
      <w:start w:val="1"/>
      <w:numFmt w:val="bullet"/>
      <w:lvlText w:val="■"/>
      <w:lvlJc w:val="left"/>
      <w:pPr>
        <w:tabs>
          <w:tab w:val="num" w:pos="0"/>
        </w:tabs>
        <w:ind w:left="5760" w:hanging="360"/>
      </w:pPr>
      <w:rPr>
        <w:rFonts w:ascii="OpenSymbol" w:hAnsi="OpenSymbol" w:cs="OpenSymbol" w:hint="default"/>
        <w:u w:val="none"/>
      </w:rPr>
    </w:lvl>
    <w:lvl w:ilvl="6">
      <w:start w:val="1"/>
      <w:numFmt w:val="bullet"/>
      <w:lvlText w:val=""/>
      <w:lvlJc w:val="left"/>
      <w:pPr>
        <w:tabs>
          <w:tab w:val="num" w:pos="0"/>
        </w:tabs>
        <w:ind w:left="6480" w:hanging="360"/>
      </w:pPr>
      <w:rPr>
        <w:rFonts w:ascii="Wingdings" w:hAnsi="Wingdings" w:cs="Wingdings" w:hint="default"/>
        <w:u w:val="none"/>
      </w:rPr>
    </w:lvl>
    <w:lvl w:ilvl="7">
      <w:start w:val="1"/>
      <w:numFmt w:val="bullet"/>
      <w:lvlText w:val=""/>
      <w:lvlJc w:val="left"/>
      <w:pPr>
        <w:tabs>
          <w:tab w:val="num" w:pos="0"/>
        </w:tabs>
        <w:ind w:left="7200" w:hanging="360"/>
      </w:pPr>
      <w:rPr>
        <w:rFonts w:ascii="Wingdings 2" w:hAnsi="Wingdings 2" w:cs="Wingdings 2" w:hint="default"/>
        <w:u w:val="none"/>
      </w:rPr>
    </w:lvl>
    <w:lvl w:ilvl="8">
      <w:start w:val="1"/>
      <w:numFmt w:val="bullet"/>
      <w:lvlText w:val="■"/>
      <w:lvlJc w:val="left"/>
      <w:pPr>
        <w:tabs>
          <w:tab w:val="num" w:pos="0"/>
        </w:tabs>
        <w:ind w:left="7920" w:hanging="360"/>
      </w:pPr>
      <w:rPr>
        <w:rFonts w:ascii="OpenSymbol" w:hAnsi="OpenSymbol" w:cs="OpenSymbol" w:hint="default"/>
        <w:u w:val="none"/>
      </w:rPr>
    </w:lvl>
  </w:abstractNum>
  <w:abstractNum w:abstractNumId="8">
    <w:lvl w:ilvl="0">
      <w:start w:val="1"/>
      <w:numFmt w:val="bullet"/>
      <w:lvlText w:val=""/>
      <w:lvlJc w:val="left"/>
      <w:pPr>
        <w:tabs>
          <w:tab w:val="num" w:pos="0"/>
        </w:tabs>
        <w:ind w:left="2160" w:hanging="360"/>
      </w:pPr>
      <w:rPr>
        <w:rFonts w:ascii="Wingdings" w:hAnsi="Wingdings" w:cs="Wingdings" w:hint="default"/>
        <w:u w:val="none"/>
      </w:rPr>
    </w:lvl>
    <w:lvl w:ilvl="1">
      <w:start w:val="1"/>
      <w:numFmt w:val="bullet"/>
      <w:lvlText w:val=""/>
      <w:lvlJc w:val="left"/>
      <w:pPr>
        <w:tabs>
          <w:tab w:val="num" w:pos="0"/>
        </w:tabs>
        <w:ind w:left="2880" w:hanging="360"/>
      </w:pPr>
      <w:rPr>
        <w:rFonts w:ascii="Wingdings 2" w:hAnsi="Wingdings 2" w:cs="Wingdings 2" w:hint="default"/>
        <w:u w:val="none"/>
      </w:rPr>
    </w:lvl>
    <w:lvl w:ilvl="2">
      <w:start w:val="1"/>
      <w:numFmt w:val="bullet"/>
      <w:lvlText w:val="■"/>
      <w:lvlJc w:val="left"/>
      <w:pPr>
        <w:tabs>
          <w:tab w:val="num" w:pos="0"/>
        </w:tabs>
        <w:ind w:left="3600" w:hanging="360"/>
      </w:pPr>
      <w:rPr>
        <w:rFonts w:ascii="OpenSymbol" w:hAnsi="OpenSymbol" w:cs="OpenSymbol" w:hint="default"/>
        <w:u w:val="none"/>
      </w:rPr>
    </w:lvl>
    <w:lvl w:ilvl="3">
      <w:start w:val="1"/>
      <w:numFmt w:val="bullet"/>
      <w:lvlText w:val=""/>
      <w:lvlJc w:val="left"/>
      <w:pPr>
        <w:tabs>
          <w:tab w:val="num" w:pos="0"/>
        </w:tabs>
        <w:ind w:left="4320" w:hanging="360"/>
      </w:pPr>
      <w:rPr>
        <w:rFonts w:ascii="Wingdings" w:hAnsi="Wingdings" w:cs="Wingdings" w:hint="default"/>
        <w:u w:val="none"/>
      </w:rPr>
    </w:lvl>
    <w:lvl w:ilvl="4">
      <w:start w:val="1"/>
      <w:numFmt w:val="bullet"/>
      <w:lvlText w:val=""/>
      <w:lvlJc w:val="left"/>
      <w:pPr>
        <w:tabs>
          <w:tab w:val="num" w:pos="0"/>
        </w:tabs>
        <w:ind w:left="5040" w:hanging="360"/>
      </w:pPr>
      <w:rPr>
        <w:rFonts w:ascii="Wingdings 2" w:hAnsi="Wingdings 2" w:cs="Wingdings 2" w:hint="default"/>
        <w:u w:val="none"/>
      </w:rPr>
    </w:lvl>
    <w:lvl w:ilvl="5">
      <w:start w:val="1"/>
      <w:numFmt w:val="bullet"/>
      <w:lvlText w:val="■"/>
      <w:lvlJc w:val="left"/>
      <w:pPr>
        <w:tabs>
          <w:tab w:val="num" w:pos="0"/>
        </w:tabs>
        <w:ind w:left="5760" w:hanging="360"/>
      </w:pPr>
      <w:rPr>
        <w:rFonts w:ascii="OpenSymbol" w:hAnsi="OpenSymbol" w:cs="OpenSymbol" w:hint="default"/>
        <w:u w:val="none"/>
      </w:rPr>
    </w:lvl>
    <w:lvl w:ilvl="6">
      <w:start w:val="1"/>
      <w:numFmt w:val="bullet"/>
      <w:lvlText w:val=""/>
      <w:lvlJc w:val="left"/>
      <w:pPr>
        <w:tabs>
          <w:tab w:val="num" w:pos="0"/>
        </w:tabs>
        <w:ind w:left="6480" w:hanging="360"/>
      </w:pPr>
      <w:rPr>
        <w:rFonts w:ascii="Wingdings" w:hAnsi="Wingdings" w:cs="Wingdings" w:hint="default"/>
        <w:u w:val="none"/>
      </w:rPr>
    </w:lvl>
    <w:lvl w:ilvl="7">
      <w:start w:val="1"/>
      <w:numFmt w:val="bullet"/>
      <w:lvlText w:val=""/>
      <w:lvlJc w:val="left"/>
      <w:pPr>
        <w:tabs>
          <w:tab w:val="num" w:pos="0"/>
        </w:tabs>
        <w:ind w:left="7200" w:hanging="360"/>
      </w:pPr>
      <w:rPr>
        <w:rFonts w:ascii="Wingdings 2" w:hAnsi="Wingdings 2" w:cs="Wingdings 2" w:hint="default"/>
        <w:u w:val="none"/>
      </w:rPr>
    </w:lvl>
    <w:lvl w:ilvl="8">
      <w:start w:val="1"/>
      <w:numFmt w:val="bullet"/>
      <w:lvlText w:val="■"/>
      <w:lvlJc w:val="left"/>
      <w:pPr>
        <w:tabs>
          <w:tab w:val="num" w:pos="0"/>
        </w:tabs>
        <w:ind w:left="7920" w:hanging="360"/>
      </w:pPr>
      <w:rPr>
        <w:rFonts w:ascii="OpenSymbol" w:hAnsi="OpenSymbol" w:cs="OpenSymbol" w:hint="default"/>
        <w:u w:val="none"/>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6</Pages>
  <Words>1060</Words>
  <Characters>6325</Characters>
  <CharactersWithSpaces>8466</CharactersWithSpaces>
  <Paragraphs>132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2024-03-26T16:24:39Z</dcterms:modified>
  <cp:revision>1</cp:revision>
  <dc:subject/>
  <dc:title/>
</cp:coreProperties>
</file>