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Office Security Policy</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b/>
          <w:b/>
          <w:sz w:val="10"/>
          <w:szCs w:val="10"/>
        </w:rPr>
      </w:pPr>
      <w:r>
        <w:rPr>
          <w:rFonts w:eastAsia="Times New Roman" w:cs="Times New Roman" w:ascii="Times New Roman" w:hAnsi="Times New Roman"/>
          <w:b/>
          <w:sz w:val="10"/>
          <w:szCs w:val="10"/>
        </w:rPr>
        <w:t xml:space="preserve"> </w:t>
      </w:r>
    </w:p>
    <w:tbl>
      <w:tblPr>
        <w:tblStyle w:val="Table1"/>
        <w:tblW w:w="9330" w:type="dxa"/>
        <w:jc w:val="left"/>
        <w:tblInd w:w="0" w:type="dxa"/>
        <w:tblLayout w:type="fixed"/>
        <w:tblCellMar>
          <w:top w:w="0" w:type="dxa"/>
          <w:left w:w="100" w:type="dxa"/>
          <w:bottom w:w="0" w:type="dxa"/>
          <w:right w:w="100" w:type="dxa"/>
        </w:tblCellMar>
        <w:tblLook w:val="0600"/>
      </w:tblPr>
      <w:tblGrid>
        <w:gridCol w:w="2219"/>
        <w:gridCol w:w="7110"/>
      </w:tblGrid>
      <w:tr>
        <w:trPr>
          <w:trHeight w:val="420" w:hRule="atLeast"/>
        </w:trPr>
        <w:tc>
          <w:tcPr>
            <w:tcW w:w="2219"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ISMS No.</w:t>
            </w:r>
          </w:p>
        </w:tc>
        <w:tc>
          <w:tcPr>
            <w:tcW w:w="7110" w:type="dxa"/>
            <w:tcBorders>
              <w:top w:val="single" w:sz="12" w:space="0" w:color="878787"/>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POL-21</w:t>
            </w:r>
          </w:p>
        </w:tc>
      </w:tr>
      <w:tr>
        <w:trPr>
          <w:trHeight w:val="45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Title</w:t>
            </w:r>
          </w:p>
        </w:tc>
        <w:tc>
          <w:tcPr>
            <w:tcW w:w="7110" w:type="dxa"/>
            <w:tcBorders>
              <w:bottom w:val="single" w:sz="12" w:space="0" w:color="878787"/>
              <w:right w:val="single" w:sz="12" w:space="0" w:color="878787"/>
            </w:tcBorders>
          </w:tcPr>
          <w:p>
            <w:pPr>
              <w:pStyle w:val="Normal1"/>
              <w:widowControl w:val="false"/>
              <w:spacing w:lineRule="auto" w:line="240" w:before="100" w:after="240"/>
              <w:ind w:left="140" w:hanging="0"/>
              <w:rPr>
                <w:rFonts w:ascii="Times New Roman" w:hAnsi="Times New Roman" w:eastAsia="Times New Roman" w:cs="Times New Roman"/>
              </w:rPr>
            </w:pPr>
            <w:r>
              <w:rPr>
                <w:rFonts w:eastAsia="Times New Roman" w:cs="Times New Roman" w:ascii="Times New Roman" w:hAnsi="Times New Roman"/>
              </w:rPr>
              <w:t>Office Security Policy</w:t>
            </w:r>
          </w:p>
        </w:tc>
      </w:tr>
      <w:tr>
        <w:trPr>
          <w:trHeight w:val="42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r>
        <w:trPr>
          <w:trHeight w:val="42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Effective Date</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bl>
    <w:p>
      <w:pPr>
        <w:pStyle w:val="Normal1"/>
        <w:spacing w:lineRule="auto" w:line="240" w:before="240" w:after="240"/>
        <w:rPr>
          <w:rFonts w:ascii="Times New Roman" w:hAnsi="Times New Roman" w:eastAsia="Times New Roman" w:cs="Times New Roman"/>
          <w:b/>
          <w:b/>
          <w:sz w:val="29"/>
          <w:szCs w:val="29"/>
        </w:rPr>
      </w:pPr>
      <w:r>
        <w:rPr>
          <w:rFonts w:eastAsia="Times New Roman" w:cs="Times New Roman" w:ascii="Times New Roman" w:hAnsi="Times New Roman"/>
          <w:b/>
          <w:sz w:val="20"/>
          <w:szCs w:val="20"/>
        </w:rPr>
        <w:t xml:space="preserve"> </w:t>
      </w:r>
    </w:p>
    <w:tbl>
      <w:tblPr>
        <w:tblStyle w:val="Table2"/>
        <w:tblW w:w="9315" w:type="dxa"/>
        <w:jc w:val="left"/>
        <w:tblInd w:w="0" w:type="dxa"/>
        <w:tblLayout w:type="fixed"/>
        <w:tblCellMar>
          <w:top w:w="0" w:type="dxa"/>
          <w:left w:w="100" w:type="dxa"/>
          <w:bottom w:w="0" w:type="dxa"/>
          <w:right w:w="100" w:type="dxa"/>
        </w:tblCellMar>
        <w:tblLook w:val="0600"/>
      </w:tblPr>
      <w:tblGrid>
        <w:gridCol w:w="1590"/>
        <w:gridCol w:w="1440"/>
        <w:gridCol w:w="1860"/>
        <w:gridCol w:w="1620"/>
        <w:gridCol w:w="2805"/>
      </w:tblGrid>
      <w:tr>
        <w:trPr>
          <w:trHeight w:val="795" w:hRule="atLeast"/>
        </w:trPr>
        <w:tc>
          <w:tcPr>
            <w:tcW w:w="1590"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2" w:before="120" w:after="0"/>
              <w:ind w:left="720" w:hanging="22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No.</w:t>
            </w:r>
          </w:p>
        </w:tc>
        <w:tc>
          <w:tcPr>
            <w:tcW w:w="1440"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80" w:hanging="0"/>
              <w:jc w:val="center"/>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Date</w:t>
            </w:r>
          </w:p>
        </w:tc>
        <w:tc>
          <w:tcPr>
            <w:tcW w:w="1860"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Reviewed by</w:t>
            </w:r>
          </w:p>
        </w:tc>
        <w:tc>
          <w:tcPr>
            <w:tcW w:w="1620"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00" w:hanging="0"/>
              <w:jc w:val="center"/>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Approved by</w:t>
            </w:r>
          </w:p>
        </w:tc>
        <w:tc>
          <w:tcPr>
            <w:tcW w:w="2805"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680" w:hanging="0"/>
              <w:jc w:val="center"/>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Description</w:t>
            </w:r>
          </w:p>
        </w:tc>
      </w:tr>
      <w:tr>
        <w:trPr>
          <w:trHeight w:val="765" w:hRule="atLeast"/>
        </w:trPr>
        <w:tc>
          <w:tcPr>
            <w:tcW w:w="1590"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440"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860"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620"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2805" w:type="dxa"/>
            <w:tcBorders>
              <w:bottom w:val="single" w:sz="12" w:space="0" w:color="878787"/>
              <w:right w:val="single" w:sz="12"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Purpose                                                                                                                </w:t>
        <w:tab/>
        <w:tab/>
        <w:tab/>
        <w:t>3</w:t>
      </w:r>
    </w:p>
    <w:p>
      <w:pPr>
        <w:pStyle w:val="Normal1"/>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t xml:space="preserve">Scope                                                                                             </w:t>
        <w:tab/>
        <w:tab/>
        <w:tab/>
        <w:tab/>
        <w:t xml:space="preserve">   </w:t>
        <w:tab/>
        <w:tab/>
        <w:t>3</w:t>
      </w:r>
    </w:p>
    <w:p>
      <w:pPr>
        <w:pStyle w:val="Normal1"/>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t xml:space="preserve">21.1 Policy                                                                                             </w:t>
        <w:tab/>
        <w:tab/>
        <w:tab/>
        <w:tab/>
        <w:t xml:space="preserve">   </w:t>
        <w:tab/>
        <w:t>3</w:t>
      </w:r>
    </w:p>
    <w:p>
      <w:pPr>
        <w:pStyle w:val="Normal1"/>
        <w:spacing w:lineRule="auto" w:line="240" w:before="60" w:after="0"/>
        <w:ind w:left="0" w:firstLine="720"/>
        <w:rPr>
          <w:rFonts w:ascii="Times New Roman" w:hAnsi="Times New Roman" w:eastAsia="Times New Roman" w:cs="Times New Roman"/>
        </w:rPr>
      </w:pPr>
      <w:r>
        <w:rPr>
          <w:rFonts w:eastAsia="Times New Roman" w:cs="Times New Roman" w:ascii="Times New Roman" w:hAnsi="Times New Roman"/>
        </w:rPr>
        <w:t xml:space="preserve">21.1.1 Management responsibilities                                                 </w:t>
        <w:tab/>
        <w:tab/>
        <w:tab/>
        <w:tab/>
        <w:t>3</w:t>
      </w:r>
    </w:p>
    <w:p>
      <w:pPr>
        <w:pStyle w:val="Normal1"/>
        <w:spacing w:lineRule="auto" w:line="240" w:before="60" w:after="0"/>
        <w:ind w:left="0" w:firstLine="720"/>
        <w:rPr>
          <w:rFonts w:ascii="Times New Roman" w:hAnsi="Times New Roman" w:eastAsia="Times New Roman" w:cs="Times New Roman"/>
        </w:rPr>
      </w:pPr>
      <w:r>
        <w:rPr>
          <w:rFonts w:eastAsia="Times New Roman" w:cs="Times New Roman" w:ascii="Times New Roman" w:hAnsi="Times New Roman"/>
        </w:rPr>
        <w:t xml:space="preserve">21.1.2 Key access &amp; card systems                                             </w:t>
        <w:tab/>
        <w:tab/>
        <w:tab/>
        <w:tab/>
        <w:t xml:space="preserve">     </w:t>
        <w:tab/>
        <w:t>4</w:t>
      </w:r>
    </w:p>
    <w:p>
      <w:pPr>
        <w:pStyle w:val="Normal1"/>
        <w:spacing w:lineRule="auto" w:line="240" w:before="60" w:after="0"/>
        <w:ind w:left="0" w:firstLine="720"/>
        <w:rPr>
          <w:rFonts w:ascii="Times New Roman" w:hAnsi="Times New Roman" w:eastAsia="Times New Roman" w:cs="Times New Roman"/>
        </w:rPr>
      </w:pPr>
      <w:r>
        <w:rPr>
          <w:rFonts w:eastAsia="Times New Roman" w:cs="Times New Roman" w:ascii="Times New Roman" w:hAnsi="Times New Roman"/>
        </w:rPr>
        <w:t xml:space="preserve">21.1.3 Staff &amp; contractor access procedure                                     </w:t>
        <w:tab/>
        <w:tab/>
        <w:tab/>
        <w:tab/>
        <w:t>4</w:t>
      </w:r>
    </w:p>
    <w:p>
      <w:pPr>
        <w:pStyle w:val="Normal1"/>
        <w:spacing w:lineRule="auto" w:line="240" w:before="60" w:after="0"/>
        <w:ind w:left="0" w:firstLine="720"/>
        <w:rPr>
          <w:rFonts w:ascii="Times New Roman" w:hAnsi="Times New Roman" w:eastAsia="Times New Roman" w:cs="Times New Roman"/>
        </w:rPr>
      </w:pPr>
      <w:r>
        <w:rPr>
          <w:rFonts w:eastAsia="Times New Roman" w:cs="Times New Roman" w:ascii="Times New Roman" w:hAnsi="Times New Roman"/>
        </w:rPr>
        <w:t xml:space="preserve">21.1.4 Visitor &amp; guest access procedure                                          </w:t>
        <w:tab/>
        <w:tab/>
        <w:tab/>
        <w:tab/>
        <w:t>4</w:t>
      </w:r>
    </w:p>
    <w:p>
      <w:pPr>
        <w:pStyle w:val="Normal1"/>
        <w:spacing w:lineRule="auto" w:line="240" w:before="60" w:after="0"/>
        <w:ind w:left="0" w:firstLine="720"/>
        <w:rPr>
          <w:rFonts w:ascii="Times New Roman" w:hAnsi="Times New Roman" w:eastAsia="Times New Roman" w:cs="Times New Roman"/>
        </w:rPr>
      </w:pPr>
      <w:r>
        <w:rPr>
          <w:rFonts w:eastAsia="Times New Roman" w:cs="Times New Roman" w:ascii="Times New Roman" w:hAnsi="Times New Roman"/>
        </w:rPr>
        <w:t xml:space="preserve">21.1.5 Audit controls &amp; management                                               </w:t>
        <w:tab/>
        <w:tab/>
        <w:tab/>
        <w:tab/>
        <w:t>5</w:t>
      </w:r>
    </w:p>
    <w:p>
      <w:pPr>
        <w:pStyle w:val="Normal1"/>
        <w:spacing w:lineRule="auto" w:line="240" w:before="60" w:after="0"/>
        <w:ind w:left="0" w:firstLine="720"/>
        <w:rPr>
          <w:rFonts w:ascii="Times New Roman" w:hAnsi="Times New Roman" w:eastAsia="Times New Roman" w:cs="Times New Roman"/>
        </w:rPr>
      </w:pPr>
      <w:r>
        <w:rPr>
          <w:rFonts w:eastAsia="Times New Roman" w:cs="Times New Roman" w:ascii="Times New Roman" w:hAnsi="Times New Roman"/>
        </w:rPr>
        <w:t xml:space="preserve">21.1.6 Enforcement                                                                          </w:t>
        <w:tab/>
        <w:tab/>
        <w:tab/>
        <w:tab/>
        <w:t>5</w:t>
      </w:r>
    </w:p>
    <w:p>
      <w:pPr>
        <w:pStyle w:val="Normal1"/>
        <w:ind w:firstLine="720"/>
        <w:rPr>
          <w:rFonts w:ascii="Times New Roman" w:hAnsi="Times New Roman" w:eastAsia="Times New Roman" w:cs="Times New Roman"/>
        </w:rPr>
      </w:pPr>
      <w:r>
        <w:rPr>
          <w:rFonts w:eastAsia="Times New Roman" w:cs="Times New Roman" w:ascii="Times New Roman" w:hAnsi="Times New Roman"/>
        </w:rPr>
        <w:t xml:space="preserve">21.1.7 Physical access is restricted using smart locks that track all access     </w:t>
        <w:tab/>
        <w:tab/>
        <w:t xml:space="preserve">   </w:t>
        <w:tab/>
        <w:t>5</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1"/>
        <w:keepNext w:val="false"/>
        <w:keepLines w:val="false"/>
        <w:spacing w:lineRule="auto" w:line="240" w:before="480" w:after="0"/>
        <w:rPr>
          <w:rFonts w:ascii="Times New Roman" w:hAnsi="Times New Roman" w:eastAsia="Times New Roman" w:cs="Times New Roman"/>
          <w:b/>
          <w:b/>
          <w:sz w:val="32"/>
          <w:szCs w:val="32"/>
        </w:rPr>
      </w:pPr>
      <w:r>
        <w:rPr>
          <w:rFonts w:eastAsia="Times New Roman" w:cs="Times New Roman" w:ascii="Times New Roman" w:hAnsi="Times New Roman"/>
          <w:b/>
          <w:sz w:val="32"/>
          <w:szCs w:val="32"/>
        </w:rPr>
      </w:r>
      <w:bookmarkStart w:id="0" w:name="_w4df6cgffthc"/>
      <w:bookmarkStart w:id="1" w:name="_w4df6cgffthc"/>
      <w:bookmarkEnd w:id="1"/>
    </w:p>
    <w:p>
      <w:pPr>
        <w:pStyle w:val="Heading1"/>
        <w:keepNext w:val="false"/>
        <w:keepLines w:val="false"/>
        <w:spacing w:lineRule="auto" w:line="240" w:before="480" w:after="0"/>
        <w:rPr>
          <w:rFonts w:ascii="Times New Roman" w:hAnsi="Times New Roman" w:eastAsia="Times New Roman" w:cs="Times New Roman"/>
          <w:b/>
          <w:b/>
          <w:sz w:val="26"/>
          <w:szCs w:val="26"/>
        </w:rPr>
      </w:pPr>
      <w:bookmarkStart w:id="2" w:name="_yj1axmsux5cw"/>
      <w:bookmarkEnd w:id="2"/>
      <w:r>
        <w:rPr>
          <w:rFonts w:eastAsia="Times New Roman" w:cs="Times New Roman" w:ascii="Times New Roman" w:hAnsi="Times New Roman"/>
          <w:b/>
          <w:sz w:val="26"/>
          <w:szCs w:val="26"/>
        </w:rPr>
        <w:t>Purpose</w:t>
      </w:r>
    </w:p>
    <w:p>
      <w:pPr>
        <w:pStyle w:val="Normal1"/>
        <w:rPr/>
      </w:pPr>
      <w:r>
        <w:rPr/>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This policy establishes the rules governing controls, monitoring, and removal of physical access to the</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company’s facilities.</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3" w:name="_1w30s58x3319"/>
      <w:bookmarkEnd w:id="3"/>
      <w:r>
        <w:rPr>
          <w:rFonts w:eastAsia="Times New Roman" w:cs="Times New Roman" w:ascii="Times New Roman" w:hAnsi="Times New Roman"/>
          <w:b/>
          <w:sz w:val="26"/>
          <w:szCs w:val="26"/>
        </w:rPr>
        <w:t>Scope</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This policy applies to all staff, contractors, or third parties who require access to any physical location owned, operated, or otherwise occupied by the company. A separate policy exists for governing access to the company data center.</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There are two principal workforce operating environments where this policy is under partial or full control of Akitra Test: the corporate offices and third-party cloud provider’s data center operations. Although different controls are applied at the various facilities, the physical security goals are largely the same: access to all Akitra Test facilities is restricted to only authorized workforce members and security safeguards are in place to effectively minimize and manage risk to an acceptable level while remaining in compliance with {Organization's} obligations to ensure the confidentiality, integrity, and availability of its, and its customers' assets. Corporate offices, authorized remote and teleworking locations, and all Akitra Test information systems shall not and do not store Tier 1 (Protected) physical or electronic data, such as ePHI and Cardholder Data. All workforce members are made aware of this requirement and routinely reminded that it is their responsibility to report an incident of unauthorized access or storage of covered data to {Organization's} Chief Security Officer and/or Privacy Officer.</w:t>
      </w:r>
    </w:p>
    <w:p>
      <w:pPr>
        <w:pStyle w:val="Normal1"/>
        <w:spacing w:lineRule="auto" w:line="240" w:before="0" w:after="20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Physical Access to all of Akitra Test facilities is limited to only those authorized in this policy. To safeguard ePHi from unauthorized access, tampering, and theft, access is allowed to areas only to those persons authorized to be in them and with escorts for unauthorized persons. All workforce members are responsible for reporting an incident of unauthorized visitor and/or unauthorized access to {Organization's} facility.</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4" w:name="_rmdli2ser0oh"/>
      <w:bookmarkEnd w:id="4"/>
      <w:r>
        <w:rPr>
          <w:rFonts w:eastAsia="Times New Roman" w:cs="Times New Roman" w:ascii="Times New Roman" w:hAnsi="Times New Roman"/>
          <w:b/>
          <w:sz w:val="26"/>
          <w:szCs w:val="26"/>
        </w:rPr>
        <w:t>21.1 Policy</w:t>
      </w:r>
    </w:p>
    <w:p>
      <w:pPr>
        <w:pStyle w:val="Heading3"/>
        <w:keepNext w:val="false"/>
        <w:keepLines w:val="false"/>
        <w:spacing w:lineRule="auto" w:line="240" w:before="280" w:after="200"/>
        <w:ind w:firstLine="720"/>
        <w:rPr>
          <w:rFonts w:ascii="Times New Roman" w:hAnsi="Times New Roman" w:eastAsia="Times New Roman" w:cs="Times New Roman"/>
          <w:b/>
          <w:b/>
          <w:color w:val="000000"/>
          <w:sz w:val="26"/>
          <w:szCs w:val="26"/>
        </w:rPr>
      </w:pPr>
      <w:bookmarkStart w:id="5" w:name="_45o1himotg5l"/>
      <w:bookmarkEnd w:id="5"/>
      <w:r>
        <w:rPr>
          <w:rFonts w:eastAsia="Times New Roman" w:cs="Times New Roman" w:ascii="Times New Roman" w:hAnsi="Times New Roman"/>
          <w:b/>
          <w:color w:val="000000"/>
          <w:sz w:val="26"/>
          <w:szCs w:val="26"/>
        </w:rPr>
        <w:t>21.1.1 Management responsibilities</w:t>
      </w:r>
    </w:p>
    <w:p>
      <w:pPr>
        <w:pStyle w:val="Normal1"/>
        <w:spacing w:lineRule="auto" w:line="240" w:before="240" w:after="20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Management shall ensure: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Appropriate entry controls are in place for secure areas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Security personnel identification badges or electronic key cards should be used to validate employee access to facilities.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Confirm visitor &amp; guest access procedure has been followed by the host staff.</w:t>
      </w:r>
    </w:p>
    <w:p>
      <w:pPr>
        <w:pStyle w:val="Normal1"/>
        <w:spacing w:lineRule="auto" w:line="240" w:before="0" w:after="20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Management periodically reviews the  list of individuals with physical access to facilities card-access records and visitor logs are kept for a minimum of 90 days and are periodically reviewed for unusual activity</w:t>
      </w:r>
    </w:p>
    <w:p>
      <w:pPr>
        <w:pStyle w:val="Heading3"/>
        <w:keepNext w:val="false"/>
        <w:keepLines w:val="false"/>
        <w:spacing w:lineRule="auto" w:line="240" w:before="280" w:after="200"/>
        <w:ind w:firstLine="720"/>
        <w:rPr>
          <w:rFonts w:ascii="Times New Roman" w:hAnsi="Times New Roman" w:eastAsia="Times New Roman" w:cs="Times New Roman"/>
          <w:b/>
          <w:b/>
          <w:color w:val="000000"/>
          <w:sz w:val="26"/>
          <w:szCs w:val="26"/>
        </w:rPr>
      </w:pPr>
      <w:bookmarkStart w:id="6" w:name="_4bqer5crvuza"/>
      <w:bookmarkEnd w:id="6"/>
      <w:r>
        <w:rPr>
          <w:rFonts w:eastAsia="Times New Roman" w:cs="Times New Roman" w:ascii="Times New Roman" w:hAnsi="Times New Roman"/>
          <w:b/>
          <w:color w:val="000000"/>
          <w:sz w:val="26"/>
          <w:szCs w:val="26"/>
        </w:rPr>
        <w:t>21.1.2 Key access &amp; card systems</w:t>
      </w:r>
    </w:p>
    <w:p>
      <w:pPr>
        <w:pStyle w:val="Normal1"/>
        <w:spacing w:lineRule="auto" w:line="240" w:before="240" w:after="20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policies are applied to all facility access cards/keys: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Access cards/keys shall not be shared or loaned to others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Access cards/keys shall not have identifying information other than a return mail address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Access cards/keys shall be returned to Human Resources when they are no longer needed</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Lost or stolen access cards/keys shall be reported immediately</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If an employee changes to a role that no longer requires physical access or leaves the company, their access cards/keys will be suspended</w:t>
      </w:r>
    </w:p>
    <w:p>
      <w:pPr>
        <w:pStyle w:val="Normal1"/>
        <w:spacing w:lineRule="auto" w:line="240" w:before="0" w:after="20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Human Resources will regularly review physical security privileges and review access logs</w:t>
      </w:r>
    </w:p>
    <w:p>
      <w:pPr>
        <w:pStyle w:val="Heading3"/>
        <w:keepNext w:val="false"/>
        <w:keepLines w:val="false"/>
        <w:spacing w:lineRule="auto" w:line="240" w:before="280" w:after="200"/>
        <w:ind w:firstLine="720"/>
        <w:rPr>
          <w:rFonts w:ascii="Times New Roman" w:hAnsi="Times New Roman" w:eastAsia="Times New Roman" w:cs="Times New Roman"/>
          <w:b/>
          <w:b/>
          <w:color w:val="000000"/>
          <w:sz w:val="26"/>
          <w:szCs w:val="26"/>
        </w:rPr>
      </w:pPr>
      <w:bookmarkStart w:id="7" w:name="_x33prx8wz0kd"/>
      <w:bookmarkEnd w:id="7"/>
      <w:r>
        <w:rPr>
          <w:rFonts w:eastAsia="Times New Roman" w:cs="Times New Roman" w:ascii="Times New Roman" w:hAnsi="Times New Roman"/>
          <w:b/>
          <w:color w:val="000000"/>
          <w:sz w:val="26"/>
          <w:szCs w:val="26"/>
        </w:rPr>
        <w:t>21.1.3 Staff &amp; contractor access procedure</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Access to physical locations is granted to employees and contractors based on individual job functions and will be granted by Human Resources.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Any individual granted access to physical spaces will be issued a physical key or access key card. Key and card issuance is traced by Human Resources and will be periodically reviewed.</w:t>
      </w:r>
    </w:p>
    <w:p>
      <w:pPr>
        <w:pStyle w:val="Normal1"/>
        <w:spacing w:lineRule="auto" w:line="240" w:before="0" w:after="20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In the case of termination, Human Resources should ensure immediate revocation of access (i.e. collection of keys, access cards, and any other asset used to enter facilities) through the offboarding procedure.</w:t>
      </w:r>
    </w:p>
    <w:p>
      <w:pPr>
        <w:pStyle w:val="Heading3"/>
        <w:keepNext w:val="false"/>
        <w:keepLines w:val="false"/>
        <w:spacing w:lineRule="auto" w:line="240" w:before="280" w:after="200"/>
        <w:ind w:firstLine="720"/>
        <w:rPr>
          <w:rFonts w:ascii="Times New Roman" w:hAnsi="Times New Roman" w:eastAsia="Times New Roman" w:cs="Times New Roman"/>
          <w:b/>
          <w:b/>
          <w:color w:val="000000"/>
          <w:sz w:val="26"/>
          <w:szCs w:val="26"/>
        </w:rPr>
      </w:pPr>
      <w:bookmarkStart w:id="8" w:name="_xa23m939o82a"/>
      <w:bookmarkEnd w:id="8"/>
      <w:r>
        <w:rPr>
          <w:rFonts w:eastAsia="Times New Roman" w:cs="Times New Roman" w:ascii="Times New Roman" w:hAnsi="Times New Roman"/>
          <w:b/>
          <w:color w:val="000000"/>
          <w:sz w:val="26"/>
          <w:szCs w:val="26"/>
        </w:rPr>
        <w:t>21.1.4 Visitor &amp; guest access procedure</w:t>
      </w:r>
    </w:p>
    <w:p>
      <w:pPr>
        <w:pStyle w:val="Normal1"/>
        <w:spacing w:lineRule="auto" w:line="240" w:before="240" w:after="20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policies are applied to the identification &amp; authorization of visitors and guests: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All visitors must request and receive written onsite authorization from a staff member.</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Visitor access shall be tracked with a sign-in/out log. The log shall contain: the visitor’s name, the firm represented, the purpose of the visit, and onsite personnel authorizing access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log must be kept for at least 90 days.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Visitors shall be given a badge or other identification that visibly distinguishes visitors from onsite personnel</w:t>
      </w:r>
    </w:p>
    <w:p>
      <w:pPr>
        <w:pStyle w:val="Normal1"/>
        <w:spacing w:lineRule="auto" w:line="240" w:before="0" w:after="20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Visitor badges shall be surrendered before leaving the facility</w:t>
      </w:r>
    </w:p>
    <w:p>
      <w:pPr>
        <w:pStyle w:val="Heading3"/>
        <w:keepNext w:val="false"/>
        <w:keepLines w:val="false"/>
        <w:spacing w:lineRule="auto" w:line="240" w:before="280" w:after="200"/>
        <w:ind w:firstLine="720"/>
        <w:rPr>
          <w:rFonts w:ascii="Times New Roman" w:hAnsi="Times New Roman" w:eastAsia="Times New Roman" w:cs="Times New Roman"/>
          <w:b/>
          <w:b/>
          <w:color w:val="000000"/>
          <w:sz w:val="26"/>
          <w:szCs w:val="26"/>
        </w:rPr>
      </w:pPr>
      <w:bookmarkStart w:id="9" w:name="_bdprgaz5ptcs"/>
      <w:bookmarkEnd w:id="9"/>
      <w:r>
        <w:rPr>
          <w:rFonts w:eastAsia="Times New Roman" w:cs="Times New Roman" w:ascii="Times New Roman" w:hAnsi="Times New Roman"/>
          <w:b/>
          <w:color w:val="000000"/>
          <w:sz w:val="26"/>
          <w:szCs w:val="26"/>
        </w:rPr>
        <w:t>21.1.5 Audit controls &amp; management</w:t>
      </w:r>
    </w:p>
    <w:p>
      <w:pPr>
        <w:pStyle w:val="Normal1"/>
        <w:spacing w:lineRule="auto" w:line="240" w:before="0" w:after="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Documented procedures and evidence of practice should be in place for this policy. Acceptable</w:t>
      </w:r>
    </w:p>
    <w:p>
      <w:pPr>
        <w:pStyle w:val="Normal1"/>
        <w:spacing w:lineRule="auto" w:line="240" w:before="0" w:after="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controls and procedures include: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visitor logs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access control procedures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operational key-card access systems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video surveillance systems (with retrievable data)</w:t>
      </w:r>
    </w:p>
    <w:p>
      <w:pPr>
        <w:pStyle w:val="Normal1"/>
        <w:spacing w:lineRule="auto" w:line="240" w:before="0" w:after="20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ledgers if issuing physical keys</w:t>
      </w:r>
    </w:p>
    <w:p>
      <w:pPr>
        <w:pStyle w:val="Heading3"/>
        <w:keepNext w:val="false"/>
        <w:keepLines w:val="false"/>
        <w:spacing w:lineRule="auto" w:line="240" w:before="280" w:after="200"/>
        <w:ind w:firstLine="720"/>
        <w:rPr>
          <w:rFonts w:ascii="Times New Roman" w:hAnsi="Times New Roman" w:eastAsia="Times New Roman" w:cs="Times New Roman"/>
          <w:b/>
          <w:b/>
          <w:color w:val="000000"/>
          <w:sz w:val="26"/>
          <w:szCs w:val="26"/>
        </w:rPr>
      </w:pPr>
      <w:bookmarkStart w:id="10" w:name="_q4ro8zakd8ia"/>
      <w:bookmarkEnd w:id="10"/>
      <w:r>
        <w:rPr>
          <w:rFonts w:eastAsia="Times New Roman" w:cs="Times New Roman" w:ascii="Times New Roman" w:hAnsi="Times New Roman"/>
          <w:b/>
          <w:color w:val="000000"/>
          <w:sz w:val="26"/>
          <w:szCs w:val="26"/>
        </w:rPr>
        <w:t>21.1.6 Enforcement</w:t>
      </w:r>
    </w:p>
    <w:p>
      <w:pPr>
        <w:pStyle w:val="Normal1"/>
        <w:spacing w:lineRule="auto" w:line="240" w:before="0" w:after="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Employees, contractors, or third parties found in violation of this policy (whether intentional or</w:t>
      </w:r>
    </w:p>
    <w:p>
      <w:pPr>
        <w:pStyle w:val="Normal1"/>
        <w:spacing w:lineRule="auto" w:line="240" w:before="0" w:after="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accidental) may be subject to disciplinary action, including:</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reprimand</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loss of access to premises</w:t>
      </w:r>
    </w:p>
    <w:p>
      <w:pPr>
        <w:pStyle w:val="Normal1"/>
        <w:spacing w:lineRule="auto" w:line="240" w:before="0" w:after="20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termination</w:t>
      </w:r>
    </w:p>
    <w:p>
      <w:pPr>
        <w:pStyle w:val="Heading3"/>
        <w:keepNext w:val="false"/>
        <w:keepLines w:val="false"/>
        <w:spacing w:lineRule="auto" w:line="240" w:before="280" w:after="200"/>
        <w:ind w:firstLine="720"/>
        <w:rPr>
          <w:rFonts w:ascii="Times New Roman" w:hAnsi="Times New Roman" w:eastAsia="Times New Roman" w:cs="Times New Roman"/>
          <w:b/>
          <w:b/>
          <w:color w:val="000000"/>
          <w:sz w:val="26"/>
          <w:szCs w:val="26"/>
        </w:rPr>
      </w:pPr>
      <w:bookmarkStart w:id="11" w:name="_ihvfn5pe28o"/>
      <w:bookmarkEnd w:id="11"/>
      <w:r>
        <w:rPr>
          <w:rFonts w:eastAsia="Times New Roman" w:cs="Times New Roman" w:ascii="Times New Roman" w:hAnsi="Times New Roman"/>
          <w:b/>
          <w:color w:val="000000"/>
          <w:sz w:val="26"/>
          <w:szCs w:val="26"/>
        </w:rPr>
        <w:t>21.1.7 Physical access is restricted using smart locks that track all access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Restricted areas and facilities are locked and when unattended (where feasible).</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Only authorized workforce members receive access to restricted areas (as determined by the Chief Security Officer).</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CSO or authorized delegate shall review the physical access list and authorization credentials periodically but no less than quarterly; and remove individuals from the facility access list when access is no longer required.</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Electronic and physical access and keys shall be revoked upon termination of workforce members.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Workforce members must report a lost and/or stolen key(s) to the Chief Security Officer.</w:t>
      </w:r>
    </w:p>
    <w:p>
      <w:pPr>
        <w:pStyle w:val="Normal1"/>
        <w:spacing w:lineRule="auto" w:line="240" w:before="0" w:after="20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Chief Security Officer or authorized delegate facilitates the changing of physical lock(s) within 7 days of a key being reported lost/stolen.</w:t>
      </w:r>
    </w:p>
    <w:p>
      <w:pPr>
        <w:pStyle w:val="Normal1"/>
        <w:rPr/>
      </w:pPr>
      <w:r>
        <w:rPr/>
      </w:r>
    </w:p>
    <w:sectPr>
      <w:type w:val="nextPage"/>
      <w:pgSz w:w="12240" w:h="15840"/>
      <w:pgMar w:left="720" w:right="720" w:gutter="0" w:header="0" w:top="1080" w:footer="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5</Pages>
  <Words>963</Words>
  <Characters>5358</Characters>
  <CharactersWithSpaces>6967</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2024-03-26T16:26:23Z</dcterms:modified>
  <cp:revision>1</cp:revision>
  <dc:subject/>
  <dc:title/>
</cp:coreProperties>
</file>