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b5394"/>
          <w:sz w:val="28"/>
          <w:szCs w:val="28"/>
          <w:rtl w:val="0"/>
        </w:rPr>
        <w:t xml:space="preserve">{Org_Logo}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b5394"/>
          <w:sz w:val="28"/>
          <w:szCs w:val="28"/>
          <w:rtl w:val="0"/>
        </w:rPr>
        <w:t xml:space="preserve">Access Control Policy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{Org_Name}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{Date_Code}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0"/>
          <w:szCs w:val="10"/>
          <w:rtl w:val="0"/>
        </w:rPr>
        <w:t xml:space="preserve"> </w:t>
      </w:r>
    </w:p>
    <w:tbl>
      <w:tblPr>
        <w:tblStyle w:val="Table1"/>
        <w:tblW w:w="9344.0" w:type="dxa"/>
        <w:jc w:val="left"/>
        <w:tblLayout w:type="fixed"/>
        <w:tblLook w:val="0600"/>
      </w:tblPr>
      <w:tblGrid>
        <w:gridCol w:w="2220"/>
        <w:gridCol w:w="7124"/>
        <w:tblGridChange w:id="0">
          <w:tblGrid>
            <w:gridCol w:w="2220"/>
            <w:gridCol w:w="712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878787" w:space="0" w:sz="10" w:val="single"/>
              <w:left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after="0" w:before="100" w:line="276" w:lineRule="auto"/>
              <w:ind w:left="30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ISMS No.</w:t>
            </w:r>
          </w:p>
        </w:tc>
        <w:tc>
          <w:tcPr>
            <w:tcBorders>
              <w:top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after="0" w:before="100" w:line="276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POL-01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left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after="0" w:before="100" w:line="276" w:lineRule="auto"/>
              <w:ind w:left="30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after="0" w:before="100" w:line="276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Access Control Policy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after="0" w:before="100" w:line="276" w:lineRule="auto"/>
              <w:ind w:left="30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Revision</w:t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after="0" w:before="100" w:line="276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after="0" w:before="100" w:line="276" w:lineRule="auto"/>
              <w:ind w:left="30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Effective Date</w:t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after="0" w:before="100" w:line="276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3">
      <w:pPr>
        <w:spacing w:after="0" w:before="240"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b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9"/>
          <w:szCs w:val="29"/>
          <w:rtl w:val="0"/>
        </w:rPr>
        <w:t xml:space="preserve"> </w:t>
      </w:r>
    </w:p>
    <w:tbl>
      <w:tblPr>
        <w:tblStyle w:val="Table2"/>
        <w:tblW w:w="9330.0" w:type="dxa"/>
        <w:jc w:val="left"/>
        <w:tblLayout w:type="fixed"/>
        <w:tblLook w:val="0600"/>
      </w:tblPr>
      <w:tblGrid>
        <w:gridCol w:w="1290"/>
        <w:gridCol w:w="1755"/>
        <w:gridCol w:w="1859"/>
        <w:gridCol w:w="1636"/>
        <w:gridCol w:w="2790"/>
        <w:tblGridChange w:id="0">
          <w:tblGrid>
            <w:gridCol w:w="1290"/>
            <w:gridCol w:w="1755"/>
            <w:gridCol w:w="1859"/>
            <w:gridCol w:w="1636"/>
            <w:gridCol w:w="279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878787" w:space="0" w:sz="10" w:val="single"/>
              <w:left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after="0" w:before="120" w:line="242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Revision No.</w:t>
            </w:r>
          </w:p>
        </w:tc>
        <w:tc>
          <w:tcPr>
            <w:tcBorders>
              <w:top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after="0" w:before="120" w:line="276" w:lineRule="auto"/>
              <w:ind w:left="38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Revision Date</w:t>
            </w:r>
          </w:p>
        </w:tc>
        <w:tc>
          <w:tcPr>
            <w:tcBorders>
              <w:top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after="0" w:before="120" w:line="276" w:lineRule="auto"/>
              <w:ind w:left="42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Reviewed by</w:t>
            </w:r>
          </w:p>
        </w:tc>
        <w:tc>
          <w:tcPr>
            <w:tcBorders>
              <w:top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before="120" w:line="276" w:lineRule="auto"/>
              <w:ind w:left="30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Approved by</w:t>
            </w:r>
          </w:p>
        </w:tc>
        <w:tc>
          <w:tcPr>
            <w:tcBorders>
              <w:top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before="120" w:line="276" w:lineRule="auto"/>
              <w:ind w:left="680" w:firstLine="0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Revision Description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0" w:before="100" w:line="276" w:lineRule="auto"/>
              <w:ind w:left="140" w:right="36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after="0" w:before="240" w:line="276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before="240" w:line="276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0" w:before="240" w:line="276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0" w:before="100" w:line="242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Initial Document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878787" w:space="0" w:sz="10" w:val="single"/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after="0" w:before="100" w:line="276" w:lineRule="auto"/>
              <w:ind w:left="140" w:right="360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2.0</w:t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0" w:before="240" w:line="276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before="240" w:line="276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240" w:line="276" w:lineRule="auto"/>
              <w:ind w:left="1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78787" w:space="0" w:sz="10" w:val="single"/>
              <w:right w:color="878787" w:space="0" w:sz="10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before="100" w:line="242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 document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Table of Content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Purpose                                                                                                                                      2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Scope                                                                                                                                          2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Policy Statements                                                                                                                      3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Responsibilities                                                                                                                          4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2F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Cybersecurity Policy is to establish a framework for ensuring the security, confidentiality, integrity, and availability of information assets and to outline responsibilities for safeguarding them against unauthorized access, use, disclosure, disruption, modification, or destruction.</w:t>
      </w:r>
    </w:p>
    <w:p w:rsidR="00000000" w:rsidDel="00000000" w:rsidP="00000000" w:rsidRDefault="00000000" w:rsidRPr="00000000" w14:paraId="00000030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033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policy applies to all employees, contractors, vendors, and third parties who access, process, or store organizational information or systems, regardless of location or device.</w:t>
      </w:r>
    </w:p>
    <w:p w:rsidR="00000000" w:rsidDel="00000000" w:rsidP="00000000" w:rsidRDefault="00000000" w:rsidRPr="00000000" w14:paraId="00000034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Policy Statements</w:t>
      </w:r>
    </w:p>
    <w:p w:rsidR="00000000" w:rsidDel="00000000" w:rsidP="00000000" w:rsidRDefault="00000000" w:rsidRPr="00000000" w14:paraId="00000037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Access Control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to company systems and data must be restricted based on the principle of least privilege.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Multi-factor authentication (MFA) is required for accessing all critical systems.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user accounts must be unique, and shared accounts are prohibited.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must lock their workstations when unattended.</w:t>
      </w:r>
    </w:p>
    <w:p w:rsidR="00000000" w:rsidDel="00000000" w:rsidP="00000000" w:rsidRDefault="00000000" w:rsidRPr="00000000" w14:paraId="0000003D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Protection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sensitive data must be encrypted at rest and in transit using industry-standard encryption protocols.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classification procedures must be followed to identify and handle data based on its sensitivity.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Backups of critical data must be performed regularly and stored securely.</w:t>
      </w:r>
    </w:p>
    <w:p w:rsidR="00000000" w:rsidDel="00000000" w:rsidP="00000000" w:rsidRDefault="00000000" w:rsidRPr="00000000" w14:paraId="00000042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Endpoint Security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Antivirus and anti-malware software must be installed and updated regularly on all devices.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Devices accessing the corporate network must comply with endpoint security requirements, including firewall settings and disk encryption.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Unauthorized devices are not permitted to connect to the corporate network.</w:t>
      </w:r>
    </w:p>
    <w:p w:rsidR="00000000" w:rsidDel="00000000" w:rsidP="00000000" w:rsidRDefault="00000000" w:rsidRPr="00000000" w14:paraId="00000047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Incident Response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cybersecurity incidents must be reported immediately to the IT Security Team.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organization will maintain an Incident Response Plan (IRP) to address and mitigate cybersecurity threats effectively.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response activities must be documented and reviewed to improve future preparedness.</w:t>
      </w:r>
    </w:p>
    <w:p w:rsidR="00000000" w:rsidDel="00000000" w:rsidP="00000000" w:rsidRDefault="00000000" w:rsidRPr="00000000" w14:paraId="0000004C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Third-Party Vendors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Third-party vendors must comply with the organization's cybersecurity requirements as outlined in vendor agreements.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assessments must be performed before onboarding any new third-party vendor.</w:t>
      </w:r>
    </w:p>
    <w:p w:rsidR="00000000" w:rsidDel="00000000" w:rsidP="00000000" w:rsidRDefault="00000000" w:rsidRPr="00000000" w14:paraId="00000050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 Awareness Training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employees must complete mandatory cybersecurity awareness training annually.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Phishing simulations and other awareness initiatives will be conducted periodically.</w:t>
      </w:r>
    </w:p>
    <w:p w:rsidR="00000000" w:rsidDel="00000000" w:rsidP="00000000" w:rsidRDefault="00000000" w:rsidRPr="00000000" w14:paraId="00000054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Network Security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Firewalls and intrusion detection/prevention systems must be implemented to monitor and protect the network.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Wi-Fi networks must use WPA3 encryption and be segregated for guest access and corporate use.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 access must be secured via VPN and monitored for anomalies.</w:t>
      </w:r>
    </w:p>
    <w:p w:rsidR="00000000" w:rsidDel="00000000" w:rsidP="00000000" w:rsidRDefault="00000000" w:rsidRPr="00000000" w14:paraId="00000059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Password Management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Passwords must be complex, with a minimum of 12 characters, including upper- and lower-case letters, numbers, and special characters.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Passwords must not be reused across multiple accounts.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Passwords must be updated at least every 90 days or immediately upon suspected compromise.</w:t>
      </w:r>
    </w:p>
    <w:p w:rsidR="00000000" w:rsidDel="00000000" w:rsidP="00000000" w:rsidRDefault="00000000" w:rsidRPr="00000000" w14:paraId="0000005E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Compliance and Audits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security audits and assessments must be conducted to ensure compliance with this policy and applicable regulations (e.g., GDPR, ISO 27001, SOC 2).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Non-compliance with this policy may result in disciplinary action, up to and including termination of employment.</w:t>
      </w:r>
    </w:p>
    <w:p w:rsidR="00000000" w:rsidDel="00000000" w:rsidP="00000000" w:rsidRDefault="00000000" w:rsidRPr="00000000" w14:paraId="00000062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065">
      <w:pPr>
        <w:spacing w:after="180" w:before="1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 Security Team: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Responsible for implementing and enforcing this policy.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Employees: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Responsible for adhering to the policy and reporting any security incidents.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Responsible for supporting cybersecurity initiatives and ensuring compliance.</w:t>
      </w:r>
    </w:p>
    <w:p w:rsidR="00000000" w:rsidDel="00000000" w:rsidP="00000000" w:rsidRDefault="00000000" w:rsidRPr="00000000" w14:paraId="00000069">
      <w:pPr>
        <w:spacing w:after="180" w:before="18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>
    <w:name w:val="Normal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Heading1">
    <w:name w:val="Heading 1"/>
    <w:basedOn w:val="Normal1"/>
    <w:next w:val="Normal1"/>
    <w:qFormat w:val="1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1"/>
    <w:next w:val="Normal1"/>
    <w:qFormat w:val="1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1"/>
    <w:next w:val="Normal1"/>
    <w:qFormat w:val="1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 w:val="1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 w:val="1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Normal1" w:default="1">
    <w:name w:val="LO-normal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Title">
    <w:name w:val="Title"/>
    <w:basedOn w:val="Normal1"/>
    <w:next w:val="Normal1"/>
    <w:qFormat w:val="1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 w:val="1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4KCyA3HA6PD+Hd4KMshv8+tAeQ==">CgMxLjA4AHIhMXAtSVVxZlNiOGtraUczYjNEQ0dqbmhwX3U2dlBrOEJr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