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{Org_Logo}</w:t>
      </w:r>
    </w:p>
    <w:p>
      <w:pPr>
        <w:pStyle w:val="Normal1"/>
        <w:spacing w:lineRule="auto" w:line="240" w:before="0" w:after="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Processing Integrity Policy</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{Org_Name}</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{Date_Code}</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b/>
          <w:b/>
          <w:sz w:val="10"/>
          <w:szCs w:val="10"/>
        </w:rPr>
      </w:pPr>
      <w:r>
        <w:rPr>
          <w:rFonts w:eastAsia="Times New Roman" w:cs="Times New Roman" w:ascii="Times New Roman" w:hAnsi="Times New Roman"/>
          <w:b/>
          <w:sz w:val="10"/>
          <w:szCs w:val="10"/>
        </w:rPr>
        <w:t xml:space="preserve"> </w:t>
      </w:r>
    </w:p>
    <w:tbl>
      <w:tblPr>
        <w:tblStyle w:val="Table1"/>
        <w:tblW w:w="9330" w:type="dxa"/>
        <w:jc w:val="left"/>
        <w:tblInd w:w="0" w:type="dxa"/>
        <w:tblLayout w:type="fixed"/>
        <w:tblCellMar>
          <w:top w:w="0" w:type="dxa"/>
          <w:left w:w="100" w:type="dxa"/>
          <w:bottom w:w="0" w:type="dxa"/>
          <w:right w:w="100" w:type="dxa"/>
        </w:tblCellMar>
        <w:tblLook w:val="0600"/>
      </w:tblPr>
      <w:tblGrid>
        <w:gridCol w:w="2219"/>
        <w:gridCol w:w="7110"/>
      </w:tblGrid>
      <w:tr>
        <w:trPr>
          <w:trHeight w:val="510" w:hRule="atLeast"/>
        </w:trPr>
        <w:tc>
          <w:tcPr>
            <w:tcW w:w="2219" w:type="dxa"/>
            <w:tcBorders>
              <w:top w:val="single" w:sz="12" w:space="0" w:color="878787"/>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ISMS No.</w:t>
            </w:r>
          </w:p>
        </w:tc>
        <w:tc>
          <w:tcPr>
            <w:tcW w:w="7110" w:type="dxa"/>
            <w:tcBorders>
              <w:top w:val="single" w:sz="12" w:space="0" w:color="878787"/>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POL-24</w:t>
            </w:r>
          </w:p>
        </w:tc>
      </w:tr>
      <w:tr>
        <w:trPr>
          <w:trHeight w:val="467"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Title</w:t>
            </w:r>
          </w:p>
        </w:tc>
        <w:tc>
          <w:tcPr>
            <w:tcW w:w="7110" w:type="dxa"/>
            <w:tcBorders>
              <w:bottom w:val="single" w:sz="12" w:space="0" w:color="878787"/>
              <w:right w:val="single" w:sz="12" w:space="0" w:color="878787"/>
            </w:tcBorders>
          </w:tcPr>
          <w:p>
            <w:pPr>
              <w:pStyle w:val="Normal1"/>
              <w:widowControl w:val="false"/>
              <w:spacing w:lineRule="auto" w:line="240" w:before="100" w:after="240"/>
              <w:ind w:left="140" w:hanging="0"/>
              <w:rPr>
                <w:rFonts w:ascii="Times New Roman" w:hAnsi="Times New Roman" w:eastAsia="Times New Roman" w:cs="Times New Roman"/>
              </w:rPr>
            </w:pPr>
            <w:r>
              <w:rPr>
                <w:rFonts w:eastAsia="Times New Roman" w:cs="Times New Roman" w:ascii="Times New Roman" w:hAnsi="Times New Roman"/>
              </w:rPr>
              <w:t>Processing Integrity Policy</w:t>
            </w:r>
          </w:p>
        </w:tc>
      </w:tr>
      <w:tr>
        <w:trPr>
          <w:trHeight w:val="420"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w:t>
            </w:r>
          </w:p>
        </w:tc>
        <w:tc>
          <w:tcPr>
            <w:tcW w:w="7110" w:type="dxa"/>
            <w:tcBorders>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p>
        </w:tc>
      </w:tr>
      <w:tr>
        <w:trPr>
          <w:trHeight w:val="255"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Effective Date</w:t>
            </w:r>
          </w:p>
        </w:tc>
        <w:tc>
          <w:tcPr>
            <w:tcW w:w="7110" w:type="dxa"/>
            <w:tcBorders>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p>
        </w:tc>
      </w:tr>
    </w:tbl>
    <w:p>
      <w:pPr>
        <w:pStyle w:val="Normal1"/>
        <w:spacing w:lineRule="auto" w:line="240" w:before="240" w:after="24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 xml:space="preserve"> </w:t>
      </w:r>
    </w:p>
    <w:p>
      <w:pPr>
        <w:pStyle w:val="Normal1"/>
        <w:spacing w:lineRule="auto" w:line="240" w:before="0" w:after="240"/>
        <w:rPr>
          <w:rFonts w:ascii="Times New Roman" w:hAnsi="Times New Roman" w:eastAsia="Times New Roman" w:cs="Times New Roman"/>
          <w:b/>
          <w:b/>
          <w:sz w:val="29"/>
          <w:szCs w:val="29"/>
        </w:rPr>
      </w:pPr>
      <w:r>
        <w:rPr>
          <w:rFonts w:eastAsia="Times New Roman" w:cs="Times New Roman" w:ascii="Times New Roman" w:hAnsi="Times New Roman"/>
          <w:b/>
          <w:sz w:val="29"/>
          <w:szCs w:val="29"/>
        </w:rPr>
        <w:t xml:space="preserve"> </w:t>
      </w:r>
    </w:p>
    <w:tbl>
      <w:tblPr>
        <w:tblStyle w:val="Table2"/>
        <w:tblW w:w="9330" w:type="dxa"/>
        <w:jc w:val="left"/>
        <w:tblInd w:w="0" w:type="dxa"/>
        <w:tblLayout w:type="fixed"/>
        <w:tblCellMar>
          <w:top w:w="0" w:type="dxa"/>
          <w:left w:w="100" w:type="dxa"/>
          <w:bottom w:w="0" w:type="dxa"/>
          <w:right w:w="100" w:type="dxa"/>
        </w:tblCellMar>
        <w:tblLook w:val="0600"/>
      </w:tblPr>
      <w:tblGrid>
        <w:gridCol w:w="1604"/>
        <w:gridCol w:w="1441"/>
        <w:gridCol w:w="1859"/>
        <w:gridCol w:w="1621"/>
        <w:gridCol w:w="2805"/>
      </w:tblGrid>
      <w:tr>
        <w:trPr>
          <w:trHeight w:val="795" w:hRule="atLeast"/>
        </w:trPr>
        <w:tc>
          <w:tcPr>
            <w:tcW w:w="1604" w:type="dxa"/>
            <w:tcBorders>
              <w:top w:val="single" w:sz="12" w:space="0" w:color="878787"/>
              <w:left w:val="single" w:sz="12" w:space="0" w:color="878787"/>
              <w:bottom w:val="single" w:sz="12" w:space="0" w:color="878787"/>
              <w:right w:val="single" w:sz="12" w:space="0" w:color="878787"/>
            </w:tcBorders>
          </w:tcPr>
          <w:p>
            <w:pPr>
              <w:pStyle w:val="Normal1"/>
              <w:widowControl w:val="false"/>
              <w:spacing w:lineRule="auto" w:line="242" w:before="120" w:after="0"/>
              <w:ind w:left="720" w:hanging="22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No.</w:t>
            </w:r>
          </w:p>
        </w:tc>
        <w:tc>
          <w:tcPr>
            <w:tcW w:w="1441"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38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Date</w:t>
            </w:r>
          </w:p>
        </w:tc>
        <w:tc>
          <w:tcPr>
            <w:tcW w:w="1859"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42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Reviewed by</w:t>
            </w:r>
          </w:p>
        </w:tc>
        <w:tc>
          <w:tcPr>
            <w:tcW w:w="1621"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Approved by</w:t>
            </w:r>
          </w:p>
        </w:tc>
        <w:tc>
          <w:tcPr>
            <w:tcW w:w="2805"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68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Description</w:t>
            </w:r>
          </w:p>
        </w:tc>
      </w:tr>
      <w:tr>
        <w:trPr>
          <w:trHeight w:val="765" w:hRule="atLeast"/>
        </w:trPr>
        <w:tc>
          <w:tcPr>
            <w:tcW w:w="1604"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140" w:right="360" w:hanging="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1441"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1859"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1621"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2805" w:type="dxa"/>
            <w:tcBorders>
              <w:bottom w:val="single" w:sz="12" w:space="0" w:color="878787"/>
              <w:right w:val="single" w:sz="12" w:space="0" w:color="878787"/>
            </w:tcBorders>
          </w:tcPr>
          <w:p>
            <w:pPr>
              <w:pStyle w:val="Normal1"/>
              <w:widowControl w:val="false"/>
              <w:spacing w:lineRule="auto" w:line="242"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480" w:after="240"/>
        <w:jc w:val="center"/>
        <w:rPr>
          <w:rFonts w:ascii="Times New Roman" w:hAnsi="Times New Roman" w:eastAsia="Times New Roman" w:cs="Times New Roman"/>
          <w:b/>
          <w:b/>
          <w:color w:val="335B8A"/>
          <w:sz w:val="36"/>
          <w:szCs w:val="36"/>
        </w:rPr>
      </w:pPr>
      <w:r>
        <w:rPr>
          <w:rFonts w:eastAsia="Times New Roman" w:cs="Times New Roman" w:ascii="Times New Roman" w:hAnsi="Times New Roman"/>
          <w:b/>
          <w:color w:val="335B8A"/>
          <w:sz w:val="36"/>
          <w:szCs w:val="36"/>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Table of Content</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Purpose                                                                                            </w:t>
        <w:tab/>
        <w:tab/>
        <w:tab/>
        <w:tab/>
        <w:tab/>
        <w:tab/>
        <w:t>3</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24.1 Policy                                                                                                </w:t>
        <w:tab/>
        <w:tab/>
        <w:tab/>
        <w:tab/>
        <w:tab/>
        <w:t>3</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1"/>
        <w:keepNext w:val="false"/>
        <w:keepLines w:val="false"/>
        <w:spacing w:lineRule="auto" w:line="240" w:before="480" w:after="0"/>
        <w:rPr>
          <w:rFonts w:ascii="Times New Roman" w:hAnsi="Times New Roman" w:eastAsia="Times New Roman" w:cs="Times New Roman"/>
          <w:b/>
          <w:b/>
          <w:sz w:val="32"/>
          <w:szCs w:val="32"/>
        </w:rPr>
      </w:pPr>
      <w:r>
        <w:rPr>
          <w:rFonts w:eastAsia="Times New Roman" w:cs="Times New Roman" w:ascii="Times New Roman" w:hAnsi="Times New Roman"/>
          <w:b/>
          <w:sz w:val="32"/>
          <w:szCs w:val="32"/>
        </w:rPr>
      </w:r>
      <w:bookmarkStart w:id="0" w:name="_cy4i00pvemiq"/>
      <w:bookmarkStart w:id="1" w:name="_cy4i00pvemiq"/>
      <w:bookmarkEnd w:id="1"/>
    </w:p>
    <w:p>
      <w:pPr>
        <w:pStyle w:val="Heading1"/>
        <w:keepNext w:val="false"/>
        <w:keepLines w:val="false"/>
        <w:spacing w:lineRule="auto" w:line="240" w:before="480" w:after="0"/>
        <w:rPr>
          <w:rFonts w:ascii="Times New Roman" w:hAnsi="Times New Roman" w:eastAsia="Times New Roman" w:cs="Times New Roman"/>
          <w:b/>
          <w:b/>
          <w:sz w:val="26"/>
          <w:szCs w:val="26"/>
        </w:rPr>
      </w:pPr>
      <w:bookmarkStart w:id="2" w:name="_g0dzevv57bwb"/>
      <w:bookmarkEnd w:id="2"/>
      <w:r>
        <w:rPr>
          <w:rFonts w:eastAsia="Times New Roman" w:cs="Times New Roman" w:ascii="Times New Roman" w:hAnsi="Times New Roman"/>
          <w:b/>
          <w:sz w:val="26"/>
          <w:szCs w:val="26"/>
        </w:rPr>
        <w:t>Purpose</w:t>
      </w:r>
    </w:p>
    <w:p>
      <w:pPr>
        <w:pStyle w:val="Normal1"/>
        <w:spacing w:lineRule="auto" w:line="240" w:before="160" w:after="240"/>
        <w:ind w:left="72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AICPA defines Process Integrity as system processing that is complete, valid, accurate, and authorized to meet the entity’s objectives. It is a criterion that ensures there are no errors in processing and in case of any, they should be detected timely and corrected. Additionally, the criteria cover ensuring that the inputs and outputs to the system are accurate throughout the process and the data stored are secured and well maintained.</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3" w:name="_vsny0v8hf9yw"/>
      <w:bookmarkEnd w:id="3"/>
      <w:r>
        <w:rPr>
          <w:rFonts w:eastAsia="Times New Roman" w:cs="Times New Roman" w:ascii="Times New Roman" w:hAnsi="Times New Roman"/>
          <w:b/>
          <w:sz w:val="26"/>
          <w:szCs w:val="26"/>
        </w:rPr>
        <w:t>24.1 Policy</w:t>
      </w:r>
    </w:p>
    <w:p>
      <w:pPr>
        <w:pStyle w:val="Normal1"/>
        <w:spacing w:lineRule="auto" w:line="240" w:before="160" w:after="0"/>
        <w:ind w:left="1080" w:right="20" w:hanging="360"/>
        <w:jc w:val="both"/>
        <w:rPr>
          <w:rFonts w:ascii="Times New Roman" w:hAnsi="Times New Roman" w:eastAsia="Times New Roman" w:cs="Times New Roman"/>
          <w:sz w:val="24"/>
          <w:szCs w:val="24"/>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This policy is designed for the organizations to achieve compliance with SOC2 Process Integrity need to ensure that they perform their due diligence and ensure the accuracy of the data they process. Moreover, they need to demonstrate to their auditors their awareness of the data input process into their system. If not this could lead to incomplete and inaccurate data that could impact a client’s ability to use that data. Considering this, organizations need to demonstrate that they have all the necessary policies and procedures in place that guide them on accurate data input into their system.</w:t>
      </w:r>
    </w:p>
    <w:p>
      <w:pPr>
        <w:pStyle w:val="Normal1"/>
        <w:spacing w:lineRule="auto" w:line="240" w:before="240" w:after="240"/>
        <w:ind w:left="1080" w:hanging="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If an organization deals with the processing of data, then they need to ensure that the data input into their systems is accurate. So, those service organizations that provide financial or data-related services such as analytics must consider adding process integrity as a trust services criterion in their Audit report. Today, most clients ask organizations providing data processing services to include process integrity in their reports to know if the services they are providing are complete, valid, accurate, timely, and authorized.</w:t>
      </w:r>
    </w:p>
    <w:p>
      <w:pPr>
        <w:pStyle w:val="Normal1"/>
        <w:spacing w:lineRule="auto" w:line="240" w:before="240" w:after="240"/>
        <w:ind w:left="1080" w:hanging="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Any business outsourcing a part of its operation to a service organization needs to know the working process of the service organization. Businesses need to determine the process integrity of systems and information of service organizations that deal with their data.</w:t>
      </w:r>
    </w:p>
    <w:p>
      <w:pPr>
        <w:pStyle w:val="Normal1"/>
        <w:spacing w:lineRule="auto" w:line="240" w:before="240" w:after="240"/>
        <w:ind w:left="1080" w:hanging="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6"/>
          <w:szCs w:val="16"/>
        </w:rPr>
        <w:tab/>
      </w:r>
      <w:r>
        <w:rPr>
          <w:rFonts w:eastAsia="Times New Roman" w:cs="Times New Roman" w:ascii="Times New Roman" w:hAnsi="Times New Roman"/>
          <w:sz w:val="24"/>
          <w:szCs w:val="24"/>
        </w:rPr>
        <w:t>They need to verify that the service organization has in place all the necessary policies and procedures for process integrity that protect the information and assure the system (hardware, software, and cloud applications) is completely accurate, valid, timely, and properly authorized. It validates whether or not the service organizations are abiding by the operational and technical mandates as per the industry standards.</w:t>
      </w:r>
    </w:p>
    <w:p>
      <w:pPr>
        <w:pStyle w:val="Normal1"/>
        <w:spacing w:lineRule="auto" w:line="240" w:before="160" w:after="0"/>
        <w:ind w:left="1080" w:right="20" w:hanging="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 SOC2 Process Integrity will verify that the service organization system performs all the intended functions in an unimpaired manner, with no unauthorized or unintentional manipulation of data.</w:t>
      </w:r>
    </w:p>
    <w:p>
      <w:pPr>
        <w:pStyle w:val="Normal1"/>
        <w:spacing w:lineRule="auto" w:line="240" w:before="160" w:after="0"/>
        <w:ind w:left="1080" w:hanging="360"/>
        <w:jc w:val="both"/>
        <w:rPr>
          <w:rFonts w:ascii="Times New Roman" w:hAnsi="Times New Roman" w:eastAsia="Times New Roman" w:cs="Times New Roman"/>
          <w:sz w:val="24"/>
          <w:szCs w:val="24"/>
          <w:u w:val="single"/>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u w:val="single"/>
        </w:rPr>
        <w:t>Process Integrity for SoC2 Audit:</w:t>
      </w:r>
    </w:p>
    <w:p>
      <w:pPr>
        <w:pStyle w:val="Normal1"/>
        <w:spacing w:lineRule="auto" w:line="240" w:before="160" w:after="0"/>
        <w:ind w:left="1800" w:hanging="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If the organization is unable to achieve the level of accuracy or completeness in systems and data processing as necessary, and by the agreement, they may need to include Process Integrity in SOC2 Audit.</w:t>
      </w:r>
    </w:p>
    <w:p>
      <w:pPr>
        <w:pStyle w:val="Normal1"/>
        <w:pBdr/>
        <w:spacing w:lineRule="auto" w:line="240" w:before="240" w:after="240"/>
        <w:ind w:left="1800" w:hanging="360"/>
        <w:jc w:val="both"/>
        <w:rPr>
          <w:rFonts w:ascii="Times New Roman" w:hAnsi="Times New Roman" w:eastAsia="Times New Roman" w:cs="Times New Roman"/>
          <w:sz w:val="24"/>
          <w:szCs w:val="24"/>
        </w:rPr>
      </w:pPr>
      <w:r>
        <w:rPr>
          <w:rFonts w:eastAsia="Times New Roman" w:cs="Times New Roman" w:ascii="Times New Roman" w:hAnsi="Times New Roman"/>
          <w:color w:val="212529"/>
          <w:sz w:val="26"/>
          <w:szCs w:val="26"/>
        </w:rPr>
        <w:t>○</w:t>
      </w:r>
      <w:r>
        <w:rPr>
          <w:rFonts w:eastAsia="Times New Roman" w:cs="Times New Roman" w:ascii="Times New Roman" w:hAnsi="Times New Roman"/>
          <w:color w:val="212529"/>
          <w:sz w:val="16"/>
          <w:szCs w:val="16"/>
        </w:rPr>
        <w:t xml:space="preserve">  </w:t>
      </w:r>
      <w:r>
        <w:rPr>
          <w:rFonts w:eastAsia="Times New Roman" w:cs="Times New Roman" w:ascii="Times New Roman" w:hAnsi="Times New Roman"/>
          <w:sz w:val="24"/>
          <w:szCs w:val="24"/>
        </w:rPr>
        <w:t>If the service organization wishes to demonstrate compliance with SOC2, validating the accuracy and completeness of systems and information processing, requires organizations to include process integrity in the SOC2 Audit.</w:t>
      </w:r>
    </w:p>
    <w:p>
      <w:pPr>
        <w:pStyle w:val="Normal1"/>
        <w:pBdr/>
        <w:spacing w:lineRule="auto" w:line="240" w:before="240" w:after="240"/>
        <w:ind w:left="1800" w:hanging="360"/>
        <w:jc w:val="both"/>
        <w:rPr>
          <w:rFonts w:ascii="Times New Roman" w:hAnsi="Times New Roman" w:eastAsia="Times New Roman" w:cs="Times New Roman"/>
          <w:sz w:val="24"/>
          <w:szCs w:val="24"/>
        </w:rPr>
      </w:pPr>
      <w:r>
        <w:rPr>
          <w:rFonts w:eastAsia="Times New Roman" w:cs="Times New Roman" w:ascii="Times New Roman" w:hAnsi="Times New Roman"/>
          <w:color w:val="212529"/>
          <w:sz w:val="26"/>
          <w:szCs w:val="26"/>
        </w:rPr>
        <w:t>○</w:t>
      </w:r>
      <w:r>
        <w:rPr>
          <w:rFonts w:eastAsia="Times New Roman" w:cs="Times New Roman" w:ascii="Times New Roman" w:hAnsi="Times New Roman"/>
          <w:color w:val="212529"/>
          <w:sz w:val="16"/>
          <w:szCs w:val="16"/>
        </w:rPr>
        <w:t xml:space="preserve">    </w:t>
      </w:r>
      <w:r>
        <w:rPr>
          <w:rFonts w:eastAsia="Times New Roman" w:cs="Times New Roman" w:ascii="Times New Roman" w:hAnsi="Times New Roman"/>
          <w:sz w:val="24"/>
          <w:szCs w:val="24"/>
        </w:rPr>
        <w:t>In case of a disconnect between the organizational services and expectations of the business entity, the integrity of the processing of client data by the service organization will be questionable and will hence require an audit of system and information process integrity.</w:t>
      </w:r>
    </w:p>
    <w:p>
      <w:pPr>
        <w:pStyle w:val="Normal1"/>
        <w:pBdr/>
        <w:spacing w:lineRule="auto" w:line="240" w:before="240" w:after="240"/>
        <w:ind w:left="1800" w:hanging="360"/>
        <w:jc w:val="both"/>
        <w:rPr>
          <w:rFonts w:ascii="Times New Roman" w:hAnsi="Times New Roman" w:eastAsia="Times New Roman" w:cs="Times New Roman"/>
          <w:sz w:val="24"/>
          <w:szCs w:val="24"/>
        </w:rPr>
      </w:pPr>
      <w:r>
        <w:rPr>
          <w:rFonts w:eastAsia="Times New Roman" w:cs="Times New Roman" w:ascii="Times New Roman" w:hAnsi="Times New Roman"/>
          <w:color w:val="212529"/>
          <w:sz w:val="26"/>
          <w:szCs w:val="26"/>
        </w:rPr>
        <w:t>○</w:t>
      </w:r>
      <w:r>
        <w:rPr>
          <w:rFonts w:eastAsia="Times New Roman" w:cs="Times New Roman" w:ascii="Times New Roman" w:hAnsi="Times New Roman"/>
          <w:color w:val="212529"/>
          <w:sz w:val="16"/>
          <w:szCs w:val="16"/>
        </w:rPr>
        <w:t xml:space="preserve">   </w:t>
      </w:r>
      <w:r>
        <w:rPr>
          <w:rFonts w:eastAsia="Times New Roman" w:cs="Times New Roman" w:ascii="Times New Roman" w:hAnsi="Times New Roman"/>
          <w:sz w:val="24"/>
          <w:szCs w:val="24"/>
        </w:rPr>
        <w:t>If the business suspects or detects frequent errors in its information and control procedures offered by its third-party service organization, they ask for a process integrity SOC2 audit of its systems. The audit will help pinpoint the issue at its source and facilitate quick remediation.</w:t>
      </w:r>
    </w:p>
    <w:p>
      <w:pPr>
        <w:pStyle w:val="Normal1"/>
        <w:pBdr/>
        <w:spacing w:lineRule="auto" w:line="240" w:before="240" w:after="240"/>
        <w:ind w:left="1800" w:hanging="360"/>
        <w:jc w:val="both"/>
        <w:rPr>
          <w:rFonts w:ascii="Times New Roman" w:hAnsi="Times New Roman" w:eastAsia="Times New Roman" w:cs="Times New Roman"/>
          <w:sz w:val="24"/>
          <w:szCs w:val="24"/>
        </w:rPr>
      </w:pPr>
      <w:r>
        <w:rPr>
          <w:rFonts w:eastAsia="Times New Roman" w:cs="Times New Roman" w:ascii="Times New Roman" w:hAnsi="Times New Roman"/>
          <w:color w:val="212529"/>
          <w:sz w:val="26"/>
          <w:szCs w:val="26"/>
        </w:rPr>
        <w:t>○</w:t>
      </w:r>
      <w:r>
        <w:rPr>
          <w:rFonts w:eastAsia="Times New Roman" w:cs="Times New Roman" w:ascii="Times New Roman" w:hAnsi="Times New Roman"/>
          <w:color w:val="212529"/>
          <w:sz w:val="16"/>
          <w:szCs w:val="16"/>
        </w:rPr>
        <w:t xml:space="preserve">   </w:t>
      </w:r>
      <w:r>
        <w:rPr>
          <w:rFonts w:eastAsia="Times New Roman" w:cs="Times New Roman" w:ascii="Times New Roman" w:hAnsi="Times New Roman"/>
          <w:color w:val="212529"/>
          <w:sz w:val="16"/>
          <w:szCs w:val="16"/>
        </w:rPr>
        <w:tab/>
      </w:r>
      <w:r>
        <w:rPr>
          <w:rFonts w:eastAsia="Times New Roman" w:cs="Times New Roman" w:ascii="Times New Roman" w:hAnsi="Times New Roman"/>
          <w:sz w:val="24"/>
          <w:szCs w:val="24"/>
        </w:rPr>
        <w:t>If the business witnesses frequent delays in service offerings, a closer look at the service organization’s processing integrity may help both parties resolve the prevailing issue immediately.</w:t>
      </w:r>
    </w:p>
    <w:p>
      <w:pPr>
        <w:pStyle w:val="Normal1"/>
        <w:pBdr/>
        <w:spacing w:lineRule="auto" w:line="240" w:before="240" w:after="240"/>
        <w:ind w:left="1800" w:hanging="360"/>
        <w:jc w:val="both"/>
        <w:rPr>
          <w:rFonts w:ascii="Times New Roman" w:hAnsi="Times New Roman" w:eastAsia="Times New Roman" w:cs="Times New Roman"/>
          <w:sz w:val="24"/>
          <w:szCs w:val="24"/>
        </w:rPr>
      </w:pPr>
      <w:r>
        <w:rPr>
          <w:rFonts w:eastAsia="Times New Roman" w:cs="Times New Roman" w:ascii="Times New Roman" w:hAnsi="Times New Roman"/>
          <w:color w:val="212529"/>
          <w:sz w:val="26"/>
          <w:szCs w:val="26"/>
        </w:rPr>
        <w:t>○</w:t>
      </w:r>
      <w:r>
        <w:rPr>
          <w:rFonts w:eastAsia="Times New Roman" w:cs="Times New Roman" w:ascii="Times New Roman" w:hAnsi="Times New Roman"/>
          <w:color w:val="212529"/>
          <w:sz w:val="16"/>
          <w:szCs w:val="16"/>
        </w:rPr>
        <w:t xml:space="preserve">   </w:t>
      </w:r>
      <w:r>
        <w:rPr>
          <w:rFonts w:eastAsia="Times New Roman" w:cs="Times New Roman" w:ascii="Times New Roman" w:hAnsi="Times New Roman"/>
          <w:sz w:val="24"/>
          <w:szCs w:val="24"/>
        </w:rPr>
        <w:t>If the business entity has even the slightest reason to believe that the processing of systems and information is performed without required approvals at the service organization, they may request a process integrity SOC2 Audit review. The reports from the audit will ensure whether or not the service organization is ensuring proper authorization with their transactions.</w:t>
      </w:r>
    </w:p>
    <w:p>
      <w:pPr>
        <w:pStyle w:val="Normal1"/>
        <w:pBdr/>
        <w:spacing w:lineRule="auto" w:line="240" w:before="240" w:after="240"/>
        <w:ind w:left="1080" w:hanging="360"/>
        <w:jc w:val="both"/>
        <w:rPr>
          <w:rFonts w:ascii="Times New Roman" w:hAnsi="Times New Roman" w:eastAsia="Times New Roman" w:cs="Times New Roman"/>
          <w:sz w:val="24"/>
          <w:szCs w:val="24"/>
        </w:rPr>
      </w:pPr>
      <w:r>
        <w:rPr>
          <w:rFonts w:eastAsia="Times New Roman" w:cs="Times New Roman" w:ascii="Times New Roman" w:hAnsi="Times New Roman"/>
          <w:color w:val="212529"/>
          <w:sz w:val="26"/>
          <w:szCs w:val="26"/>
        </w:rPr>
        <w:t>●</w:t>
      </w:r>
      <w:r>
        <w:rPr>
          <w:rFonts w:eastAsia="Times New Roman" w:cs="Times New Roman" w:ascii="Times New Roman" w:hAnsi="Times New Roman"/>
          <w:color w:val="212529"/>
          <w:sz w:val="16"/>
          <w:szCs w:val="16"/>
        </w:rPr>
        <w:t xml:space="preserve">  </w:t>
      </w:r>
      <w:r>
        <w:rPr>
          <w:rFonts w:eastAsia="Times New Roman" w:cs="Times New Roman" w:ascii="Times New Roman" w:hAnsi="Times New Roman"/>
          <w:sz w:val="24"/>
          <w:szCs w:val="24"/>
        </w:rPr>
        <w:t>Five trust services criteria can be included in a SOC 2 report, including security, availability, processing integrity, confidentiality, and privacy (see definitions from the AICPA below). Only one of the five criteria is required in SOC 2 - security. The other four trust services criteria are optional, and we get many questions from current clients and prospective clients on which criteria they should include, if any, in addition to security. I want to focus on processing integrity for this post because I have added that to several SOC 2 reports for clients recently. The Trust Services Criteria as defined by the American Institute of Certified Public Accountants (AICPA):</w:t>
      </w:r>
    </w:p>
    <w:p>
      <w:pPr>
        <w:pStyle w:val="Normal1"/>
        <w:spacing w:lineRule="auto" w:line="240" w:before="160" w:after="0"/>
        <w:ind w:left="1800" w:hanging="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b/>
          <w:sz w:val="24"/>
          <w:szCs w:val="24"/>
          <w:u w:val="single"/>
        </w:rPr>
        <w:t>Security</w:t>
      </w:r>
      <w:r>
        <w:rPr>
          <w:rFonts w:eastAsia="Times New Roman" w:cs="Times New Roman" w:ascii="Times New Roman" w:hAnsi="Times New Roman"/>
          <w:sz w:val="24"/>
          <w:szCs w:val="24"/>
        </w:rPr>
        <w:t>. Information and systems are protected against unauthorized access, unauthorized disclosure of information, and damage to systems that could compromise the availability, integrity, confidentiality, and privacy of information or systems and affect the entity’s ability to meet its objectives.</w:t>
      </w:r>
    </w:p>
    <w:p>
      <w:pPr>
        <w:pStyle w:val="Normal1"/>
        <w:spacing w:lineRule="auto" w:line="240" w:before="160" w:after="0"/>
        <w:ind w:left="1800" w:hanging="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b/>
          <w:sz w:val="24"/>
          <w:szCs w:val="24"/>
          <w:u w:val="single"/>
        </w:rPr>
        <w:t>Availability.</w:t>
      </w:r>
      <w:r>
        <w:rPr>
          <w:rFonts w:eastAsia="Times New Roman" w:cs="Times New Roman" w:ascii="Times New Roman" w:hAnsi="Times New Roman"/>
          <w:sz w:val="24"/>
          <w:szCs w:val="24"/>
        </w:rPr>
        <w:t xml:space="preserve"> Information and systems are available for operation and use to meet the entity’s objectives.</w:t>
      </w:r>
    </w:p>
    <w:p>
      <w:pPr>
        <w:pStyle w:val="Normal1"/>
        <w:spacing w:lineRule="auto" w:line="240" w:before="160" w:after="0"/>
        <w:ind w:left="1800" w:hanging="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b/>
          <w:sz w:val="24"/>
          <w:szCs w:val="24"/>
          <w:u w:val="single"/>
        </w:rPr>
        <w:t>Processing integrity.</w:t>
      </w:r>
      <w:r>
        <w:rPr>
          <w:rFonts w:eastAsia="Times New Roman" w:cs="Times New Roman" w:ascii="Times New Roman" w:hAnsi="Times New Roman"/>
          <w:sz w:val="24"/>
          <w:szCs w:val="24"/>
        </w:rPr>
        <w:t xml:space="preserve"> System processing is complete, valid, accurate, timely, and authorized to meet the entity’s objectives.</w:t>
      </w:r>
    </w:p>
    <w:p>
      <w:pPr>
        <w:pStyle w:val="Normal1"/>
        <w:spacing w:lineRule="auto" w:line="240" w:before="160" w:after="0"/>
        <w:ind w:left="1800" w:hanging="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b/>
          <w:sz w:val="24"/>
          <w:szCs w:val="24"/>
          <w:u w:val="single"/>
        </w:rPr>
        <w:t>Confidentiality</w:t>
      </w:r>
      <w:r>
        <w:rPr>
          <w:rFonts w:eastAsia="Times New Roman" w:cs="Times New Roman" w:ascii="Times New Roman" w:hAnsi="Times New Roman"/>
          <w:sz w:val="24"/>
          <w:szCs w:val="24"/>
        </w:rPr>
        <w:t>. Information designated as confidential is protected to meet the entity’s objectives.</w:t>
      </w:r>
    </w:p>
    <w:p>
      <w:pPr>
        <w:pStyle w:val="Normal1"/>
        <w:spacing w:lineRule="auto" w:line="240" w:before="160" w:after="0"/>
        <w:ind w:left="1800" w:hanging="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b/>
          <w:sz w:val="24"/>
          <w:szCs w:val="24"/>
          <w:u w:val="single"/>
        </w:rPr>
        <w:t>Privacy</w:t>
      </w:r>
      <w:r>
        <w:rPr>
          <w:rFonts w:eastAsia="Times New Roman" w:cs="Times New Roman" w:ascii="Times New Roman" w:hAnsi="Times New Roman"/>
          <w:sz w:val="24"/>
          <w:szCs w:val="24"/>
        </w:rPr>
        <w:t>. Personal information is collected, used, retained, disclosed, and disposed of to meet the entity’s objectives.</w:t>
      </w:r>
    </w:p>
    <w:p>
      <w:pPr>
        <w:pStyle w:val="Normal1"/>
        <w:spacing w:lineRule="auto" w:line="240" w:before="240" w:after="240"/>
        <w:rPr/>
      </w:pPr>
      <w:r>
        <w:rPr/>
        <w:t xml:space="preserve"> </w:t>
      </w:r>
    </w:p>
    <w:p>
      <w:pPr>
        <w:pStyle w:val="Normal1"/>
        <w:rPr/>
      </w:pPr>
      <w:r>
        <w:rPr/>
      </w:r>
    </w:p>
    <w:sectPr>
      <w:type w:val="nextPage"/>
      <w:pgSz w:w="12240" w:h="15840"/>
      <w:pgMar w:left="720" w:right="720" w:gutter="0" w:header="0" w:top="1080" w:footer="0" w:bottom="10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4</Pages>
  <Words>880</Words>
  <Characters>4925</Characters>
  <CharactersWithSpaces>6021</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2024-03-26T16:27:23Z</dcterms:modified>
  <cp:revision>1</cp:revision>
  <dc:subject/>
  <dc:title/>
</cp:coreProperties>
</file>