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{Org_Logo}</w:t>
      </w:r>
    </w:p>
    <w:p>
      <w:pPr>
        <w:pStyle w:val="Normal1"/>
        <w:spacing w:lineRule="auto" w:line="240" w:before="0" w:after="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Security Incident Response Policy</w:t>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{Org_Name}</w:t>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{Date_Code}</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b/>
          <w:b/>
          <w:sz w:val="10"/>
          <w:szCs w:val="10"/>
        </w:rPr>
      </w:pPr>
      <w:r>
        <w:rPr>
          <w:rFonts w:eastAsia="Times New Roman" w:cs="Times New Roman" w:ascii="Times New Roman" w:hAnsi="Times New Roman"/>
          <w:b/>
          <w:sz w:val="10"/>
          <w:szCs w:val="10"/>
        </w:rPr>
        <w:t xml:space="preserve"> </w:t>
      </w:r>
    </w:p>
    <w:tbl>
      <w:tblPr>
        <w:tblStyle w:val="Table1"/>
        <w:tblW w:w="9330" w:type="dxa"/>
        <w:jc w:val="left"/>
        <w:tblInd w:w="0" w:type="dxa"/>
        <w:tblLayout w:type="fixed"/>
        <w:tblCellMar>
          <w:top w:w="0" w:type="dxa"/>
          <w:left w:w="100" w:type="dxa"/>
          <w:bottom w:w="0" w:type="dxa"/>
          <w:right w:w="100" w:type="dxa"/>
        </w:tblCellMar>
        <w:tblLook w:val="0600"/>
      </w:tblPr>
      <w:tblGrid>
        <w:gridCol w:w="2219"/>
        <w:gridCol w:w="7110"/>
      </w:tblGrid>
      <w:tr>
        <w:trPr>
          <w:trHeight w:val="420" w:hRule="atLeast"/>
        </w:trPr>
        <w:tc>
          <w:tcPr>
            <w:tcW w:w="2219" w:type="dxa"/>
            <w:tcBorders>
              <w:top w:val="single" w:sz="12" w:space="0" w:color="878787"/>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ISMS No.</w:t>
            </w:r>
          </w:p>
        </w:tc>
        <w:tc>
          <w:tcPr>
            <w:tcW w:w="7110" w:type="dxa"/>
            <w:tcBorders>
              <w:top w:val="single" w:sz="12" w:space="0" w:color="878787"/>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POL-27</w:t>
            </w:r>
          </w:p>
        </w:tc>
      </w:tr>
      <w:tr>
        <w:trPr>
          <w:trHeight w:val="450"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Title</w:t>
            </w:r>
          </w:p>
        </w:tc>
        <w:tc>
          <w:tcPr>
            <w:tcW w:w="7110" w:type="dxa"/>
            <w:tcBorders>
              <w:bottom w:val="single" w:sz="12" w:space="0" w:color="878787"/>
              <w:right w:val="single" w:sz="12" w:space="0" w:color="878787"/>
            </w:tcBorders>
          </w:tcPr>
          <w:p>
            <w:pPr>
              <w:pStyle w:val="Normal1"/>
              <w:widowControl w:val="false"/>
              <w:spacing w:lineRule="auto" w:line="240" w:before="100" w:after="240"/>
              <w:ind w:left="140" w:hanging="0"/>
              <w:rPr>
                <w:rFonts w:ascii="Times New Roman" w:hAnsi="Times New Roman" w:eastAsia="Times New Roman" w:cs="Times New Roman"/>
              </w:rPr>
            </w:pPr>
            <w:r>
              <w:rPr>
                <w:rFonts w:eastAsia="Times New Roman" w:cs="Times New Roman" w:ascii="Times New Roman" w:hAnsi="Times New Roman"/>
              </w:rPr>
              <w:t>Security Incident Response Policy</w:t>
            </w:r>
          </w:p>
        </w:tc>
      </w:tr>
      <w:tr>
        <w:trPr>
          <w:trHeight w:val="420"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w:t>
            </w:r>
          </w:p>
        </w:tc>
        <w:tc>
          <w:tcPr>
            <w:tcW w:w="7110" w:type="dxa"/>
            <w:tcBorders>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p>
        </w:tc>
      </w:tr>
      <w:tr>
        <w:trPr>
          <w:trHeight w:val="420"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Effective Date</w:t>
            </w:r>
          </w:p>
        </w:tc>
        <w:tc>
          <w:tcPr>
            <w:tcW w:w="7110" w:type="dxa"/>
            <w:tcBorders>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p>
        </w:tc>
      </w:tr>
    </w:tbl>
    <w:p>
      <w:pPr>
        <w:pStyle w:val="Normal1"/>
        <w:spacing w:lineRule="auto" w:line="240" w:before="240" w:after="24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 xml:space="preserve"> </w:t>
      </w:r>
    </w:p>
    <w:p>
      <w:pPr>
        <w:pStyle w:val="Normal1"/>
        <w:spacing w:lineRule="auto" w:line="240" w:before="0" w:after="240"/>
        <w:rPr>
          <w:rFonts w:ascii="Times New Roman" w:hAnsi="Times New Roman" w:eastAsia="Times New Roman" w:cs="Times New Roman"/>
          <w:b/>
          <w:b/>
          <w:sz w:val="29"/>
          <w:szCs w:val="29"/>
        </w:rPr>
      </w:pPr>
      <w:r>
        <w:rPr>
          <w:rFonts w:eastAsia="Times New Roman" w:cs="Times New Roman" w:ascii="Times New Roman" w:hAnsi="Times New Roman"/>
          <w:b/>
          <w:sz w:val="29"/>
          <w:szCs w:val="29"/>
        </w:rPr>
        <w:t xml:space="preserve"> </w:t>
      </w:r>
    </w:p>
    <w:tbl>
      <w:tblPr>
        <w:tblStyle w:val="Table2"/>
        <w:tblW w:w="9330" w:type="dxa"/>
        <w:jc w:val="left"/>
        <w:tblInd w:w="0" w:type="dxa"/>
        <w:tblLayout w:type="fixed"/>
        <w:tblCellMar>
          <w:top w:w="0" w:type="dxa"/>
          <w:left w:w="100" w:type="dxa"/>
          <w:bottom w:w="0" w:type="dxa"/>
          <w:right w:w="100" w:type="dxa"/>
        </w:tblCellMar>
        <w:tblLook w:val="0600"/>
      </w:tblPr>
      <w:tblGrid>
        <w:gridCol w:w="1379"/>
        <w:gridCol w:w="1666"/>
        <w:gridCol w:w="1859"/>
        <w:gridCol w:w="1621"/>
        <w:gridCol w:w="2805"/>
      </w:tblGrid>
      <w:tr>
        <w:trPr>
          <w:trHeight w:val="795" w:hRule="atLeast"/>
        </w:trPr>
        <w:tc>
          <w:tcPr>
            <w:tcW w:w="1379" w:type="dxa"/>
            <w:tcBorders>
              <w:top w:val="single" w:sz="12" w:space="0" w:color="878787"/>
              <w:left w:val="single" w:sz="12" w:space="0" w:color="878787"/>
              <w:bottom w:val="single" w:sz="12" w:space="0" w:color="878787"/>
              <w:right w:val="single" w:sz="12" w:space="0" w:color="878787"/>
            </w:tcBorders>
          </w:tcPr>
          <w:p>
            <w:pPr>
              <w:pStyle w:val="Normal1"/>
              <w:widowControl w:val="false"/>
              <w:spacing w:lineRule="auto" w:line="242" w:before="120" w:after="0"/>
              <w:ind w:left="720" w:hanging="22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No.</w:t>
            </w:r>
          </w:p>
        </w:tc>
        <w:tc>
          <w:tcPr>
            <w:tcW w:w="1666"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38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Date</w:t>
            </w:r>
          </w:p>
        </w:tc>
        <w:tc>
          <w:tcPr>
            <w:tcW w:w="1859"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42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Reviewed by</w:t>
            </w:r>
          </w:p>
        </w:tc>
        <w:tc>
          <w:tcPr>
            <w:tcW w:w="1621"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Approved by</w:t>
            </w:r>
          </w:p>
        </w:tc>
        <w:tc>
          <w:tcPr>
            <w:tcW w:w="2805"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68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Description</w:t>
            </w:r>
          </w:p>
        </w:tc>
      </w:tr>
      <w:tr>
        <w:trPr>
          <w:trHeight w:val="765" w:hRule="atLeast"/>
        </w:trPr>
        <w:tc>
          <w:tcPr>
            <w:tcW w:w="137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140" w:right="360" w:hanging="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1.0</w:t>
            </w:r>
          </w:p>
        </w:tc>
        <w:tc>
          <w:tcPr>
            <w:tcW w:w="1666"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1859"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1621"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2805" w:type="dxa"/>
            <w:tcBorders>
              <w:bottom w:val="single" w:sz="12" w:space="0" w:color="878787"/>
              <w:right w:val="single" w:sz="12" w:space="0" w:color="878787"/>
            </w:tcBorders>
          </w:tcPr>
          <w:p>
            <w:pPr>
              <w:pStyle w:val="Normal1"/>
              <w:widowControl w:val="false"/>
              <w:spacing w:lineRule="auto" w:line="242"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bl>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480" w:after="240"/>
        <w:jc w:val="center"/>
        <w:rPr>
          <w:rFonts w:ascii="Times New Roman" w:hAnsi="Times New Roman" w:eastAsia="Times New Roman" w:cs="Times New Roman"/>
          <w:b/>
          <w:b/>
          <w:color w:val="335B8A"/>
          <w:sz w:val="36"/>
          <w:szCs w:val="36"/>
        </w:rPr>
      </w:pPr>
      <w:r>
        <w:rPr>
          <w:rFonts w:eastAsia="Times New Roman" w:cs="Times New Roman" w:ascii="Times New Roman" w:hAnsi="Times New Roman"/>
          <w:b/>
          <w:color w:val="335B8A"/>
          <w:sz w:val="36"/>
          <w:szCs w:val="36"/>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0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240" w:after="20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240" w:after="20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240" w:after="20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240" w:after="20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240" w:after="20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240" w:after="20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Table of Content</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60" w:after="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Purpose                                                                                                                </w:t>
        <w:tab/>
        <w:tab/>
        <w:tab/>
        <w:t>3</w:t>
      </w:r>
    </w:p>
    <w:p>
      <w:pPr>
        <w:pStyle w:val="Normal1"/>
        <w:spacing w:lineRule="auto" w:line="240" w:before="60" w:after="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Scope                                                                                              </w:t>
        <w:tab/>
        <w:tab/>
        <w:tab/>
        <w:tab/>
        <w:t xml:space="preserve">  </w:t>
        <w:tab/>
        <w:t>3</w:t>
      </w:r>
    </w:p>
    <w:p>
      <w:pPr>
        <w:pStyle w:val="Normal1"/>
        <w:spacing w:lineRule="auto" w:line="240" w:before="60" w:after="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Objective                                                                                         </w:t>
        <w:tab/>
        <w:tab/>
        <w:tab/>
        <w:tab/>
        <w:t xml:space="preserve">  </w:t>
        <w:tab/>
        <w:t>3</w:t>
      </w:r>
    </w:p>
    <w:p>
      <w:pPr>
        <w:pStyle w:val="Normal1"/>
        <w:spacing w:lineRule="auto" w:line="240" w:before="60" w:after="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27.1 Policy                                                                                                </w:t>
        <w:tab/>
        <w:tab/>
        <w:tab/>
        <w:tab/>
        <w:t>4</w:t>
      </w:r>
    </w:p>
    <w:p>
      <w:pPr>
        <w:pStyle w:val="Normal1"/>
        <w:spacing w:lineRule="auto" w:line="240" w:before="6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27.1.1 Security Incident Response Team                                                 </w:t>
        <w:tab/>
        <w:tab/>
        <w:tab/>
        <w:t>4</w:t>
      </w:r>
    </w:p>
    <w:p>
      <w:pPr>
        <w:pStyle w:val="Normal1"/>
        <w:spacing w:lineRule="auto" w:line="240" w:before="60" w:after="0"/>
        <w:ind w:left="108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27.1.1.1 CISO                                                                                </w:t>
        <w:tab/>
        <w:tab/>
        <w:tab/>
        <w:t>4</w:t>
      </w:r>
    </w:p>
    <w:p>
      <w:pPr>
        <w:pStyle w:val="Normal1"/>
        <w:spacing w:lineRule="auto" w:line="240" w:before="60" w:after="0"/>
        <w:ind w:left="108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27..1.1.2 Incident Response Team                                                </w:t>
        <w:tab/>
        <w:tab/>
        <w:tab/>
        <w:t>4</w:t>
      </w:r>
    </w:p>
    <w:p>
      <w:pPr>
        <w:pStyle w:val="Normal1"/>
        <w:spacing w:lineRule="auto" w:line="240" w:before="60" w:after="0"/>
        <w:ind w:left="108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27.1.1.3Customers                                                                     </w:t>
        <w:tab/>
        <w:tab/>
        <w:tab/>
        <w:t xml:space="preserve">  </w:t>
        <w:tab/>
        <w:t>4</w:t>
      </w:r>
    </w:p>
    <w:p>
      <w:pPr>
        <w:pStyle w:val="Normal1"/>
        <w:spacing w:lineRule="auto" w:line="240" w:before="60" w:after="0"/>
        <w:ind w:left="108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27.1.1.4 Legal                                                                                </w:t>
        <w:tab/>
        <w:tab/>
        <w:tab/>
        <w:t>4</w:t>
      </w:r>
    </w:p>
    <w:p>
      <w:pPr>
        <w:pStyle w:val="Normal1"/>
        <w:spacing w:lineRule="auto" w:line="240" w:before="60" w:after="0"/>
        <w:ind w:left="3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27.1.2 Incident Response Training                                                     </w:t>
        <w:tab/>
        <w:tab/>
        <w:tab/>
        <w:t xml:space="preserve">    </w:t>
        <w:tab/>
        <w:t>4</w:t>
      </w:r>
    </w:p>
    <w:p>
      <w:pPr>
        <w:pStyle w:val="Normal1"/>
        <w:spacing w:lineRule="auto" w:line="240" w:before="60" w:after="0"/>
        <w:ind w:left="3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27.1.3 Incident Response Testing                                                       </w:t>
        <w:tab/>
        <w:tab/>
        <w:tab/>
        <w:t xml:space="preserve">   </w:t>
        <w:tab/>
        <w:t>5</w:t>
      </w:r>
    </w:p>
    <w:p>
      <w:pPr>
        <w:pStyle w:val="Normal1"/>
        <w:spacing w:lineRule="auto" w:line="240" w:before="60" w:after="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27.2 Incident Handling                                                </w:t>
        <w:tab/>
        <w:tab/>
        <w:tab/>
        <w:tab/>
        <w:tab/>
        <w:t xml:space="preserve">  </w:t>
        <w:tab/>
        <w:t>5</w:t>
      </w:r>
    </w:p>
    <w:p>
      <w:pPr>
        <w:pStyle w:val="Normal1"/>
        <w:spacing w:lineRule="auto" w:line="240" w:before="60" w:after="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27.3 Establish Incident Response System                                          </w:t>
        <w:tab/>
        <w:tab/>
        <w:tab/>
        <w:t xml:space="preserve"> </w:t>
        <w:tab/>
        <w:t>5</w:t>
      </w:r>
    </w:p>
    <w:p>
      <w:pPr>
        <w:pStyle w:val="Normal1"/>
        <w:spacing w:lineRule="auto" w:line="240" w:before="60" w:after="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27.4 Incident Response Plan                                                              </w:t>
        <w:tab/>
        <w:tab/>
        <w:tab/>
        <w:t xml:space="preserve">    </w:t>
        <w:tab/>
        <w:t>6</w:t>
      </w:r>
    </w:p>
    <w:p>
      <w:pPr>
        <w:pStyle w:val="Normal1"/>
        <w:spacing w:lineRule="auto" w:line="240" w:before="60" w:after="0"/>
        <w:ind w:left="3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27.4.1 Incident Reporting                                                                </w:t>
        <w:tab/>
        <w:tab/>
        <w:tab/>
        <w:t xml:space="preserve">       </w:t>
        <w:tab/>
        <w:t>6</w:t>
      </w:r>
    </w:p>
    <w:p>
      <w:pPr>
        <w:pStyle w:val="Normal1"/>
        <w:spacing w:lineRule="auto" w:line="240" w:before="60" w:after="0"/>
        <w:ind w:left="3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27.4.2 Incident Severity                                                                   </w:t>
        <w:tab/>
        <w:tab/>
        <w:tab/>
        <w:t xml:space="preserve">       </w:t>
        <w:tab/>
        <w:t>6</w:t>
      </w:r>
    </w:p>
    <w:p>
      <w:pPr>
        <w:pStyle w:val="Normal1"/>
        <w:spacing w:lineRule="auto" w:line="240" w:before="60" w:after="0"/>
        <w:ind w:left="3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27.4.3 Escalation and Internal Reporting                                        </w:t>
        <w:tab/>
        <w:tab/>
        <w:tab/>
        <w:t xml:space="preserve">       </w:t>
        <w:tab/>
        <w:t>6</w:t>
      </w:r>
    </w:p>
    <w:p>
      <w:pPr>
        <w:pStyle w:val="Normal1"/>
        <w:spacing w:lineRule="auto" w:line="240" w:before="60" w:after="0"/>
        <w:ind w:left="3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27.4.4 Documentation                                                                     </w:t>
        <w:tab/>
        <w:tab/>
        <w:tab/>
        <w:t xml:space="preserve">       </w:t>
        <w:tab/>
        <w:t>7</w:t>
      </w:r>
    </w:p>
    <w:p>
      <w:pPr>
        <w:pStyle w:val="Normal1"/>
        <w:spacing w:lineRule="auto" w:line="240" w:before="60" w:after="0"/>
        <w:ind w:left="3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27.4.5 Root Cause Analysis                                                            </w:t>
        <w:tab/>
        <w:tab/>
        <w:tab/>
        <w:t xml:space="preserve">       </w:t>
        <w:tab/>
        <w:t>7</w:t>
      </w:r>
    </w:p>
    <w:p>
      <w:pPr>
        <w:pStyle w:val="Normal1"/>
        <w:spacing w:lineRule="auto" w:line="240" w:before="60" w:after="0"/>
        <w:ind w:left="3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27.4.6 External Reporting                                                               </w:t>
        <w:tab/>
        <w:tab/>
        <w:tab/>
        <w:t xml:space="preserve">        </w:t>
        <w:tab/>
        <w:t>7</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1"/>
        <w:keepNext w:val="false"/>
        <w:keepLines w:val="false"/>
        <w:spacing w:lineRule="auto" w:line="240" w:before="480" w:after="0"/>
        <w:rPr>
          <w:rFonts w:ascii="Times New Roman" w:hAnsi="Times New Roman" w:eastAsia="Times New Roman" w:cs="Times New Roman"/>
          <w:b/>
          <w:b/>
          <w:sz w:val="32"/>
          <w:szCs w:val="32"/>
        </w:rPr>
      </w:pPr>
      <w:r>
        <w:rPr>
          <w:rFonts w:eastAsia="Times New Roman" w:cs="Times New Roman" w:ascii="Times New Roman" w:hAnsi="Times New Roman"/>
          <w:b/>
          <w:sz w:val="32"/>
          <w:szCs w:val="32"/>
        </w:rPr>
      </w:r>
      <w:bookmarkStart w:id="0" w:name="_soggm39ayu7d"/>
      <w:bookmarkStart w:id="1" w:name="_soggm39ayu7d"/>
      <w:bookmarkEnd w:id="1"/>
    </w:p>
    <w:p>
      <w:pPr>
        <w:pStyle w:val="Heading1"/>
        <w:keepNext w:val="false"/>
        <w:keepLines w:val="false"/>
        <w:spacing w:lineRule="auto" w:line="240" w:before="480" w:after="0"/>
        <w:rPr>
          <w:rFonts w:ascii="Times New Roman" w:hAnsi="Times New Roman" w:eastAsia="Times New Roman" w:cs="Times New Roman"/>
        </w:rPr>
      </w:pPr>
      <w:bookmarkStart w:id="2" w:name="_4enmaxh0ibmf"/>
      <w:bookmarkEnd w:id="2"/>
      <w:r>
        <w:rPr>
          <w:rFonts w:eastAsia="Times New Roman" w:cs="Times New Roman" w:ascii="Times New Roman" w:hAnsi="Times New Roman"/>
          <w:b/>
          <w:sz w:val="32"/>
          <w:szCs w:val="32"/>
        </w:rPr>
        <w:t>Purpose</w:t>
      </w:r>
      <w:r>
        <w:rPr>
          <w:rFonts w:eastAsia="Times New Roman" w:cs="Times New Roman" w:ascii="Times New Roman" w:hAnsi="Times New Roman"/>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This security incident response policy is intended to establish controls to ensure the detection of security vulnerabilities and incidents, with quick reactions and responses to security breaches.</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This document also provides implementing instructions for security incident response, including definitions, procedures, responsibilities, and performance measures (metrics and reporting mechanisms).</w:t>
      </w:r>
    </w:p>
    <w:p>
      <w:pPr>
        <w:pStyle w:val="Heading1"/>
        <w:keepNext w:val="false"/>
        <w:keepLines w:val="false"/>
        <w:spacing w:lineRule="auto" w:line="240" w:before="480" w:after="0"/>
        <w:rPr>
          <w:rFonts w:ascii="Times New Roman" w:hAnsi="Times New Roman" w:eastAsia="Times New Roman" w:cs="Times New Roman"/>
        </w:rPr>
      </w:pPr>
      <w:bookmarkStart w:id="3" w:name="_qgtpwdpo2rud"/>
      <w:bookmarkEnd w:id="3"/>
      <w:r>
        <w:rPr>
          <w:rFonts w:eastAsia="Times New Roman" w:cs="Times New Roman" w:ascii="Times New Roman" w:hAnsi="Times New Roman"/>
          <w:b/>
          <w:sz w:val="32"/>
          <w:szCs w:val="32"/>
        </w:rPr>
        <w:t>Scope</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This policy applies to all users of information systems within the organization. It typically includes employees and contractors, with any external parties that come into contact with systems and information controlled by the organization (hereinafter referred to as “users”). This policy is made readily available to all users.</w:t>
      </w:r>
    </w:p>
    <w:p>
      <w:pPr>
        <w:pStyle w:val="Heading1"/>
        <w:keepNext w:val="false"/>
        <w:keepLines w:val="false"/>
        <w:spacing w:lineRule="auto" w:line="240" w:before="480" w:after="120"/>
        <w:rPr>
          <w:rFonts w:ascii="Times New Roman" w:hAnsi="Times New Roman" w:eastAsia="Times New Roman" w:cs="Times New Roman"/>
          <w:b/>
          <w:b/>
          <w:sz w:val="32"/>
          <w:szCs w:val="32"/>
        </w:rPr>
      </w:pPr>
      <w:bookmarkStart w:id="4" w:name="_rjqeknd3y23r"/>
      <w:bookmarkEnd w:id="4"/>
      <w:r>
        <w:rPr>
          <w:rFonts w:eastAsia="Times New Roman" w:cs="Times New Roman" w:ascii="Times New Roman" w:hAnsi="Times New Roman"/>
          <w:b/>
          <w:sz w:val="32"/>
          <w:szCs w:val="32"/>
        </w:rPr>
        <w:t>Objective</w:t>
      </w:r>
    </w:p>
    <w:p>
      <w:pPr>
        <w:pStyle w:val="Normal1"/>
        <w:spacing w:lineRule="auto" w:line="240" w:before="240" w:after="240"/>
        <w:ind w:left="960" w:hanging="48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A key objective of the organization’s Information Security Program is to focus on detecting information security weaknesses and vulnerabilities so that incidents and breaches can be prevented wherever possible. The organization is committed to protecting its employees, customers, and partners from illegal or damaging actions taken by others, either knowingly or unknowingly. Despite this, incidents and data breaches are likely to happen; when they do, the organization is committed to rapidly responding to them, which may include identifying, containing, investigating, resolving,  and communicating information related to the breach.</w:t>
      </w:r>
    </w:p>
    <w:p>
      <w:pPr>
        <w:pStyle w:val="Normal1"/>
        <w:spacing w:lineRule="auto" w:line="240" w:before="0" w:after="200"/>
        <w:ind w:left="960" w:hanging="48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This policy requires that all users report any perceived or actual information security vulnerability or incident as soon as possible using the contact mechanisms prescribed in this document. In addition, the organization must employ automated scanning and reporting mechanisms that can be used to identify possible information security vulnerabilities and incidents. If a vulnerability is identified, it must be resolved within a set period based on its severity. If an incident is identified, it must be investigated within a set period based on its severity. If an incident is confirmed as a breach, a set procedure must be followed to contain, investigate, resolve, and communicate information to employees, customers, partners, and other stakeholders.</w:t>
      </w:r>
    </w:p>
    <w:p>
      <w:pPr>
        <w:pStyle w:val="Normal1"/>
        <w:spacing w:lineRule="auto" w:line="240" w:before="0" w:after="200"/>
        <w:ind w:left="960" w:hanging="48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Within this document, the following definitions apply</w:t>
      </w:r>
    </w:p>
    <w:p>
      <w:pPr>
        <w:pStyle w:val="Normal1"/>
        <w:spacing w:lineRule="auto" w:line="240" w:before="240" w:after="240"/>
        <w:ind w:left="1680" w:hanging="48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i/>
          <w:sz w:val="24"/>
          <w:szCs w:val="24"/>
        </w:rPr>
        <w:t>Information Security Vulnerability:</w:t>
      </w:r>
      <w:r>
        <w:rPr>
          <w:rFonts w:eastAsia="Times New Roman" w:cs="Times New Roman" w:ascii="Times New Roman" w:hAnsi="Times New Roman"/>
          <w:sz w:val="24"/>
          <w:szCs w:val="24"/>
        </w:rPr>
        <w:t xml:space="preserve"> a vulnerability in an information system, information system security procedures, or administrative controls that could be exploited to gain unauthorized access to information or to disrupt critical processing.</w:t>
      </w:r>
    </w:p>
    <w:p>
      <w:pPr>
        <w:pStyle w:val="Normal1"/>
        <w:spacing w:lineRule="auto" w:line="240" w:before="0" w:after="200"/>
        <w:ind w:left="1680" w:hanging="48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i/>
          <w:sz w:val="24"/>
          <w:szCs w:val="24"/>
        </w:rPr>
        <w:t>Information Security Incident:</w:t>
      </w:r>
      <w:r>
        <w:rPr>
          <w:rFonts w:eastAsia="Times New Roman" w:cs="Times New Roman" w:ascii="Times New Roman" w:hAnsi="Times New Roman"/>
          <w:sz w:val="24"/>
          <w:szCs w:val="24"/>
        </w:rPr>
        <w:t xml:space="preserve"> a suspected, attempted, successful, or imminent threat of unauthorized access, use, disclosure, breach, modification, or destruction of information; interference with information technology operations; or significant violation of information security policy</w:t>
      </w:r>
    </w:p>
    <w:p>
      <w:pPr>
        <w:pStyle w:val="Heading1"/>
        <w:keepNext w:val="false"/>
        <w:keepLines w:val="false"/>
        <w:spacing w:lineRule="auto" w:line="240" w:before="0" w:after="0"/>
        <w:rPr>
          <w:rFonts w:ascii="Times New Roman" w:hAnsi="Times New Roman" w:eastAsia="Times New Roman" w:cs="Times New Roman"/>
          <w:sz w:val="34"/>
          <w:szCs w:val="34"/>
        </w:rPr>
      </w:pPr>
      <w:bookmarkStart w:id="5" w:name="_7wz38n4cevzw"/>
      <w:bookmarkEnd w:id="5"/>
      <w:r>
        <w:rPr>
          <w:rFonts w:eastAsia="Times New Roman" w:cs="Times New Roman" w:ascii="Times New Roman" w:hAnsi="Times New Roman"/>
          <w:b/>
          <w:sz w:val="26"/>
          <w:szCs w:val="26"/>
        </w:rPr>
        <w:t>27.1 Policy</w:t>
      </w:r>
      <w:r>
        <w:rPr>
          <w:rFonts w:eastAsia="Times New Roman" w:cs="Times New Roman" w:ascii="Times New Roman" w:hAnsi="Times New Roman"/>
          <w:sz w:val="34"/>
          <w:szCs w:val="34"/>
        </w:rPr>
        <w:t xml:space="preserve"> </w:t>
      </w:r>
    </w:p>
    <w:p>
      <w:pPr>
        <w:pStyle w:val="Heading1"/>
        <w:keepNext w:val="false"/>
        <w:keepLines w:val="false"/>
        <w:spacing w:lineRule="auto" w:line="240" w:before="40" w:after="0"/>
        <w:ind w:firstLine="720"/>
        <w:rPr>
          <w:rFonts w:ascii="Times New Roman" w:hAnsi="Times New Roman" w:eastAsia="Times New Roman" w:cs="Times New Roman"/>
          <w:b/>
          <w:b/>
          <w:sz w:val="26"/>
          <w:szCs w:val="26"/>
        </w:rPr>
      </w:pPr>
      <w:bookmarkStart w:id="6" w:name="_pvkmcafb6pxm"/>
      <w:bookmarkEnd w:id="6"/>
      <w:r>
        <w:rPr>
          <w:rFonts w:eastAsia="Times New Roman" w:cs="Times New Roman" w:ascii="Times New Roman" w:hAnsi="Times New Roman"/>
          <w:b/>
          <w:sz w:val="26"/>
          <w:szCs w:val="26"/>
        </w:rPr>
        <w:t>27.1.1 Security Incident Response Team</w:t>
      </w:r>
    </w:p>
    <w:p>
      <w:pPr>
        <w:pStyle w:val="Normal1"/>
        <w:spacing w:lineRule="auto" w:line="240" w:before="240" w:after="12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Organizations should establish proper roles and responsibilities to respond to incidents.</w:t>
      </w:r>
    </w:p>
    <w:p>
      <w:pPr>
        <w:pStyle w:val="Heading3"/>
        <w:keepNext w:val="false"/>
        <w:keepLines w:val="false"/>
        <w:spacing w:lineRule="auto" w:line="240" w:before="0" w:after="0"/>
        <w:ind w:left="720" w:firstLine="720"/>
        <w:rPr>
          <w:rFonts w:ascii="Times New Roman" w:hAnsi="Times New Roman" w:eastAsia="Times New Roman" w:cs="Times New Roman"/>
          <w:b/>
          <w:b/>
          <w:color w:val="000000"/>
          <w:sz w:val="26"/>
          <w:szCs w:val="26"/>
        </w:rPr>
      </w:pPr>
      <w:bookmarkStart w:id="7" w:name="_k942pv7gmqx8"/>
      <w:bookmarkEnd w:id="7"/>
      <w:r>
        <w:rPr>
          <w:rFonts w:eastAsia="Times New Roman" w:cs="Times New Roman" w:ascii="Times New Roman" w:hAnsi="Times New Roman"/>
          <w:b/>
          <w:color w:val="000000"/>
          <w:sz w:val="26"/>
          <w:szCs w:val="26"/>
        </w:rPr>
        <w:t>27.1.1.1 CISO</w:t>
      </w:r>
    </w:p>
    <w:p>
      <w:pPr>
        <w:pStyle w:val="Normal1"/>
        <w:rPr/>
      </w:pPr>
      <w:r>
        <w:rPr/>
      </w:r>
    </w:p>
    <w:p>
      <w:pPr>
        <w:pStyle w:val="Normal1"/>
        <w:spacing w:lineRule="auto" w:line="240" w:before="0" w:after="12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CISO is the final authority during the response period for security related incident to declare it as an incident and closing the incident and his responsibility includes:</w:t>
      </w:r>
    </w:p>
    <w:p>
      <w:pPr>
        <w:pStyle w:val="Normal1"/>
        <w:spacing w:lineRule="auto" w:line="240" w:before="24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Ensuring the right people from all functions are notified about the incident and actively involved at all times during the response process</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Establishing the war room and communications are in place to facilitate updates about the incident</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Determining the strategy to be followed during incident response for an incident</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Ensuring that incidents are resolved within established timeframes and SLAs</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Determining necessary follow-up actions</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Assigning follow up activities to appropriate people</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Promptly reporting incident details that may trigger breach reporting in writing to the CISO and legal department</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keepNext w:val="false"/>
        <w:keepLines w:val="false"/>
        <w:spacing w:lineRule="auto" w:line="240" w:before="0" w:after="80"/>
        <w:ind w:left="720" w:firstLine="720"/>
        <w:rPr>
          <w:rFonts w:ascii="Times New Roman" w:hAnsi="Times New Roman" w:eastAsia="Times New Roman" w:cs="Times New Roman"/>
          <w:b/>
          <w:b/>
          <w:color w:val="000000"/>
          <w:sz w:val="26"/>
          <w:szCs w:val="26"/>
        </w:rPr>
      </w:pPr>
      <w:bookmarkStart w:id="8" w:name="_emh5qjjzzfhz"/>
      <w:bookmarkEnd w:id="8"/>
      <w:r>
        <w:rPr>
          <w:rFonts w:eastAsia="Times New Roman" w:cs="Times New Roman" w:ascii="Times New Roman" w:hAnsi="Times New Roman"/>
          <w:b/>
          <w:color w:val="000000"/>
          <w:sz w:val="26"/>
          <w:szCs w:val="26"/>
        </w:rPr>
        <w:t>27.1.1.2 Incident Response Team</w:t>
      </w:r>
    </w:p>
    <w:p>
      <w:pPr>
        <w:pStyle w:val="Normal1"/>
        <w:spacing w:lineRule="auto" w:line="240" w:before="240" w:after="2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incident response team comprises engineers, DevOps etc. are responsible for resolving the incident</w:t>
      </w:r>
    </w:p>
    <w:p>
      <w:pPr>
        <w:pStyle w:val="Heading3"/>
        <w:keepNext w:val="false"/>
        <w:keepLines w:val="false"/>
        <w:spacing w:lineRule="auto" w:line="240" w:before="280" w:after="80"/>
        <w:ind w:left="720" w:firstLine="720"/>
        <w:rPr>
          <w:rFonts w:ascii="Times New Roman" w:hAnsi="Times New Roman" w:eastAsia="Times New Roman" w:cs="Times New Roman"/>
          <w:b/>
          <w:b/>
          <w:color w:val="000000"/>
          <w:sz w:val="26"/>
          <w:szCs w:val="26"/>
        </w:rPr>
      </w:pPr>
      <w:bookmarkStart w:id="9" w:name="_pr647a35rqva"/>
      <w:bookmarkEnd w:id="9"/>
      <w:r>
        <w:rPr>
          <w:rFonts w:eastAsia="Times New Roman" w:cs="Times New Roman" w:ascii="Times New Roman" w:hAnsi="Times New Roman"/>
          <w:b/>
          <w:color w:val="000000"/>
          <w:sz w:val="26"/>
          <w:szCs w:val="26"/>
        </w:rPr>
        <w:t>27.1.1.3 Customers</w:t>
      </w:r>
    </w:p>
    <w:p>
      <w:pPr>
        <w:pStyle w:val="Normal1"/>
        <w:spacing w:lineRule="auto" w:line="240" w:before="240" w:after="24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Customers are responsible for reporting problems with their use of organization services. Customers are responsible for verifying that reported problems are resolved.</w:t>
      </w:r>
    </w:p>
    <w:p>
      <w:pPr>
        <w:pStyle w:val="Heading3"/>
        <w:keepNext w:val="false"/>
        <w:keepLines w:val="false"/>
        <w:spacing w:lineRule="auto" w:line="240" w:before="280" w:after="80"/>
        <w:ind w:left="720" w:firstLine="720"/>
        <w:rPr>
          <w:rFonts w:ascii="Times New Roman" w:hAnsi="Times New Roman" w:eastAsia="Times New Roman" w:cs="Times New Roman"/>
          <w:b/>
          <w:b/>
          <w:color w:val="000000"/>
          <w:sz w:val="26"/>
          <w:szCs w:val="26"/>
        </w:rPr>
      </w:pPr>
      <w:bookmarkStart w:id="10" w:name="_viim6i8fh44x"/>
      <w:bookmarkEnd w:id="10"/>
      <w:r>
        <w:rPr>
          <w:rFonts w:eastAsia="Times New Roman" w:cs="Times New Roman" w:ascii="Times New Roman" w:hAnsi="Times New Roman"/>
          <w:b/>
          <w:color w:val="000000"/>
          <w:sz w:val="26"/>
          <w:szCs w:val="26"/>
        </w:rPr>
        <w:t>27.1.1.4 Legal</w:t>
      </w:r>
    </w:p>
    <w:p>
      <w:pPr>
        <w:pStyle w:val="Normal1"/>
        <w:spacing w:lineRule="auto" w:line="240" w:before="240" w:after="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Legal team works with the CEO and executive management  of the organization to determine if an incident should be considered a breach and be reported.</w:t>
      </w:r>
    </w:p>
    <w:p>
      <w:pPr>
        <w:pStyle w:val="Normal1"/>
        <w:spacing w:lineRule="auto" w:line="240" w:before="240" w:after="0"/>
        <w:ind w:left="21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keepNext w:val="false"/>
        <w:keepLines w:val="false"/>
        <w:spacing w:lineRule="auto" w:line="240" w:before="0" w:after="0"/>
        <w:ind w:left="720" w:hanging="0"/>
        <w:rPr>
          <w:rFonts w:ascii="Times New Roman" w:hAnsi="Times New Roman" w:eastAsia="Times New Roman" w:cs="Times New Roman"/>
          <w:b/>
          <w:b/>
          <w:sz w:val="26"/>
          <w:szCs w:val="26"/>
        </w:rPr>
      </w:pPr>
      <w:bookmarkStart w:id="11" w:name="_5tweb7r84aaz"/>
      <w:bookmarkEnd w:id="11"/>
      <w:r>
        <w:rPr>
          <w:rFonts w:eastAsia="Times New Roman" w:cs="Times New Roman" w:ascii="Times New Roman" w:hAnsi="Times New Roman"/>
          <w:b/>
          <w:sz w:val="26"/>
          <w:szCs w:val="26"/>
        </w:rPr>
        <w:t>27.1.2 Incident Response Training</w:t>
      </w:r>
    </w:p>
    <w:p>
      <w:pPr>
        <w:pStyle w:val="Normal1"/>
        <w:spacing w:lineRule="auto" w:line="240" w:before="240" w:after="24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organization will provide incident response training to information system users consistent with assigned roles and responsibilities. Incorporates simulated events into incident response training to facilitate effective response by personnel in crisis situations. Employs automated mechanisms to provide a more thorough and realistic incident response training environment.</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Users must be trained on the procedures for reporting information security incidents or discovered vulnerabilities and their responsibilities to report such incidents. Failure to report information security incidents shall be considered a security violation and will be reported to the Human Resources (HR) Manager for disciplinary action.</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keepNext w:val="false"/>
        <w:keepLines w:val="false"/>
        <w:spacing w:lineRule="auto" w:line="240" w:before="0" w:after="0"/>
        <w:ind w:firstLine="720"/>
        <w:rPr>
          <w:rFonts w:ascii="Times New Roman" w:hAnsi="Times New Roman" w:eastAsia="Times New Roman" w:cs="Times New Roman"/>
          <w:b/>
          <w:b/>
          <w:sz w:val="26"/>
          <w:szCs w:val="26"/>
        </w:rPr>
      </w:pPr>
      <w:bookmarkStart w:id="12" w:name="_o8ehmu6m6wfo"/>
      <w:bookmarkEnd w:id="12"/>
      <w:r>
        <w:rPr>
          <w:rFonts w:eastAsia="Times New Roman" w:cs="Times New Roman" w:ascii="Times New Roman" w:hAnsi="Times New Roman"/>
          <w:b/>
          <w:sz w:val="26"/>
          <w:szCs w:val="26"/>
        </w:rPr>
        <w:t>27.1.3 Incident Response Testing</w:t>
      </w:r>
    </w:p>
    <w:p>
      <w:pPr>
        <w:pStyle w:val="Normal1"/>
        <w:spacing w:lineRule="auto" w:line="240" w:before="240" w:after="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organization tests the incident response capability for the information system to determine the incident response effectiveness and documents the results.Coordinate incident response testing with organization contacts responsible for related plans such as Business Continuity Plans, Disaster Recovery Plans. etc. </w:t>
      </w:r>
    </w:p>
    <w:p>
      <w:pPr>
        <w:pStyle w:val="Normal1"/>
        <w:spacing w:lineRule="auto" w:line="240" w:before="0" w:after="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keepNext w:val="false"/>
        <w:keepLines w:val="false"/>
        <w:spacing w:lineRule="auto" w:line="240" w:before="0" w:after="0"/>
        <w:rPr>
          <w:rFonts w:ascii="Times New Roman" w:hAnsi="Times New Roman" w:eastAsia="Times New Roman" w:cs="Times New Roman"/>
          <w:sz w:val="24"/>
          <w:szCs w:val="24"/>
        </w:rPr>
      </w:pPr>
      <w:bookmarkStart w:id="13" w:name="_1mlnnwxn9zxg"/>
      <w:bookmarkEnd w:id="13"/>
      <w:r>
        <w:rPr>
          <w:rFonts w:eastAsia="Times New Roman" w:cs="Times New Roman" w:ascii="Times New Roman" w:hAnsi="Times New Roman"/>
          <w:b/>
          <w:sz w:val="26"/>
          <w:szCs w:val="26"/>
        </w:rPr>
        <w:t>27.2 Incident Handling</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All users must report any system vulnerability, incident, or event pointing to a possible incident to the Information Security Manager (ISM) as quickly as possible but no later than 24 hours. Incidents must be reported by sending an email message with the details of the incident.</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Organization implements an information security incident response process to consistently detect, respond, and report incidents, minimize loss and destruction, mitigate the weaknesses that were exploited, and restore information system functionality and business continuity as soon as possible.</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Information and artifacts associated with security incidents (including but not limited to files, logs, and screen captures) must be preserved if they need to be used as evidence of a crime.</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All information security incidents must be responded to through the incident management procedures defined below.</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To appropriately plan and prepare for incidents, the organization must review incident response procedures at least once every year for currency and update as required.</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The incident response procedure must be tested at least twice per year.</w:t>
      </w:r>
    </w:p>
    <w:p>
      <w:pPr>
        <w:pStyle w:val="Normal1"/>
        <w:spacing w:lineRule="auto" w:line="240" w:before="0" w:after="20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The incident response logs must be reviewed as required to assess response effectiveness.</w:t>
      </w:r>
    </w:p>
    <w:p>
      <w:pPr>
        <w:pStyle w:val="Normal1"/>
        <w:spacing w:lineRule="auto" w:line="240" w:before="0" w:after="0"/>
        <w:rPr>
          <w:rFonts w:ascii="Times New Roman" w:hAnsi="Times New Roman" w:eastAsia="Times New Roman" w:cs="Times New Roman"/>
        </w:rPr>
      </w:pPr>
      <w:r>
        <w:rPr>
          <w:rFonts w:eastAsia="Times New Roman" w:cs="Times New Roman" w:ascii="Times New Roman" w:hAnsi="Times New Roman"/>
          <w:b/>
          <w:sz w:val="26"/>
          <w:szCs w:val="26"/>
        </w:rPr>
        <w:t>27.3 Establish Incident Response System</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Define the on-call schedule and assign an Information Security Manager (ISM) responsible for managing incident response procedures during each availability window.</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Define a notification channel to alert the on-call ISM of a potential security incident. Establish company resources that include up-to-date contact information for on-call ISM.</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Assign management sponsors from the Engineering, Legal, HR, Marketing, and C-Suite teams.</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Distribute Procedure For Execute Incident Response to all staff and ensure up-to-date versions are accessible in a dedicated company resource.</w:t>
      </w:r>
    </w:p>
    <w:p>
      <w:pPr>
        <w:pStyle w:val="Normal1"/>
        <w:spacing w:lineRule="auto" w:line="240" w:before="0" w:after="20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Require all staff to complete training for Procedure For Executing Incident Response at least twice per year.</w:t>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14" w:name="_55u1tak9pc3d"/>
      <w:bookmarkEnd w:id="14"/>
      <w:r>
        <w:rPr>
          <w:rFonts w:eastAsia="Times New Roman" w:cs="Times New Roman" w:ascii="Times New Roman" w:hAnsi="Times New Roman"/>
          <w:b/>
          <w:sz w:val="26"/>
          <w:szCs w:val="26"/>
        </w:rPr>
        <w:t>27.4 Incident Response Plan</w:t>
      </w:r>
    </w:p>
    <w:p>
      <w:pPr>
        <w:pStyle w:val="Normal1"/>
        <w:rPr/>
      </w:pPr>
      <w:r>
        <w:rPr/>
      </w:r>
    </w:p>
    <w:p>
      <w:pPr>
        <w:pStyle w:val="Heading2"/>
        <w:keepNext w:val="false"/>
        <w:keepLines w:val="false"/>
        <w:spacing w:lineRule="auto" w:line="240" w:before="0" w:after="0"/>
        <w:ind w:firstLine="720"/>
        <w:rPr>
          <w:rFonts w:ascii="Times New Roman" w:hAnsi="Times New Roman" w:eastAsia="Times New Roman" w:cs="Times New Roman"/>
          <w:b/>
          <w:b/>
          <w:sz w:val="26"/>
          <w:szCs w:val="26"/>
        </w:rPr>
      </w:pPr>
      <w:bookmarkStart w:id="15" w:name="_4f48xau4hqri"/>
      <w:bookmarkEnd w:id="15"/>
      <w:r>
        <w:rPr>
          <w:rFonts w:eastAsia="Times New Roman" w:cs="Times New Roman" w:ascii="Times New Roman" w:hAnsi="Times New Roman"/>
          <w:b/>
          <w:sz w:val="26"/>
          <w:szCs w:val="26"/>
        </w:rPr>
        <w:t>27.4.1 Incident Reporting</w:t>
      </w:r>
    </w:p>
    <w:p>
      <w:pPr>
        <w:pStyle w:val="Normal1"/>
        <w:spacing w:lineRule="auto" w:line="240" w:before="240" w:after="20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When an information security incident is identified or detected, users must notify their immediate manager within 24 hours. The manager must immediately notify the ISM on call for a proper response. The following information must be included as part of the notification:</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Description of the incident</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Date, time, and location of the incident</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 person who discovered the incident</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How the incident was discovered</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Known evidence of the incident</w:t>
      </w:r>
    </w:p>
    <w:p>
      <w:pPr>
        <w:pStyle w:val="Normal1"/>
        <w:spacing w:lineRule="auto" w:line="240" w:before="0" w:after="20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The affected system(s)</w:t>
      </w:r>
    </w:p>
    <w:p>
      <w:pPr>
        <w:pStyle w:val="Heading2"/>
        <w:keepNext w:val="false"/>
        <w:keepLines w:val="false"/>
        <w:spacing w:lineRule="auto" w:line="240" w:before="0" w:after="0"/>
        <w:ind w:firstLine="720"/>
        <w:rPr>
          <w:rFonts w:ascii="Times New Roman" w:hAnsi="Times New Roman" w:eastAsia="Times New Roman" w:cs="Times New Roman"/>
          <w:b/>
          <w:b/>
          <w:sz w:val="26"/>
          <w:szCs w:val="26"/>
        </w:rPr>
      </w:pPr>
      <w:bookmarkStart w:id="16" w:name="_qusscha9ybw1"/>
      <w:bookmarkEnd w:id="16"/>
      <w:r>
        <w:rPr>
          <w:rFonts w:eastAsia="Times New Roman" w:cs="Times New Roman" w:ascii="Times New Roman" w:hAnsi="Times New Roman"/>
          <w:b/>
          <w:sz w:val="26"/>
          <w:szCs w:val="26"/>
        </w:rPr>
        <w:t>27.4.2 Incident Severity</w:t>
      </w:r>
    </w:p>
    <w:p>
      <w:pPr>
        <w:pStyle w:val="Normal1"/>
        <w:spacing w:lineRule="auto" w:line="240" w:before="240" w:after="20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Within 48 hours of the incident being reported, the ISM shall conduct a preliminary investigation and risk assessment to review and confirm the details of the incident. If the incident is confirmed, the ISM must assess the impact on the organization and assign a severity level, which will determine the level of remediation effort required:</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High: the incident is potentially catastrophic to the organization and/or disrupts the organization’s day-to-day operations; a violation of legal, regulatory, or contractual requirements is likely.</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Medium: the incident will cause harm to one or more business units within the organization and/or will cause delays to a business unit’s activities.</w:t>
      </w:r>
    </w:p>
    <w:p>
      <w:pPr>
        <w:pStyle w:val="Normal1"/>
        <w:spacing w:lineRule="auto" w:line="240" w:before="0" w:after="20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Low: the incident is a clear violation of organizational security policy, but will not substantively impact the business.</w:t>
      </w:r>
    </w:p>
    <w:p>
      <w:pPr>
        <w:pStyle w:val="Heading2"/>
        <w:keepNext w:val="false"/>
        <w:keepLines w:val="false"/>
        <w:spacing w:lineRule="auto" w:line="240" w:before="0" w:after="0"/>
        <w:ind w:firstLine="720"/>
        <w:rPr>
          <w:rFonts w:ascii="Times New Roman" w:hAnsi="Times New Roman" w:eastAsia="Times New Roman" w:cs="Times New Roman"/>
          <w:b/>
          <w:b/>
          <w:sz w:val="26"/>
          <w:szCs w:val="26"/>
        </w:rPr>
      </w:pPr>
      <w:bookmarkStart w:id="17" w:name="_9ejolq4udbe"/>
      <w:bookmarkEnd w:id="17"/>
      <w:r>
        <w:rPr>
          <w:rFonts w:eastAsia="Times New Roman" w:cs="Times New Roman" w:ascii="Times New Roman" w:hAnsi="Times New Roman"/>
          <w:b/>
          <w:sz w:val="26"/>
          <w:szCs w:val="26"/>
        </w:rPr>
        <w:t>27.4.3 Escalation and Internal Reporting</w:t>
      </w:r>
    </w:p>
    <w:p>
      <w:pPr>
        <w:pStyle w:val="Normal1"/>
        <w:spacing w:lineRule="auto" w:line="240" w:before="240" w:after="20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ISM, in consultation with management sponsors, shall determine appropriate incident response activities to contain and resolve incidents.</w:t>
      </w:r>
    </w:p>
    <w:p>
      <w:pPr>
        <w:pStyle w:val="Normal1"/>
        <w:spacing w:lineRule="auto" w:line="240" w:before="240" w:after="20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ISM must take all necessary steps to preserve forensic evidence (e.g. log information, files, images) for further investigation to determine if any malicious activity has taken place. All such information must be preserved and provided to law enforcement if the incident is determined to be malicious.</w:t>
      </w:r>
    </w:p>
    <w:p>
      <w:pPr>
        <w:pStyle w:val="Normal1"/>
        <w:spacing w:lineRule="auto" w:line="240" w:before="240" w:after="20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If the incident is deemed as High or Medium then the ISM must work with the VP Brand/Creative, General Counsel, and HR Manager to create and execute a communications plan that communicates the incident to the users, the public, and others affected.</w:t>
      </w:r>
    </w:p>
    <w:p>
      <w:pPr>
        <w:pStyle w:val="Heading2"/>
        <w:keepNext w:val="false"/>
        <w:keepLines w:val="false"/>
        <w:spacing w:lineRule="auto" w:line="240" w:before="0" w:after="0"/>
        <w:ind w:firstLine="720"/>
        <w:rPr>
          <w:rFonts w:ascii="Times New Roman" w:hAnsi="Times New Roman" w:eastAsia="Times New Roman" w:cs="Times New Roman"/>
          <w:b/>
          <w:b/>
          <w:sz w:val="26"/>
          <w:szCs w:val="26"/>
        </w:rPr>
      </w:pPr>
      <w:bookmarkStart w:id="18" w:name="_q5vhq1y4nkpk"/>
      <w:bookmarkEnd w:id="18"/>
      <w:r>
        <w:rPr>
          <w:rFonts w:eastAsia="Times New Roman" w:cs="Times New Roman" w:ascii="Times New Roman" w:hAnsi="Times New Roman"/>
          <w:b/>
          <w:sz w:val="26"/>
          <w:szCs w:val="26"/>
        </w:rPr>
        <w:t>27.4.4 Documentation</w:t>
      </w:r>
    </w:p>
    <w:p>
      <w:pPr>
        <w:pStyle w:val="Normal1"/>
        <w:spacing w:lineRule="auto" w:line="240" w:before="240" w:after="20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ISM must take all necessary steps to resolve the incident and recover information systems, data, and connectivity. All technical steps taken during an incident are to be documented in the organization’s incident log and should contain the following:</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Description of the incident</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Incident severity level</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The root cause (e.g. source address, website malware, vulnerability)</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Evidence</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Mitigations applied (e.g. patch, re-image)</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Status (open, closed, archived)</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Disclosures (parties to which the details of this incident were disclosed, such as customers, vendors, law enforcement, etc.)</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keepNext w:val="false"/>
        <w:keepLines w:val="false"/>
        <w:spacing w:lineRule="auto" w:line="240" w:before="0" w:after="0"/>
        <w:ind w:firstLine="720"/>
        <w:rPr>
          <w:rFonts w:ascii="Times New Roman" w:hAnsi="Times New Roman" w:eastAsia="Times New Roman" w:cs="Times New Roman"/>
          <w:b/>
          <w:b/>
          <w:sz w:val="26"/>
          <w:szCs w:val="26"/>
        </w:rPr>
      </w:pPr>
      <w:bookmarkStart w:id="19" w:name="_ypvz3bjjaz6o"/>
      <w:bookmarkEnd w:id="19"/>
      <w:r>
        <w:rPr>
          <w:rFonts w:eastAsia="Times New Roman" w:cs="Times New Roman" w:ascii="Times New Roman" w:hAnsi="Times New Roman"/>
          <w:b/>
          <w:sz w:val="26"/>
          <w:szCs w:val="26"/>
        </w:rPr>
        <w:t>27.4.5 Root Cause Analysis</w:t>
      </w:r>
    </w:p>
    <w:p>
      <w:pPr>
        <w:pStyle w:val="Normal1"/>
        <w:spacing w:lineRule="auto" w:line="240" w:before="240" w:after="20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After an incident is resolved, the ISM must conduct a post-mortem that includes a root cause analysis and documentation of any lessons learned. The ISM must notify all users of the incident, conduct additional training if necessary, and present any lessons learned to prevent future occurrences. Where necessary, the HR Manager must take disciplinary action if a user’s activity is deemed malicious.</w:t>
      </w:r>
    </w:p>
    <w:p>
      <w:pPr>
        <w:pStyle w:val="Heading2"/>
        <w:keepNext w:val="false"/>
        <w:keepLines w:val="false"/>
        <w:spacing w:lineRule="auto" w:line="240" w:before="0" w:after="0"/>
        <w:ind w:firstLine="720"/>
        <w:rPr>
          <w:rFonts w:ascii="Times New Roman" w:hAnsi="Times New Roman" w:eastAsia="Times New Roman" w:cs="Times New Roman"/>
          <w:b/>
          <w:b/>
          <w:sz w:val="26"/>
          <w:szCs w:val="26"/>
        </w:rPr>
      </w:pPr>
      <w:bookmarkStart w:id="20" w:name="_iph37agehmsl"/>
      <w:bookmarkEnd w:id="20"/>
      <w:r>
        <w:rPr>
          <w:rFonts w:eastAsia="Times New Roman" w:cs="Times New Roman" w:ascii="Times New Roman" w:hAnsi="Times New Roman"/>
          <w:b/>
          <w:sz w:val="26"/>
          <w:szCs w:val="26"/>
        </w:rPr>
        <w:t>27.4.6 External Reporting</w:t>
      </w:r>
    </w:p>
    <w:p>
      <w:pPr>
        <w:pStyle w:val="Normal1"/>
        <w:spacing w:lineRule="auto" w:line="240" w:before="240" w:after="20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Depending on the severity of the incident, the Chief Executive Officer (CEO) may elect to contact external authorities, including but not limited to law enforcement, private investigation firms, and government organizations, as a part of the response to the incident.</w:t>
      </w:r>
    </w:p>
    <w:p>
      <w:pPr>
        <w:pStyle w:val="Normal1"/>
        <w:rPr/>
      </w:pPr>
      <w:r>
        <w:rPr/>
      </w:r>
    </w:p>
    <w:sectPr>
      <w:type w:val="nextPage"/>
      <w:pgSz w:w="12240" w:h="15840"/>
      <w:pgMar w:left="720" w:right="720" w:gutter="0" w:header="0" w:top="1080" w:footer="0" w:bottom="10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7</Pages>
  <Words>1661</Words>
  <Characters>9816</Characters>
  <CharactersWithSpaces>12962</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2024-03-26T16:28:36Z</dcterms:modified>
  <cp:revision>1</cp:revision>
  <dc:subject/>
  <dc:title/>
</cp:coreProperties>
</file>