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{Org_Logo}</w:t>
      </w:r>
    </w:p>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System Change Policy</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{Org_Name}</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{Date_Code}</w:t>
      </w:r>
    </w:p>
    <w:p>
      <w:pPr>
        <w:pStyle w:val="Normal1"/>
        <w:spacing w:lineRule="auto" w:line="240" w:before="0" w:after="240"/>
        <w:rPr>
          <w:rFonts w:ascii="Times New Roman" w:hAnsi="Times New Roman" w:eastAsia="Times New Roman" w:cs="Times New Roman"/>
          <w:b/>
          <w:b/>
          <w:sz w:val="10"/>
          <w:szCs w:val="10"/>
        </w:rPr>
      </w:pPr>
      <w:r>
        <w:rPr>
          <w:rFonts w:eastAsia="Times New Roman" w:cs="Times New Roman" w:ascii="Times New Roman" w:hAnsi="Times New Roman"/>
          <w:b/>
          <w:sz w:val="10"/>
          <w:szCs w:val="10"/>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240"/>
        <w:rPr>
          <w:rFonts w:ascii="Times New Roman" w:hAnsi="Times New Roman" w:eastAsia="Times New Roman" w:cs="Times New Roman"/>
          <w:b/>
          <w:b/>
          <w:sz w:val="10"/>
          <w:szCs w:val="10"/>
        </w:rPr>
      </w:pPr>
      <w:r>
        <w:rPr>
          <w:rFonts w:eastAsia="Times New Roman" w:cs="Times New Roman" w:ascii="Times New Roman" w:hAnsi="Times New Roman"/>
          <w:b/>
          <w:sz w:val="10"/>
          <w:szCs w:val="10"/>
        </w:rPr>
        <w:t xml:space="preserve"> </w:t>
      </w:r>
    </w:p>
    <w:tbl>
      <w:tblPr>
        <w:tblStyle w:val="Table1"/>
        <w:tblW w:w="9330" w:type="dxa"/>
        <w:jc w:val="left"/>
        <w:tblInd w:w="0" w:type="dxa"/>
        <w:tblLayout w:type="fixed"/>
        <w:tblCellMar>
          <w:top w:w="0" w:type="dxa"/>
          <w:left w:w="100" w:type="dxa"/>
          <w:bottom w:w="0" w:type="dxa"/>
          <w:right w:w="100" w:type="dxa"/>
        </w:tblCellMar>
        <w:tblLook w:val="0600"/>
      </w:tblPr>
      <w:tblGrid>
        <w:gridCol w:w="2219"/>
        <w:gridCol w:w="7110"/>
      </w:tblGrid>
      <w:tr>
        <w:trPr>
          <w:trHeight w:val="420" w:hRule="atLeast"/>
        </w:trPr>
        <w:tc>
          <w:tcPr>
            <w:tcW w:w="2219"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ISMS No.</w:t>
            </w:r>
          </w:p>
        </w:tc>
        <w:tc>
          <w:tcPr>
            <w:tcW w:w="7110" w:type="dxa"/>
            <w:tcBorders>
              <w:top w:val="single" w:sz="12" w:space="0" w:color="878787"/>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POL-29</w:t>
            </w:r>
          </w:p>
        </w:tc>
      </w:tr>
      <w:tr>
        <w:trPr>
          <w:trHeight w:val="45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Title</w:t>
            </w:r>
          </w:p>
        </w:tc>
        <w:tc>
          <w:tcPr>
            <w:tcW w:w="7110" w:type="dxa"/>
            <w:tcBorders>
              <w:bottom w:val="single" w:sz="12" w:space="0" w:color="878787"/>
              <w:right w:val="single" w:sz="12" w:space="0" w:color="878787"/>
            </w:tcBorders>
          </w:tcPr>
          <w:p>
            <w:pPr>
              <w:pStyle w:val="Normal1"/>
              <w:widowControl w:val="false"/>
              <w:spacing w:lineRule="auto" w:line="240" w:before="10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System Change Policy</w:t>
            </w:r>
          </w:p>
        </w:tc>
      </w:tr>
      <w:tr>
        <w:trPr>
          <w:trHeight w:val="42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r>
        <w:trPr>
          <w:trHeight w:val="42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Effective Date</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bl>
    <w:p>
      <w:pPr>
        <w:pStyle w:val="Normal1"/>
        <w:spacing w:lineRule="auto" w:line="240" w:before="240" w:after="240"/>
        <w:rPr>
          <w:rFonts w:ascii="Times New Roman" w:hAnsi="Times New Roman" w:eastAsia="Times New Roman" w:cs="Times New Roman"/>
          <w:b/>
          <w:b/>
          <w:sz w:val="29"/>
          <w:szCs w:val="29"/>
        </w:rPr>
      </w:pPr>
      <w:r>
        <w:rPr>
          <w:rFonts w:eastAsia="Times New Roman" w:cs="Times New Roman" w:ascii="Times New Roman" w:hAnsi="Times New Roman"/>
          <w:b/>
          <w:sz w:val="20"/>
          <w:szCs w:val="20"/>
        </w:rPr>
        <w:t xml:space="preserve"> </w:t>
      </w:r>
      <w:r>
        <w:rPr>
          <w:rFonts w:eastAsia="Times New Roman" w:cs="Times New Roman" w:ascii="Times New Roman" w:hAnsi="Times New Roman"/>
          <w:b/>
          <w:sz w:val="29"/>
          <w:szCs w:val="29"/>
        </w:rPr>
        <w:t xml:space="preserve"> </w:t>
      </w:r>
    </w:p>
    <w:tbl>
      <w:tblPr>
        <w:tblStyle w:val="Table2"/>
        <w:tblW w:w="9330" w:type="dxa"/>
        <w:jc w:val="left"/>
        <w:tblInd w:w="0" w:type="dxa"/>
        <w:tblLayout w:type="fixed"/>
        <w:tblCellMar>
          <w:top w:w="0" w:type="dxa"/>
          <w:left w:w="100" w:type="dxa"/>
          <w:bottom w:w="0" w:type="dxa"/>
          <w:right w:w="100" w:type="dxa"/>
        </w:tblCellMar>
        <w:tblLook w:val="0600"/>
      </w:tblPr>
      <w:tblGrid>
        <w:gridCol w:w="1364"/>
        <w:gridCol w:w="1681"/>
        <w:gridCol w:w="1859"/>
        <w:gridCol w:w="1621"/>
        <w:gridCol w:w="2805"/>
      </w:tblGrid>
      <w:tr>
        <w:trPr>
          <w:trHeight w:val="795" w:hRule="atLeast"/>
        </w:trPr>
        <w:tc>
          <w:tcPr>
            <w:tcW w:w="1364"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2" w:before="120" w:after="0"/>
              <w:ind w:left="720" w:hanging="22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No.</w:t>
            </w:r>
          </w:p>
        </w:tc>
        <w:tc>
          <w:tcPr>
            <w:tcW w:w="1681"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8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Date</w:t>
            </w:r>
          </w:p>
        </w:tc>
        <w:tc>
          <w:tcPr>
            <w:tcW w:w="1859"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42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Reviewed by</w:t>
            </w:r>
          </w:p>
        </w:tc>
        <w:tc>
          <w:tcPr>
            <w:tcW w:w="1621"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Approved by</w:t>
            </w:r>
          </w:p>
        </w:tc>
        <w:tc>
          <w:tcPr>
            <w:tcW w:w="2805"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68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Description</w:t>
            </w:r>
          </w:p>
        </w:tc>
      </w:tr>
      <w:tr>
        <w:trPr>
          <w:trHeight w:val="765" w:hRule="atLeast"/>
        </w:trPr>
        <w:tc>
          <w:tcPr>
            <w:tcW w:w="1364"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681"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859"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621"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2805" w:type="dxa"/>
            <w:tcBorders>
              <w:bottom w:val="single" w:sz="12" w:space="0" w:color="878787"/>
              <w:right w:val="single" w:sz="12"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480" w:after="240"/>
        <w:jc w:val="center"/>
        <w:rPr>
          <w:rFonts w:ascii="Times New Roman" w:hAnsi="Times New Roman" w:eastAsia="Times New Roman" w:cs="Times New Roman"/>
          <w:b/>
          <w:b/>
          <w:color w:val="335B8A"/>
          <w:sz w:val="36"/>
          <w:szCs w:val="36"/>
        </w:rPr>
      </w:pPr>
      <w:r>
        <w:rPr>
          <w:rFonts w:eastAsia="Times New Roman" w:cs="Times New Roman" w:ascii="Times New Roman" w:hAnsi="Times New Roman"/>
          <w:b/>
          <w:color w:val="335B8A"/>
          <w:sz w:val="36"/>
          <w:szCs w:val="36"/>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Table of Content</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Purpose                                                                                     </w:t>
        <w:tab/>
        <w:tab/>
        <w:tab/>
        <w:t xml:space="preserve"> </w:t>
        <w:tab/>
        <w:t xml:space="preserve">      </w:t>
        <w:tab/>
        <w:t xml:space="preserve"> </w:t>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Scope                                                                                          </w:t>
        <w:tab/>
        <w:tab/>
        <w:tab/>
        <w:tab/>
        <w:t xml:space="preserve">      </w:t>
        <w:tab/>
        <w:tab/>
        <w:t>3</w:t>
      </w:r>
    </w:p>
    <w:p>
      <w:pPr>
        <w:pStyle w:val="Normal1"/>
        <w:spacing w:lineRule="auto" w:line="240" w:before="60" w:after="240"/>
        <w:rPr>
          <w:rFonts w:ascii="Times New Roman" w:hAnsi="Times New Roman" w:eastAsia="Times New Roman" w:cs="Times New Roman"/>
          <w:b/>
          <w:b/>
        </w:rPr>
      </w:pPr>
      <w:r>
        <w:rPr>
          <w:rFonts w:eastAsia="Times New Roman" w:cs="Times New Roman" w:ascii="Times New Roman" w:hAnsi="Times New Roman"/>
          <w:b/>
        </w:rPr>
        <w:t xml:space="preserve">POLICY SUMMARY/INTENT                                                       </w:t>
        <w:tab/>
        <w:tab/>
        <w:tab/>
        <w:tab/>
        <w:t xml:space="preserve">    </w:t>
        <w:tab/>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29.1 Policy                                                                                          </w:t>
        <w:tab/>
        <w:tab/>
        <w:tab/>
        <w:tab/>
        <w:t xml:space="preserve">      </w:t>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29.2 Three categories of change                                                       </w:t>
        <w:tab/>
        <w:tab/>
        <w:tab/>
        <w:tab/>
        <w:t xml:space="preserve">     </w:t>
        <w:tab/>
        <w:t>4</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29.3 Exception Handling                                                                  </w:t>
        <w:tab/>
        <w:tab/>
        <w:tab/>
        <w:tab/>
        <w:t xml:space="preserve">       </w:t>
        <w:tab/>
        <w:t>5</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29.4 Enforcement                                                                              </w:t>
        <w:tab/>
        <w:tab/>
        <w:tab/>
        <w:tab/>
        <w:t xml:space="preserve">       </w:t>
        <w:tab/>
        <w:t>6</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1"/>
        <w:keepNext w:val="false"/>
        <w:keepLines w:val="false"/>
        <w:spacing w:lineRule="auto" w:line="240" w:before="480" w:after="0"/>
        <w:rPr>
          <w:rFonts w:ascii="Times New Roman" w:hAnsi="Times New Roman" w:eastAsia="Times New Roman" w:cs="Times New Roman"/>
          <w:b/>
          <w:b/>
          <w:sz w:val="26"/>
          <w:szCs w:val="26"/>
        </w:rPr>
      </w:pPr>
      <w:bookmarkStart w:id="0" w:name="_3ml26a8946jd"/>
      <w:bookmarkEnd w:id="0"/>
      <w:r>
        <w:rPr>
          <w:rFonts w:eastAsia="Times New Roman" w:cs="Times New Roman" w:ascii="Times New Roman" w:hAnsi="Times New Roman"/>
          <w:b/>
          <w:sz w:val="26"/>
          <w:szCs w:val="26"/>
        </w:rPr>
        <w:t>Purpose</w:t>
      </w:r>
    </w:p>
    <w:p>
      <w:pPr>
        <w:pStyle w:val="Normal1"/>
        <w:spacing w:lineRule="auto" w:line="240" w:before="160" w:after="240"/>
        <w:ind w:firstLine="720"/>
        <w:jc w:val="both"/>
        <w:rPr>
          <w:rFonts w:ascii="Times New Roman" w:hAnsi="Times New Roman" w:eastAsia="Times New Roman" w:cs="Times New Roman"/>
        </w:rPr>
      </w:pPr>
      <w:r>
        <w:rPr>
          <w:rFonts w:eastAsia="Times New Roman" w:cs="Times New Roman" w:ascii="Times New Roman" w:hAnsi="Times New Roman"/>
        </w:rPr>
        <w:t>This information security policy defines how changes to information systems are planned and implemented</w:t>
      </w:r>
    </w:p>
    <w:p>
      <w:pPr>
        <w:pStyle w:val="Heading1"/>
        <w:keepNext w:val="false"/>
        <w:keepLines w:val="false"/>
        <w:spacing w:lineRule="auto" w:line="240" w:before="160" w:after="120"/>
        <w:jc w:val="both"/>
        <w:rPr>
          <w:rFonts w:ascii="Times New Roman" w:hAnsi="Times New Roman" w:eastAsia="Times New Roman" w:cs="Times New Roman"/>
          <w:b/>
          <w:b/>
          <w:sz w:val="26"/>
          <w:szCs w:val="26"/>
        </w:rPr>
      </w:pPr>
      <w:bookmarkStart w:id="1" w:name="_dvzgzng0ly1t"/>
      <w:bookmarkEnd w:id="1"/>
      <w:r>
        <w:rPr>
          <w:rFonts w:eastAsia="Times New Roman" w:cs="Times New Roman" w:ascii="Times New Roman" w:hAnsi="Times New Roman"/>
          <w:b/>
          <w:sz w:val="26"/>
          <w:szCs w:val="26"/>
        </w:rPr>
        <w:t>Scope</w:t>
      </w:r>
    </w:p>
    <w:p>
      <w:pPr>
        <w:pStyle w:val="Normal1"/>
        <w:spacing w:lineRule="auto" w:line="240" w:before="160" w:after="240"/>
        <w:ind w:left="720" w:hanging="0"/>
        <w:jc w:val="both"/>
        <w:rPr>
          <w:rFonts w:ascii="Times New Roman" w:hAnsi="Times New Roman" w:eastAsia="Times New Roman" w:cs="Times New Roman"/>
        </w:rPr>
      </w:pPr>
      <w:r>
        <w:rPr>
          <w:rFonts w:eastAsia="Times New Roman" w:cs="Times New Roman" w:ascii="Times New Roman" w:hAnsi="Times New Roman"/>
        </w:rPr>
        <w:t>This policy applies to the entire information security program at the organization (i.e. to all information and communications technology, as well as related documentation).</w:t>
      </w:r>
    </w:p>
    <w:p>
      <w:pPr>
        <w:pStyle w:val="Normal1"/>
        <w:spacing w:lineRule="auto" w:line="240" w:before="160" w:after="240"/>
        <w:ind w:left="720" w:hanging="0"/>
        <w:jc w:val="both"/>
        <w:rPr>
          <w:rFonts w:ascii="Times New Roman" w:hAnsi="Times New Roman" w:eastAsia="Times New Roman" w:cs="Times New Roman"/>
        </w:rPr>
      </w:pPr>
      <w:r>
        <w:rPr>
          <w:rFonts w:eastAsia="Times New Roman" w:cs="Times New Roman" w:ascii="Times New Roman" w:hAnsi="Times New Roman"/>
        </w:rPr>
        <w:t>All employees, contractors, part-time and temporary workers, service providers, and those employed by others to perform work for the organization, or who have been granted to the organization’s information and communications technology, must comply with this policy.</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2" w:name="_820pm3i5t936"/>
      <w:bookmarkEnd w:id="2"/>
      <w:r>
        <w:rPr>
          <w:rFonts w:eastAsia="Times New Roman" w:cs="Times New Roman" w:ascii="Times New Roman" w:hAnsi="Times New Roman"/>
          <w:b/>
          <w:sz w:val="26"/>
          <w:szCs w:val="26"/>
        </w:rPr>
        <w:t>POLICY SUMMARY/INTENT</w:t>
      </w:r>
    </w:p>
    <w:p>
      <w:pPr>
        <w:pStyle w:val="Normal1"/>
        <w:spacing w:lineRule="auto" w:line="240" w:before="240" w:after="240"/>
        <w:ind w:left="720" w:hanging="0"/>
        <w:rPr>
          <w:rFonts w:ascii="Times New Roman" w:hAnsi="Times New Roman" w:eastAsia="Times New Roman" w:cs="Times New Roman"/>
        </w:rPr>
      </w:pPr>
      <w:r>
        <w:rPr>
          <w:rFonts w:eastAsia="Times New Roman" w:cs="Times New Roman" w:ascii="Times New Roman" w:hAnsi="Times New Roman"/>
        </w:rPr>
        <w:t>Change Management is the process that controls the life cycle of all changes, enabling beneficial changes to be made with minimum disruption to IT services.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40"/>
        <w:ind w:firstLine="720"/>
        <w:rPr>
          <w:rFonts w:ascii="Times New Roman" w:hAnsi="Times New Roman" w:eastAsia="Times New Roman" w:cs="Times New Roman"/>
        </w:rPr>
      </w:pPr>
      <w:r>
        <w:rPr>
          <w:rFonts w:eastAsia="Times New Roman" w:cs="Times New Roman" w:ascii="Times New Roman" w:hAnsi="Times New Roman"/>
        </w:rPr>
        <w:t>The goals of the organization Change Management Policy include the following:</w:t>
      </w:r>
    </w:p>
    <w:p>
      <w:pPr>
        <w:pStyle w:val="Normal1"/>
        <w:spacing w:lineRule="auto" w:line="240" w:before="160" w:after="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Establish and enforce a standard process with specific requirements to ensure that changes to systems and applications are properly planned, evaluated, reviewed, approved, communicated, implemented, documented, and reviewed, thereby ensuring the greatest probability of success.</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Establish clearly defined best practice processes to ensure compliance with HIPAA, PCI, and other legal or regulatory requirements.</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Prevent or minimize risks to the organization, Environments as a result of a Change Request (CR) being implemented.</w:t>
      </w:r>
    </w:p>
    <w:p>
      <w:pPr>
        <w:pStyle w:val="Normal1"/>
        <w:spacing w:lineRule="auto" w:line="240" w:before="160" w:after="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Where changes are not successful, this document provides mechanisms for conducting post-implementation reviews such that future mistakes and errors can be prevented.</w:t>
      </w:r>
    </w:p>
    <w:p>
      <w:pPr>
        <w:pStyle w:val="Normal1"/>
        <w:spacing w:lineRule="auto" w:line="240" w:before="0" w:after="0"/>
        <w:ind w:left="1080" w:hanging="360"/>
        <w:jc w:val="both"/>
        <w:rPr>
          <w:rFonts w:ascii="Times New Roman" w:hAnsi="Times New Roman" w:eastAsia="Times New Roman" w:cs="Times New Roman"/>
        </w:rPr>
      </w:pPr>
      <w:r>
        <w:rPr>
          <w:rFonts w:eastAsia="Times New Roman" w:cs="Times New Roman" w:ascii="Times New Roman" w:hAnsi="Times New Roman"/>
        </w:rPr>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3" w:name="_dcsdweizv7qo"/>
      <w:bookmarkEnd w:id="3"/>
      <w:r>
        <w:rPr>
          <w:rFonts w:eastAsia="Times New Roman" w:cs="Times New Roman" w:ascii="Times New Roman" w:hAnsi="Times New Roman"/>
          <w:b/>
          <w:sz w:val="26"/>
          <w:szCs w:val="26"/>
        </w:rPr>
        <w:t>29.1 Policy</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All changes to production systems should have a ticket and be approved by the organization Change Management Team  (A designated team of people within the organization comprises the change management team) before they are implemented.</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Any changes to the security architecture or customer data handling of a system must be formally requested in writing to the organization’s Information Security Manager (ISM) or VP of Engineering and approved by the ISM or VP of Engineering.</w:t>
      </w:r>
    </w:p>
    <w:p>
      <w:pPr>
        <w:pStyle w:val="Normal1"/>
        <w:spacing w:lineRule="auto" w:line="240" w:before="240" w:after="240"/>
        <w:ind w:left="108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All change requests must be documented.</w:t>
      </w:r>
    </w:p>
    <w:p>
      <w:pPr>
        <w:pStyle w:val="Normal1"/>
        <w:spacing w:lineRule="auto" w:line="240" w:before="240" w:after="240"/>
        <w:ind w:left="108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All change requests must be prioritized in terms of benefits, urgency, the effort required, and potential impacts to the organization’s operations.</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Clocks are synchronized across all systems using NTP. Modifying time data on systems is restricted.</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All software and systems are tested using unit tests and end to end tests.</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Organization schedules production deployments as they are needed.</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All formal change requests require unique ID and authentication.</w:t>
      </w:r>
    </w:p>
    <w:p>
      <w:pPr>
        <w:pStyle w:val="Normal1"/>
        <w:spacing w:lineRule="auto" w:line="240" w:before="240" w:after="240"/>
        <w:ind w:left="108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All implemented changes must be communicated to relevant users.</w:t>
      </w:r>
    </w:p>
    <w:p>
      <w:pPr>
        <w:pStyle w:val="Normal1"/>
        <w:spacing w:lineRule="auto" w:line="240" w:before="240" w:after="240"/>
        <w:ind w:left="108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Change management must be conducted according to the following procedure:</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i/>
        </w:rPr>
        <w:t>Planning</w:t>
      </w:r>
      <w:r>
        <w:rPr>
          <w:rFonts w:eastAsia="Times New Roman" w:cs="Times New Roman" w:ascii="Times New Roman" w:hAnsi="Times New Roman"/>
        </w:rPr>
        <w:t>: plan the change, including the implementation design, scheduling, and implementation of a communications plan, testing plan, and roll-back plan.</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i/>
        </w:rPr>
        <w:t>Evaluation</w:t>
      </w:r>
      <w:r>
        <w:rPr>
          <w:rFonts w:eastAsia="Times New Roman" w:cs="Times New Roman" w:ascii="Times New Roman" w:hAnsi="Times New Roman"/>
        </w:rPr>
        <w:t>: evaluate the change, including priority level of the service and risk that the proposed change introduces to the system; determine the change type and the specific step-by-step process to implement the change.</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i/>
        </w:rPr>
        <w:t>Review</w:t>
      </w:r>
      <w:r>
        <w:rPr>
          <w:rFonts w:eastAsia="Times New Roman" w:cs="Times New Roman" w:ascii="Times New Roman" w:hAnsi="Times New Roman"/>
        </w:rPr>
        <w:t>: review the change plan amongst the ISM or VP of Engineering, Engineering Lead, and, if applicable, Business Unit Manager.</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i/>
        </w:rPr>
        <w:t>Approval</w:t>
      </w:r>
      <w:r>
        <w:rPr>
          <w:rFonts w:eastAsia="Times New Roman" w:cs="Times New Roman" w:ascii="Times New Roman" w:hAnsi="Times New Roman"/>
        </w:rPr>
        <w:t>: the VP of Engineering must approve the change plan.</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i/>
        </w:rPr>
        <w:t>Communication</w:t>
      </w:r>
      <w:r>
        <w:rPr>
          <w:rFonts w:eastAsia="Times New Roman" w:cs="Times New Roman" w:ascii="Times New Roman" w:hAnsi="Times New Roman"/>
        </w:rPr>
        <w:t>: communicate the change to all users of the system.</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i/>
        </w:rPr>
        <w:t>Implementation</w:t>
      </w:r>
      <w:r>
        <w:rPr>
          <w:rFonts w:eastAsia="Times New Roman" w:cs="Times New Roman" w:ascii="Times New Roman" w:hAnsi="Times New Roman"/>
        </w:rPr>
        <w:t>: test and implement the change.</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i/>
        </w:rPr>
        <w:t>Documentation</w:t>
      </w:r>
      <w:r>
        <w:rPr>
          <w:rFonts w:eastAsia="Times New Roman" w:cs="Times New Roman" w:ascii="Times New Roman" w:hAnsi="Times New Roman"/>
        </w:rPr>
        <w:t>: record the change and any post-implementation issues.</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i/>
        </w:rPr>
        <w:t>Post-change review</w:t>
      </w:r>
      <w:r>
        <w:rPr>
          <w:rFonts w:eastAsia="Times New Roman" w:cs="Times New Roman" w:ascii="Times New Roman" w:hAnsi="Times New Roman"/>
        </w:rPr>
        <w:t>: conduct a post-implementation review to determine how the change is impacting the organization, either positively or negatively. Discuss and document any lessons learned.</w:t>
      </w:r>
    </w:p>
    <w:p>
      <w:pPr>
        <w:pStyle w:val="Normal1"/>
        <w:spacing w:lineRule="auto" w:line="240" w:before="240" w:after="240"/>
        <w:ind w:left="108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It is {Organization’s} goal to make all reasonable and appropriate attempts to maintain the confidentiality, integrity, and availability of its production systems when changing, updating, modifying, or otherwise introducing new applications or technologies into the production environment. All change records shall be stored in JIRA as tickets. This policy establishes overarching change control measures used to achieve this goal.</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An inventory of assets (CMDB) should be maintained where possible. In certain organization cloud environments, this may not be possible due to the nature of the environment, such as auto scaling. In these cases an inventory of EC2 instances should be maintained.</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4" w:name="_j4txifor3d25"/>
      <w:bookmarkEnd w:id="4"/>
      <w:r>
        <w:rPr>
          <w:rFonts w:eastAsia="Times New Roman" w:cs="Times New Roman" w:ascii="Times New Roman" w:hAnsi="Times New Roman"/>
          <w:b/>
          <w:sz w:val="26"/>
          <w:szCs w:val="26"/>
        </w:rPr>
        <w:t>29.2 Three categories of change</w:t>
      </w:r>
    </w:p>
    <w:p>
      <w:pPr>
        <w:pStyle w:val="Normal1"/>
        <w:spacing w:lineRule="auto" w:line="240" w:before="160" w:after="0"/>
        <w:ind w:left="108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0"/>
          <w:szCs w:val="20"/>
        </w:rPr>
        <w:t>A</w:t>
      </w:r>
      <w:r>
        <w:rPr>
          <w:rFonts w:eastAsia="Times New Roman" w:cs="Times New Roman" w:ascii="Times New Roman" w:hAnsi="Times New Roman"/>
        </w:rPr>
        <w:t xml:space="preserve"> Standard Change is a low-risk configuration change, release, or update that has little or no chance to affect the availability of Tier 1 or Tier 2 systems or applications. A list of examples of changes that are likely to fall into the Standard category can be found in the Change Management SOP. These changes do not require approval by the Change Advisory Board (CAB) prior to execution. The change procedures are reviewed periodically by the CAB to ensure compliance with the process. Standard changes do need to be reviewed by a qualified individual, such as the relevant department head, to confirm that the change is, in fact, a routine and low-risk change. These changes require some planning for how the change will be deployed, who is performing the change, QA testing, and a rollback plan. Standard Changes follow a pre-approved, well-defined procedure. These changes have a very low likelihood of causing interruption of service, are changes that have been developed and tested in a documented, repeatable way, have undergone peer review as part of their development, and have a documented and/or automated release/deployment process. Changes that do not affect the stability, availability, or security of production systems and services (Tier 1 systems) would likely fall into this category. A standard change requires that a standard change management ticket be created and filled out prior to the completion or implementation of the change.</w:t>
      </w:r>
    </w:p>
    <w:p>
      <w:pPr>
        <w:pStyle w:val="Normal1"/>
        <w:spacing w:lineRule="auto" w:line="240" w:before="240" w:after="240"/>
        <w:ind w:left="108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 Controlled Change is any change that is not in the list of the types of changes that are categorized as a standard change. Controlled changes are changes that might require downtime or might affect the stability of Tier 1 or Tier 2 systems and applications. These changes have either a higher risk or difficult to define risks associated with them and as a result, require review and approval from technical experts in the company. These changes follow a defined approval process that includes a predefined information set. The approvals can be quick and resolved electronically in a Change Management ticket. Any of the approvers can escalate the review of the change to a more rigorous review where additional evaluation can occur. Changes that affect the stability, availability, or security of production systems and services (Tier 1 systems) would likely fall into this category. A controlled change requires a controlled change management ticket to be created and filled out. The Change Advisory Board or delegate will then review and approve the ticket. If necessary, additional analysis and requests for information can be made before approval is granted. These changes also require a declared maintenance window that is communicated with customers in advance of the change. Controlled changes require extensive QA testing, appropriate staffing during the change, documented test plan to ensure that the change was successful, and a complete rollback plan to follow in the event the change needs to be reverted.</w:t>
      </w:r>
    </w:p>
    <w:p>
      <w:pPr>
        <w:pStyle w:val="Normal1"/>
        <w:spacing w:lineRule="auto" w:line="240" w:before="240" w:after="240"/>
        <w:ind w:left="108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An Emergency Change is the result of an outage, failure, or incident. These changes are intended to return production environments to a working state. They require that after the environment is stable and returned to normal function that a Root Cause Analysis be performed and documented that details the cause of the emergency, the nature of the fix, the extent of damage or loss, the individuals involved in the change, and measures to be taken to ensure that the issue does not happen again. The CAB or delegate leads the analysis and ensures that the documentation is sufficient and communicated to the appropriate parties. An Emergency Change process is utilized in situations where immediate action is required and delays in the implementation of the change can detrimentally impact organization Inc and/or its customers. Whenever possible, obtain approval for Emergency Changes from your Team Lead or Manager. These changes shall be applied as quickly as prudently possible. After the critical situation is resolved, a formal review must take place. The review shall:</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Assess the root cause(s) that necessitated the change</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Evaluate the approach for the resolution to learn from the process</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Ensure that additional risk was not introduced</w:t>
      </w:r>
    </w:p>
    <w:p>
      <w:pPr>
        <w:pStyle w:val="Normal1"/>
        <w:spacing w:lineRule="auto" w:line="240" w:before="240" w:after="240"/>
        <w:ind w:left="1800" w:hanging="360"/>
        <w:jc w:val="both"/>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 xml:space="preserve">Review the Emergency Change ticket involved to gather the necessary pre-change information and then gather and capture necessary post-change information </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5" w:name="_ts1u97rz539m"/>
      <w:bookmarkEnd w:id="5"/>
      <w:r>
        <w:rPr>
          <w:rFonts w:eastAsia="Times New Roman" w:cs="Times New Roman" w:ascii="Times New Roman" w:hAnsi="Times New Roman"/>
          <w:b/>
          <w:sz w:val="26"/>
          <w:szCs w:val="26"/>
        </w:rPr>
        <w:t>29.3 Exception Handling</w:t>
      </w:r>
    </w:p>
    <w:p>
      <w:pPr>
        <w:pStyle w:val="Normal1"/>
        <w:spacing w:lineRule="auto" w:line="240" w:before="0" w:after="0"/>
        <w:ind w:left="0" w:hanging="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b/>
        <w:t>Exceptions to any standard processes defined by the IT infrastructure lead may be granted when reviewed and</w:t>
      </w:r>
    </w:p>
    <w:p>
      <w:pPr>
        <w:pStyle w:val="Normal1"/>
        <w:spacing w:lineRule="auto" w:line="240" w:before="0" w:after="0"/>
        <w:ind w:left="0" w:firstLine="720"/>
        <w:rPr>
          <w:rFonts w:ascii="Times New Roman" w:hAnsi="Times New Roman" w:eastAsia="Times New Roman" w:cs="Times New Roman"/>
        </w:rPr>
      </w:pPr>
      <w:r>
        <w:rPr>
          <w:rFonts w:eastAsia="Times New Roman" w:cs="Times New Roman" w:ascii="Times New Roman" w:hAnsi="Times New Roman"/>
        </w:rPr>
        <w:t>approved by the CSO.</w:t>
      </w:r>
    </w:p>
    <w:p>
      <w:pPr>
        <w:pStyle w:val="Normal1"/>
        <w:spacing w:lineRule="auto" w:line="240" w:before="0" w:after="0"/>
        <w:ind w:left="0" w:firstLine="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rPr>
          <w:rFonts w:ascii="Times New Roman" w:hAnsi="Times New Roman" w:eastAsia="Times New Roman" w:cs="Times New Roman"/>
        </w:rPr>
      </w:pPr>
      <w:r>
        <w:rPr>
          <w:rFonts w:eastAsia="Times New Roman" w:cs="Times New Roman" w:ascii="Times New Roman" w:hAnsi="Times New Roman"/>
          <w:sz w:val="16"/>
          <w:szCs w:val="16"/>
        </w:rPr>
        <w:t xml:space="preserve"> </w:t>
      </w:r>
      <w:r>
        <w:rPr>
          <w:rFonts w:eastAsia="Times New Roman" w:cs="Times New Roman" w:ascii="Times New Roman" w:hAnsi="Times New Roman"/>
          <w:b/>
          <w:sz w:val="26"/>
          <w:szCs w:val="26"/>
        </w:rPr>
        <w:t>29.4 Enforcement</w:t>
      </w:r>
      <w:r>
        <w:rPr>
          <w:rFonts w:eastAsia="Times New Roman" w:cs="Times New Roman" w:ascii="Times New Roman" w:hAnsi="Times New Roman"/>
        </w:rPr>
        <w:t xml:space="preserve"> </w:t>
      </w:r>
    </w:p>
    <w:p>
      <w:pPr>
        <w:pStyle w:val="Normal1"/>
        <w:spacing w:lineRule="auto" w:line="240" w:before="240" w:after="240"/>
        <w:ind w:left="720" w:hanging="0"/>
        <w:rPr>
          <w:rFonts w:ascii="Times New Roman" w:hAnsi="Times New Roman" w:eastAsia="Times New Roman" w:cs="Times New Roman"/>
          <w:sz w:val="20"/>
          <w:szCs w:val="20"/>
        </w:rPr>
      </w:pPr>
      <w:r>
        <w:rPr>
          <w:rFonts w:eastAsia="Times New Roman" w:cs="Times New Roman" w:ascii="Times New Roman" w:hAnsi="Times New Roman"/>
        </w:rPr>
        <w:t>Violation of this policy may result in suspension or termination of an individual’s or firm’s right of access to organization information systems, disciplinary action by appropriate organization employees, referral to law enforcement authorities for criminal prosecution, or other legal action to recover civil damages and penalties.</w:t>
      </w:r>
    </w:p>
    <w:p>
      <w:pPr>
        <w:pStyle w:val="Normal1"/>
        <w:spacing w:lineRule="auto" w:line="240" w:before="240" w:after="240"/>
        <w:ind w:left="720" w:hanging="0"/>
        <w:rPr>
          <w:rFonts w:ascii="Times New Roman" w:hAnsi="Times New Roman" w:eastAsia="Times New Roman" w:cs="Times New Roman"/>
        </w:rPr>
      </w:pPr>
      <w:r>
        <w:rPr>
          <w:rFonts w:eastAsia="Times New Roman" w:cs="Times New Roman" w:ascii="Times New Roman" w:hAnsi="Times New Roman"/>
        </w:rPr>
        <w:t>Non-enforcement of any policy herein does not constitute consent or waiver, and organization reserves the right to enforce policy at its sole discretion.</w:t>
      </w:r>
    </w:p>
    <w:p>
      <w:pPr>
        <w:pStyle w:val="Normal1"/>
        <w:rPr>
          <w:rFonts w:ascii="Times New Roman" w:hAnsi="Times New Roman" w:eastAsia="Times New Roman" w:cs="Times New Roman"/>
        </w:rPr>
      </w:pPr>
      <w:r>
        <w:rPr/>
      </w:r>
    </w:p>
    <w:sectPr>
      <w:type w:val="nextPage"/>
      <w:pgSz w:w="12240" w:h="15840"/>
      <w:pgMar w:left="720" w:right="720" w:gutter="0" w:header="0" w:top="1080" w:footer="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5</Pages>
  <Words>1485</Words>
  <Characters>8256</Characters>
  <CharactersWithSpaces>10410</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2024-03-26T16:28:52Z</dcterms:modified>
  <cp:revision>1</cp:revision>
  <dc:subject/>
  <dc:title/>
</cp:coreProperties>
</file>