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0" w:after="0"/>
        <w:jc w:val="center"/>
        <w:rPr>
          <w:rFonts w:ascii="Times New Roman" w:hAnsi="Times New Roman" w:eastAsia="Times New Roman" w:cs="Times New Roman"/>
          <w:b/>
          <w:b/>
          <w:color w:val="335B8A"/>
          <w:sz w:val="24"/>
          <w:szCs w:val="24"/>
        </w:rPr>
      </w:pPr>
      <w:r>
        <w:rPr>
          <w:rFonts w:eastAsia="Times New Roman" w:cs="Times New Roman" w:ascii="Times New Roman" w:hAnsi="Times New Roman"/>
          <w:b/>
          <w:color w:val="335B8A"/>
          <w:sz w:val="24"/>
          <w:szCs w:val="24"/>
        </w:rPr>
        <w:t>System Hardening Policy</w:t>
      </w:r>
    </w:p>
    <w:p>
      <w:pPr>
        <w:pStyle w:val="Normal1"/>
        <w:spacing w:lineRule="auto" w:line="240" w:before="240" w:after="0"/>
        <w:jc w:val="center"/>
        <w:rPr>
          <w:rFonts w:ascii="Times New Roman" w:hAnsi="Times New Roman" w:eastAsia="Times New Roman" w:cs="Times New Roman"/>
          <w:sz w:val="24"/>
          <w:szCs w:val="24"/>
        </w:rPr>
      </w:pP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w:t>
      </w:r>
      <w:r>
        <w:rPr>
          <w:rFonts w:eastAsia="Times New Roman" w:cs="Times New Roman" w:ascii="Times New Roman" w:hAnsi="Times New Roman"/>
          <w:sz w:val="24"/>
          <w:szCs w:val="24"/>
        </w:rPr>
        <w:t>C</w:t>
      </w:r>
      <w:r>
        <w:rPr>
          <w:rFonts w:eastAsia="Times New Roman" w:cs="Times New Roman" w:ascii="Times New Roman" w:hAnsi="Times New Roman"/>
          <w:sz w:val="24"/>
          <w:szCs w:val="24"/>
        </w:rPr>
        <w:t>ode}</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tbl>
      <w:tblPr>
        <w:tblStyle w:val="Table1"/>
        <w:tblW w:w="9330" w:type="dxa"/>
        <w:jc w:val="left"/>
        <w:tblInd w:w="0" w:type="dxa"/>
        <w:tblLayout w:type="fixed"/>
        <w:tblCellMar>
          <w:top w:w="0" w:type="dxa"/>
          <w:left w:w="100" w:type="dxa"/>
          <w:bottom w:w="0" w:type="dxa"/>
          <w:right w:w="100" w:type="dxa"/>
        </w:tblCellMar>
        <w:tblLook w:val="0600"/>
      </w:tblPr>
      <w:tblGrid>
        <w:gridCol w:w="2219"/>
        <w:gridCol w:w="7110"/>
      </w:tblGrid>
      <w:tr>
        <w:trPr>
          <w:trHeight w:val="465" w:hRule="atLeast"/>
        </w:trPr>
        <w:tc>
          <w:tcPr>
            <w:tcW w:w="2219"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ISMS No.</w:t>
            </w:r>
          </w:p>
        </w:tc>
        <w:tc>
          <w:tcPr>
            <w:tcW w:w="7110" w:type="dxa"/>
            <w:tcBorders>
              <w:top w:val="single" w:sz="12" w:space="0" w:color="878787"/>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POL-30</w:t>
            </w:r>
          </w:p>
        </w:tc>
      </w:tr>
      <w:tr>
        <w:trPr>
          <w:trHeight w:val="495"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Title</w:t>
            </w:r>
          </w:p>
        </w:tc>
        <w:tc>
          <w:tcPr>
            <w:tcW w:w="7110" w:type="dxa"/>
            <w:tcBorders>
              <w:bottom w:val="single" w:sz="12" w:space="0" w:color="878787"/>
              <w:right w:val="single" w:sz="12" w:space="0" w:color="878787"/>
            </w:tcBorders>
          </w:tcPr>
          <w:p>
            <w:pPr>
              <w:pStyle w:val="Normal1"/>
              <w:widowControl w:val="false"/>
              <w:spacing w:lineRule="auto" w:line="240" w:before="100" w:after="240"/>
              <w:ind w:left="140" w:hanging="0"/>
              <w:rPr>
                <w:rFonts w:ascii="Times New Roman" w:hAnsi="Times New Roman" w:eastAsia="Times New Roman" w:cs="Times New Roman"/>
              </w:rPr>
            </w:pPr>
            <w:r>
              <w:rPr>
                <w:rFonts w:eastAsia="Times New Roman" w:cs="Times New Roman" w:ascii="Times New Roman" w:hAnsi="Times New Roman"/>
              </w:rPr>
              <w:t>System Hardening Policy</w:t>
            </w:r>
          </w:p>
        </w:tc>
      </w:tr>
      <w:tr>
        <w:trPr>
          <w:trHeight w:val="465"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r>
        <w:trPr>
          <w:trHeight w:val="465"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Effective Date</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bl>
    <w:p>
      <w:pPr>
        <w:pStyle w:val="Normal1"/>
        <w:spacing w:lineRule="auto" w:line="240" w:before="240" w:after="24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 xml:space="preserve"> </w:t>
      </w:r>
    </w:p>
    <w:p>
      <w:pPr>
        <w:pStyle w:val="Normal1"/>
        <w:spacing w:lineRule="auto" w:line="240" w:before="0" w:after="240"/>
        <w:rPr>
          <w:rFonts w:ascii="Times New Roman" w:hAnsi="Times New Roman" w:eastAsia="Times New Roman" w:cs="Times New Roman"/>
          <w:b/>
          <w:b/>
          <w:sz w:val="29"/>
          <w:szCs w:val="29"/>
        </w:rPr>
      </w:pPr>
      <w:r>
        <w:rPr>
          <w:rFonts w:eastAsia="Times New Roman" w:cs="Times New Roman" w:ascii="Times New Roman" w:hAnsi="Times New Roman"/>
          <w:b/>
          <w:sz w:val="29"/>
          <w:szCs w:val="29"/>
        </w:rPr>
        <w:t xml:space="preserve"> </w:t>
      </w:r>
    </w:p>
    <w:tbl>
      <w:tblPr>
        <w:tblStyle w:val="Table2"/>
        <w:tblW w:w="9315" w:type="dxa"/>
        <w:jc w:val="left"/>
        <w:tblInd w:w="0" w:type="dxa"/>
        <w:tblLayout w:type="fixed"/>
        <w:tblCellMar>
          <w:top w:w="0" w:type="dxa"/>
          <w:left w:w="100" w:type="dxa"/>
          <w:bottom w:w="0" w:type="dxa"/>
          <w:right w:w="100" w:type="dxa"/>
        </w:tblCellMar>
        <w:tblLook w:val="0600"/>
      </w:tblPr>
      <w:tblGrid>
        <w:gridCol w:w="1275"/>
        <w:gridCol w:w="1755"/>
        <w:gridCol w:w="1860"/>
        <w:gridCol w:w="1620"/>
        <w:gridCol w:w="2805"/>
      </w:tblGrid>
      <w:tr>
        <w:trPr>
          <w:trHeight w:val="795" w:hRule="atLeast"/>
        </w:trPr>
        <w:tc>
          <w:tcPr>
            <w:tcW w:w="1275"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2" w:before="120" w:after="0"/>
              <w:ind w:left="720" w:hanging="22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No.</w:t>
            </w:r>
          </w:p>
        </w:tc>
        <w:tc>
          <w:tcPr>
            <w:tcW w:w="1755"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Date</w:t>
            </w:r>
          </w:p>
        </w:tc>
        <w:tc>
          <w:tcPr>
            <w:tcW w:w="1860"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Reviewed by</w:t>
            </w:r>
          </w:p>
        </w:tc>
        <w:tc>
          <w:tcPr>
            <w:tcW w:w="1620"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Approved by</w:t>
            </w:r>
          </w:p>
        </w:tc>
        <w:tc>
          <w:tcPr>
            <w:tcW w:w="2805"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Description</w:t>
            </w:r>
          </w:p>
        </w:tc>
      </w:tr>
      <w:tr>
        <w:trPr>
          <w:trHeight w:val="765" w:hRule="atLeast"/>
        </w:trPr>
        <w:tc>
          <w:tcPr>
            <w:tcW w:w="1275"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w:t>
            </w:r>
          </w:p>
        </w:tc>
        <w:tc>
          <w:tcPr>
            <w:tcW w:w="1755"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860"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620"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2805" w:type="dxa"/>
            <w:tcBorders>
              <w:bottom w:val="single" w:sz="12" w:space="0" w:color="878787"/>
              <w:right w:val="single" w:sz="12"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Heading1"/>
        <w:keepNext w:val="false"/>
        <w:keepLines w:val="false"/>
        <w:spacing w:lineRule="auto" w:line="240" w:before="480" w:after="0"/>
        <w:rPr>
          <w:rFonts w:ascii="Times New Roman" w:hAnsi="Times New Roman" w:eastAsia="Times New Roman" w:cs="Times New Roman"/>
          <w:b/>
          <w:b/>
          <w:color w:val="335B8A"/>
          <w:sz w:val="32"/>
          <w:szCs w:val="32"/>
        </w:rPr>
      </w:pPr>
      <w:bookmarkStart w:id="0" w:name="_lgfus26ibhyg"/>
      <w:bookmarkEnd w:id="0"/>
      <w:r>
        <w:rPr>
          <w:rFonts w:eastAsia="Times New Roman" w:cs="Times New Roman" w:ascii="Times New Roman" w:hAnsi="Times New Roman"/>
          <w:b/>
          <w:color w:val="335B8A"/>
          <w:sz w:val="32"/>
          <w:szCs w:val="32"/>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Heading1"/>
        <w:keepNext w:val="false"/>
        <w:keepLines w:val="false"/>
        <w:spacing w:lineRule="auto" w:line="240" w:before="480" w:after="0"/>
        <w:rPr>
          <w:rFonts w:ascii="Times New Roman" w:hAnsi="Times New Roman" w:eastAsia="Times New Roman" w:cs="Times New Roman"/>
          <w:b/>
          <w:b/>
          <w:color w:val="335B8A"/>
          <w:sz w:val="32"/>
          <w:szCs w:val="32"/>
        </w:rPr>
      </w:pPr>
      <w:bookmarkStart w:id="1" w:name="_mt3es5f52u7r"/>
      <w:bookmarkEnd w:id="1"/>
      <w:r>
        <w:rPr>
          <w:rFonts w:eastAsia="Times New Roman" w:cs="Times New Roman" w:ascii="Times New Roman" w:hAnsi="Times New Roman"/>
          <w:b/>
          <w:color w:val="335B8A"/>
          <w:sz w:val="32"/>
          <w:szCs w:val="32"/>
        </w:rPr>
        <w:t xml:space="preserve"> </w:t>
      </w:r>
    </w:p>
    <w:p>
      <w:pPr>
        <w:pStyle w:val="Normal1"/>
        <w:spacing w:lineRule="auto" w:line="240" w:before="60" w:after="240"/>
        <w:rPr>
          <w:rFonts w:ascii="Times New Roman" w:hAnsi="Times New Roman" w:eastAsia="Times New Roman" w:cs="Times New Roman"/>
          <w:b/>
          <w:b/>
        </w:rPr>
      </w:pPr>
      <w:r>
        <w:rPr>
          <w:rFonts w:eastAsia="Times New Roman" w:cs="Times New Roman" w:ascii="Times New Roman" w:hAnsi="Times New Roman"/>
          <w:b/>
        </w:rPr>
        <w:t xml:space="preserve">Purpose                                                                                            </w:t>
        <w:tab/>
        <w:tab/>
        <w:tab/>
        <w:tab/>
        <w:tab/>
        <w:t>3</w:t>
      </w:r>
    </w:p>
    <w:p>
      <w:pPr>
        <w:pStyle w:val="Normal1"/>
        <w:spacing w:lineRule="auto" w:line="240" w:before="60" w:after="240"/>
        <w:rPr>
          <w:rFonts w:ascii="Times New Roman" w:hAnsi="Times New Roman" w:eastAsia="Times New Roman" w:cs="Times New Roman"/>
          <w:b/>
          <w:b/>
        </w:rPr>
      </w:pPr>
      <w:r>
        <w:rPr>
          <w:rFonts w:eastAsia="Times New Roman" w:cs="Times New Roman" w:ascii="Times New Roman" w:hAnsi="Times New Roman"/>
          <w:b/>
        </w:rPr>
        <w:t xml:space="preserve">Scope                                                                                                </w:t>
        <w:tab/>
        <w:tab/>
        <w:tab/>
        <w:tab/>
        <w:tab/>
        <w:t>3</w:t>
      </w:r>
    </w:p>
    <w:p>
      <w:pPr>
        <w:pStyle w:val="Normal1"/>
        <w:spacing w:lineRule="auto" w:line="240" w:before="60" w:after="240"/>
        <w:rPr>
          <w:rFonts w:ascii="Times New Roman" w:hAnsi="Times New Roman" w:eastAsia="Times New Roman" w:cs="Times New Roman"/>
          <w:b/>
          <w:b/>
        </w:rPr>
      </w:pPr>
      <w:r>
        <w:rPr>
          <w:rFonts w:eastAsia="Times New Roman" w:cs="Times New Roman" w:ascii="Times New Roman" w:hAnsi="Times New Roman"/>
          <w:b/>
        </w:rPr>
        <w:t xml:space="preserve">30.1 General Requirements                                                                   </w:t>
        <w:tab/>
        <w:tab/>
        <w:tab/>
        <w:tab/>
        <w:t xml:space="preserve"> </w:t>
        <w:tab/>
        <w:t>3</w:t>
      </w:r>
    </w:p>
    <w:p>
      <w:pPr>
        <w:pStyle w:val="Normal1"/>
        <w:spacing w:lineRule="auto" w:line="240" w:before="60" w:after="240"/>
        <w:ind w:firstLine="720"/>
        <w:rPr>
          <w:rFonts w:ascii="Times New Roman" w:hAnsi="Times New Roman" w:eastAsia="Times New Roman" w:cs="Times New Roman"/>
        </w:rPr>
      </w:pPr>
      <w:r>
        <w:rPr>
          <w:rFonts w:eastAsia="Times New Roman" w:cs="Times New Roman" w:ascii="Times New Roman" w:hAnsi="Times New Roman"/>
        </w:rPr>
        <w:t xml:space="preserve">30.1.1 Server Hardening                                                                 </w:t>
        <w:tab/>
        <w:tab/>
        <w:tab/>
        <w:tab/>
        <w:t xml:space="preserve">            </w:t>
        <w:tab/>
        <w:t>3</w:t>
      </w:r>
    </w:p>
    <w:p>
      <w:pPr>
        <w:pStyle w:val="Normal1"/>
        <w:spacing w:lineRule="auto" w:line="240" w:before="60" w:after="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30.1.2 Workstation Hardening                                                                       </w:t>
        <w:tab/>
        <w:tab/>
        <w:t xml:space="preserve">     </w:t>
        <w:tab/>
        <w:t>4</w:t>
      </w:r>
    </w:p>
    <w:p>
      <w:pPr>
        <w:pStyle w:val="Normal1"/>
        <w:spacing w:lineRule="auto" w:line="240" w:before="60" w:after="240"/>
        <w:ind w:firstLine="720"/>
        <w:rPr>
          <w:rFonts w:ascii="Times New Roman" w:hAnsi="Times New Roman" w:eastAsia="Times New Roman" w:cs="Times New Roman"/>
        </w:rPr>
      </w:pPr>
      <w:r>
        <w:rPr>
          <w:rFonts w:eastAsia="Times New Roman" w:cs="Times New Roman" w:ascii="Times New Roman" w:hAnsi="Times New Roman"/>
        </w:rPr>
        <w:t xml:space="preserve">30.1.3 Network Device/Service Hardening                                                  </w:t>
        <w:tab/>
        <w:tab/>
        <w:tab/>
        <w:t>5</w:t>
      </w:r>
    </w:p>
    <w:p>
      <w:pPr>
        <w:pStyle w:val="Normal1"/>
        <w:spacing w:lineRule="auto" w:line="240" w:before="60" w:after="240"/>
        <w:rPr>
          <w:rFonts w:ascii="Times New Roman" w:hAnsi="Times New Roman" w:eastAsia="Times New Roman" w:cs="Times New Roman"/>
          <w:b/>
          <w:b/>
        </w:rPr>
      </w:pPr>
      <w:r>
        <w:rPr>
          <w:rFonts w:eastAsia="Times New Roman" w:cs="Times New Roman" w:ascii="Times New Roman" w:hAnsi="Times New Roman"/>
          <w:b/>
        </w:rPr>
        <w:t xml:space="preserve">30.2 Exception                                                                                         </w:t>
        <w:tab/>
        <w:tab/>
        <w:tab/>
        <w:tab/>
        <w:t xml:space="preserve"> </w:t>
        <w:tab/>
        <w:t>6</w:t>
      </w:r>
    </w:p>
    <w:p>
      <w:pPr>
        <w:pStyle w:val="Normal1"/>
        <w:spacing w:lineRule="auto" w:line="240" w:before="60" w:after="240"/>
        <w:rPr>
          <w:rFonts w:ascii="Times New Roman" w:hAnsi="Times New Roman" w:eastAsia="Times New Roman" w:cs="Times New Roman"/>
          <w:b/>
          <w:b/>
        </w:rPr>
      </w:pPr>
      <w:r>
        <w:rPr>
          <w:rFonts w:eastAsia="Times New Roman" w:cs="Times New Roman" w:ascii="Times New Roman" w:hAnsi="Times New Roman"/>
          <w:b/>
        </w:rPr>
        <w:t xml:space="preserve">30.3 Non-Compliance                                                                             </w:t>
        <w:tab/>
        <w:tab/>
        <w:tab/>
        <w:tab/>
        <w:t xml:space="preserve"> </w:t>
        <w:tab/>
        <w:t>6</w:t>
      </w:r>
    </w:p>
    <w:p>
      <w:pPr>
        <w:pStyle w:val="Heading1"/>
        <w:keepNext w:val="false"/>
        <w:keepLines w:val="false"/>
        <w:spacing w:lineRule="auto" w:line="240" w:before="480" w:after="0"/>
        <w:rPr>
          <w:rFonts w:ascii="Times New Roman" w:hAnsi="Times New Roman" w:eastAsia="Times New Roman" w:cs="Times New Roman"/>
          <w:b/>
          <w:b/>
          <w:sz w:val="46"/>
          <w:szCs w:val="46"/>
        </w:rPr>
      </w:pPr>
      <w:bookmarkStart w:id="2" w:name="_4wrre73dz5qu"/>
      <w:bookmarkEnd w:id="2"/>
      <w:r>
        <w:rPr>
          <w:rFonts w:eastAsia="Times New Roman" w:cs="Times New Roman" w:ascii="Times New Roman" w:hAnsi="Times New Roman"/>
          <w:b/>
          <w:sz w:val="46"/>
          <w:szCs w:val="46"/>
        </w:rPr>
        <w:t xml:space="preserve"> </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1"/>
        <w:keepNext w:val="false"/>
        <w:keepLines w:val="false"/>
        <w:spacing w:lineRule="auto" w:line="240" w:before="480" w:after="0"/>
        <w:rPr>
          <w:rFonts w:ascii="Times New Roman" w:hAnsi="Times New Roman" w:eastAsia="Times New Roman" w:cs="Times New Roman"/>
          <w:sz w:val="38"/>
          <w:szCs w:val="38"/>
        </w:rPr>
      </w:pPr>
      <w:bookmarkStart w:id="3" w:name="_jc4qb9k1rf1k"/>
      <w:bookmarkEnd w:id="3"/>
      <w:r>
        <w:rPr>
          <w:rFonts w:eastAsia="Times New Roman" w:cs="Times New Roman" w:ascii="Times New Roman" w:hAnsi="Times New Roman"/>
          <w:b/>
          <w:sz w:val="26"/>
          <w:szCs w:val="26"/>
        </w:rPr>
        <w:t>Purpose</w:t>
      </w:r>
    </w:p>
    <w:p>
      <w:pPr>
        <w:pStyle w:val="Normal1"/>
        <w:spacing w:lineRule="auto" w:line="240" w:before="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purpose of this policy is to establish standards for the base configuration of internal server equipment, Workstations and networks devices that are owned and/or operated by the organization . Effective implementation of this policy will minimize unauthorized access to proprietary information and technology.</w:t>
      </w:r>
    </w:p>
    <w:p>
      <w:pPr>
        <w:pStyle w:val="Heading1"/>
        <w:keepNext w:val="false"/>
        <w:keepLines w:val="false"/>
        <w:spacing w:lineRule="auto" w:line="240" w:before="0" w:after="0"/>
        <w:rPr>
          <w:rFonts w:ascii="Times New Roman" w:hAnsi="Times New Roman" w:eastAsia="Times New Roman" w:cs="Times New Roman"/>
          <w:sz w:val="38"/>
          <w:szCs w:val="38"/>
        </w:rPr>
      </w:pPr>
      <w:bookmarkStart w:id="4" w:name="_pgg7jdbxarp"/>
      <w:bookmarkEnd w:id="4"/>
      <w:r>
        <w:rPr>
          <w:rFonts w:eastAsia="Times New Roman" w:cs="Times New Roman" w:ascii="Times New Roman" w:hAnsi="Times New Roman"/>
          <w:b/>
          <w:sz w:val="26"/>
          <w:szCs w:val="26"/>
        </w:rPr>
        <w:t>Scope</w:t>
      </w:r>
      <w:r>
        <w:rPr>
          <w:rFonts w:eastAsia="Times New Roman" w:cs="Times New Roman" w:ascii="Times New Roman" w:hAnsi="Times New Roman"/>
          <w:sz w:val="38"/>
          <w:szCs w:val="38"/>
        </w:rPr>
        <w:t xml:space="preserve"> </w:t>
      </w:r>
    </w:p>
    <w:p>
      <w:pPr>
        <w:pStyle w:val="Normal1"/>
        <w:spacing w:lineRule="auto" w:line="240" w:before="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This policy for hardening covers all servers, workstations and network devices.  This policy applies to server equipment that is owned, operated, or leased by or registered under an organization-owned internal network domain. This policy specifies requirements for equipment on the internal network.</w:t>
      </w:r>
    </w:p>
    <w:p>
      <w:pPr>
        <w:pStyle w:val="Normal1"/>
        <w:spacing w:lineRule="auto" w:line="240" w:before="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5" w:name="_b94e3lfs7y7y"/>
      <w:bookmarkEnd w:id="5"/>
      <w:r>
        <w:rPr>
          <w:rFonts w:eastAsia="Times New Roman" w:cs="Times New Roman" w:ascii="Times New Roman" w:hAnsi="Times New Roman"/>
          <w:b/>
          <w:sz w:val="26"/>
          <w:szCs w:val="26"/>
        </w:rPr>
        <w:t>30.1 General Requirements</w:t>
      </w:r>
    </w:p>
    <w:p>
      <w:pPr>
        <w:pStyle w:val="Normal1"/>
        <w:rPr/>
      </w:pPr>
      <w:r>
        <w:rPr/>
      </w:r>
    </w:p>
    <w:p>
      <w:pPr>
        <w:pStyle w:val="Normal1"/>
        <w:spacing w:lineRule="auto" w:line="240" w:before="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All internal servers, Workstations and networks devices deployed must be owned by an DevOps team that is responsible for system administration. Approved configuration guides for servers, workstations and network devices must be established and maintained by the DevOps team and approved by the Security Team.</w:t>
      </w:r>
    </w:p>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DevOps should monitor configuration compliance and implement an exception policy tailored to their environment.</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DevOps must establish a process for changing the configuration guides, which includes review and approval by the security team.</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 following items must be met:</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Servers must be registered within the corporate enterprise management system as per asset management policy. At a minimum, the following information is required to positively identify the point of contact:</w:t>
      </w:r>
    </w:p>
    <w:p>
      <w:pPr>
        <w:pStyle w:val="Normal1"/>
        <w:spacing w:lineRule="auto" w:line="240" w:before="0" w:after="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6"/>
          <w:szCs w:val="16"/>
        </w:rPr>
        <w:tab/>
      </w:r>
      <w:r>
        <w:rPr>
          <w:rFonts w:eastAsia="Times New Roman" w:cs="Times New Roman" w:ascii="Times New Roman" w:hAnsi="Times New Roman"/>
          <w:sz w:val="24"/>
          <w:szCs w:val="24"/>
        </w:rPr>
        <w:t>Server contact(s) and location, and a backup contact</w:t>
      </w:r>
    </w:p>
    <w:p>
      <w:pPr>
        <w:pStyle w:val="Normal1"/>
        <w:spacing w:lineRule="auto" w:line="240" w:before="0" w:after="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6"/>
          <w:szCs w:val="16"/>
        </w:rPr>
        <w:tab/>
      </w:r>
      <w:r>
        <w:rPr>
          <w:rFonts w:eastAsia="Times New Roman" w:cs="Times New Roman" w:ascii="Times New Roman" w:hAnsi="Times New Roman"/>
          <w:sz w:val="24"/>
          <w:szCs w:val="24"/>
        </w:rPr>
        <w:t>Hardware and Operating System/Version</w:t>
      </w:r>
    </w:p>
    <w:p>
      <w:pPr>
        <w:pStyle w:val="Normal1"/>
        <w:spacing w:lineRule="auto" w:line="240" w:before="0" w:after="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6"/>
          <w:szCs w:val="16"/>
        </w:rPr>
        <w:tab/>
      </w:r>
      <w:r>
        <w:rPr>
          <w:rFonts w:eastAsia="Times New Roman" w:cs="Times New Roman" w:ascii="Times New Roman" w:hAnsi="Times New Roman"/>
          <w:sz w:val="24"/>
          <w:szCs w:val="24"/>
        </w:rPr>
        <w:t>Main functions and applications, if applicable</w:t>
      </w:r>
    </w:p>
    <w:p>
      <w:pPr>
        <w:pStyle w:val="Normal1"/>
        <w:spacing w:lineRule="auto" w:line="240" w:before="0" w:after="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6"/>
          <w:szCs w:val="16"/>
        </w:rPr>
        <w:tab/>
      </w:r>
      <w:r>
        <w:rPr>
          <w:rFonts w:eastAsia="Times New Roman" w:cs="Times New Roman" w:ascii="Times New Roman" w:hAnsi="Times New Roman"/>
          <w:sz w:val="24"/>
          <w:szCs w:val="24"/>
        </w:rPr>
        <w:t>Information in the corporate enterprise management system must be kept up to date.</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Configuration changes for production servers must follow the appropriate change management procedures.</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As an organization maintains server assets in the cloud, the following guidelines must be followed for images used to create cloud assets:</w:t>
      </w:r>
    </w:p>
    <w:p>
      <w:pPr>
        <w:pStyle w:val="Normal1"/>
        <w:spacing w:lineRule="auto" w:line="240" w:before="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0" w:after="0"/>
        <w:ind w:firstLine="720"/>
        <w:rPr>
          <w:rFonts w:ascii="Times New Roman" w:hAnsi="Times New Roman" w:eastAsia="Times New Roman" w:cs="Times New Roman"/>
        </w:rPr>
      </w:pPr>
      <w:bookmarkStart w:id="6" w:name="_odgzrewxpvjb"/>
      <w:bookmarkEnd w:id="6"/>
      <w:r>
        <w:rPr>
          <w:rFonts w:eastAsia="Times New Roman" w:cs="Times New Roman" w:ascii="Times New Roman" w:hAnsi="Times New Roman"/>
          <w:b/>
          <w:sz w:val="26"/>
          <w:szCs w:val="26"/>
        </w:rPr>
        <w:t>30.1.1 Server Hardening</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servers should use the same master OS image and any update to the master OS image has to be documented and approved by the security team.</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changes are tracked via a ticketing system like JIRA etc.</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Server’s should keep system patched</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Regularly updating third-party software essential to the operation of the server and removing third-party software that doesn’t conform to established cybersecurity standards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default accounts need to be disabled and including root accounts.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Root account should be enabled only when required and it should be approved by the security team.</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Using strong and more complex passwords based on organization password policy</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Locking user accounts if a certain number of failed login attempts are registered and removing needless accounts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servers should have USB disabled disabled  at boot</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Server devices should be using</w:t>
      </w:r>
      <w:hyperlink r:id="rId2">
        <w:r>
          <w:rPr>
            <w:rFonts w:eastAsia="Times New Roman" w:cs="Times New Roman" w:ascii="Times New Roman" w:hAnsi="Times New Roman"/>
            <w:sz w:val="24"/>
            <w:szCs w:val="24"/>
          </w:rPr>
          <w:t xml:space="preserve"> </w:t>
        </w:r>
      </w:hyperlink>
      <w:hyperlink r:id="rId3">
        <w:r>
          <w:rPr>
            <w:rFonts w:eastAsia="Times New Roman" w:cs="Times New Roman" w:ascii="Times New Roman" w:hAnsi="Times New Roman"/>
            <w:color w:val="1155CC"/>
            <w:sz w:val="24"/>
            <w:szCs w:val="24"/>
          </w:rPr>
          <w:t>self-encrypting drives</w:t>
        </w:r>
      </w:hyperlink>
      <w:r>
        <w:rPr>
          <w:rFonts w:eastAsia="Times New Roman" w:cs="Times New Roman" w:ascii="Times New Roman" w:hAnsi="Times New Roman"/>
          <w:sz w:val="24"/>
          <w:szCs w:val="24"/>
        </w:rPr>
        <w:t xml:space="preserve"> or AES encryption to conceal and protect sensitive information</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security updates should be installed after approval.</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servers should have IDS/IPS installed on them.</w:t>
      </w:r>
    </w:p>
    <w:p>
      <w:pPr>
        <w:pStyle w:val="Normal1"/>
        <w:spacing w:lineRule="auto" w:line="240" w:before="240" w:after="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unnecessary network ports should be be disabled</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 xml:space="preserve">Only approved ports, services, network protocol and applications should be enabled on the server. </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servers should be monitored and logs should be rotated and backed up.</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Endpoint protection software should be be installed on all servers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servers should use the organization created common configuration guide for configuring the server and changes to the guide should be approved and documented.</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Always use standard security principles of least required access to perform a function.</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privileged access to the server must be via secure channel connection (e.g., encrypted network connections using SSH or IPSec).</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Logging is enabled for any access to the server and logging should be connected to the central logging server.</w:t>
      </w:r>
    </w:p>
    <w:p>
      <w:pPr>
        <w:pStyle w:val="Heading1"/>
        <w:keepNext w:val="false"/>
        <w:keepLines w:val="false"/>
        <w:spacing w:lineRule="auto" w:line="240" w:before="0" w:after="0"/>
        <w:ind w:firstLine="720"/>
        <w:rPr>
          <w:rFonts w:ascii="Times New Roman" w:hAnsi="Times New Roman" w:eastAsia="Times New Roman" w:cs="Times New Roman"/>
          <w:b/>
          <w:b/>
          <w:sz w:val="26"/>
          <w:szCs w:val="26"/>
        </w:rPr>
      </w:pPr>
      <w:bookmarkStart w:id="7" w:name="_jybfwo1im9qs"/>
      <w:bookmarkEnd w:id="7"/>
      <w:r>
        <w:rPr>
          <w:rFonts w:eastAsia="Times New Roman" w:cs="Times New Roman" w:ascii="Times New Roman" w:hAnsi="Times New Roman"/>
          <w:b/>
          <w:sz w:val="26"/>
          <w:szCs w:val="26"/>
        </w:rPr>
        <w:t>30.1.2 Workstation Hardening</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6"/>
          <w:szCs w:val="26"/>
        </w:rPr>
        <w:t>●</w:t>
      </w:r>
      <w:r>
        <w:rPr>
          <w:rFonts w:eastAsia="Times New Roman" w:cs="Times New Roman" w:ascii="Times New Roman" w:hAnsi="Times New Roman"/>
          <w:sz w:val="18"/>
          <w:szCs w:val="18"/>
        </w:rPr>
        <w:t xml:space="preserve">      </w:t>
      </w:r>
      <w:r>
        <w:rPr>
          <w:rFonts w:eastAsia="Times New Roman" w:cs="Times New Roman" w:ascii="Times New Roman" w:hAnsi="Times New Roman"/>
          <w:sz w:val="24"/>
          <w:szCs w:val="24"/>
        </w:rPr>
        <w:t>All workstations should be using LTS OS image not older than 4 years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workstations should use the organization created common configuration guide which should not change without approval.</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default accounts need to be disabled and including root accounts.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account should be created with least privilege</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workstations should have Anti-Virus/firewall installed</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workstations should have an endpoint software to monitor the compliance and manage the devices.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Only approved ports, services, network protocol and applications should be enabled on the server</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security updates should be installed automatically (Auto update should be enabled by default)</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organizations provided workstations  should use the organization created common configuration guide for configuring the workstation and changes to the guide should be approved and documented.</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software updated to the current approved baseline..</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USB Ports should be disabled in the bios.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workstations bios should be password protected.</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sz w:val="18"/>
          <w:szCs w:val="18"/>
        </w:rPr>
        <w:t xml:space="preserve"> </w:t>
      </w:r>
      <w:r>
        <w:rPr>
          <w:rFonts w:eastAsia="Times New Roman" w:cs="Times New Roman" w:ascii="Times New Roman" w:hAnsi="Times New Roman"/>
          <w:b/>
          <w:sz w:val="26"/>
          <w:szCs w:val="26"/>
        </w:rPr>
        <w:t>30.1.3 Network Device/Service Hardening</w:t>
      </w:r>
    </w:p>
    <w:p>
      <w:pPr>
        <w:pStyle w:val="Normal1"/>
        <w:spacing w:lineRule="auto" w:line="240"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Network hardening techniques include properly configuring and securing network firewalls, auditing network rules and network access privileges, disabling certain network protocols and unused or unnecessary network ports, encrypting network traffic, and disabling network services and devices not currently in use or never in use.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Use of default and system provided configuration and passwords are prohibited.</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Network device operating systems must be patched to the most recent manufacturer-recommended version for the supported features required.</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Auto-update should be enabled if available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security patches should be applied immediately after approval</w:t>
      </w:r>
    </w:p>
    <w:p>
      <w:pPr>
        <w:pStyle w:val="Normal1"/>
        <w:spacing w:lineRule="auto" w:line="240" w:before="0" w:after="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Implement the manufacturer’s configuration guidance to restrict access to the console</w:t>
      </w:r>
    </w:p>
    <w:p>
      <w:pPr>
        <w:pStyle w:val="Normal1"/>
        <w:spacing w:lineRule="auto" w:line="240" w:before="0" w:after="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port.</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Enable the strongest password encryption supported by the equipment.</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the network devices/service should be monitored and log all attempts to access network devices/service.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All network devices/service configuration should be backed up</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Enable Multi-Factor Authentication or One Time Password (OTP) and enforce strong passwords which will protect organization Firewall from unauthorized access either from stolen credentials or brute force hacking attempts</w:t>
      </w:r>
    </w:p>
    <w:p>
      <w:pPr>
        <w:pStyle w:val="Normal1"/>
        <w:shd w:val="clear" w:fill="FFFFFF"/>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Firewall service/device</w:t>
      </w:r>
    </w:p>
    <w:p>
      <w:pPr>
        <w:pStyle w:val="Normal1"/>
        <w:shd w:val="clear" w:fill="FFFFFF"/>
        <w:spacing w:lineRule="auto" w:line="240"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Understand and document why each rule exists within the rule-base. If a rule has no purpose or is no longer relevant, remove it.</w:t>
      </w:r>
    </w:p>
    <w:p>
      <w:pPr>
        <w:pStyle w:val="Normal1"/>
        <w:shd w:val="clear" w:fill="FFFFFF"/>
        <w:spacing w:lineRule="auto" w:line="240"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Any change to the rules must be approved by the security team.</w:t>
      </w:r>
    </w:p>
    <w:p>
      <w:pPr>
        <w:pStyle w:val="Normal1"/>
        <w:shd w:val="clear" w:fill="FFFFFF"/>
        <w:spacing w:lineRule="auto" w:line="240" w:before="0" w:after="3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As much as possible, restrict firewall rules to allow traffic to specific destination ports/services.</w:t>
      </w:r>
    </w:p>
    <w:p>
      <w:pPr>
        <w:pStyle w:val="Normal1"/>
        <w:shd w:val="clear" w:fill="FFFFFF"/>
        <w:spacing w:lineRule="auto" w:line="240" w:before="0" w:after="0"/>
        <w:rPr>
          <w:rFonts w:ascii="Times New Roman" w:hAnsi="Times New Roman" w:eastAsia="Times New Roman" w:cs="Times New Roman"/>
          <w:b/>
          <w:b/>
          <w:sz w:val="26"/>
          <w:szCs w:val="26"/>
        </w:rPr>
      </w:pPr>
      <w:r>
        <w:rPr>
          <w:rFonts w:eastAsia="Times New Roman" w:cs="Times New Roman" w:ascii="Times New Roman" w:hAnsi="Times New Roman"/>
          <w:b/>
          <w:sz w:val="26"/>
          <w:szCs w:val="26"/>
        </w:rPr>
        <w:t>30.2 Exception</w:t>
      </w:r>
    </w:p>
    <w:p>
      <w:pPr>
        <w:pStyle w:val="Normal1"/>
        <w:spacing w:lineRule="auto" w:line="240" w:before="240" w:after="20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Upon publishing, this policy will become operative. All enterprise policies and standards must be followed. Policies and standards are subject to change at any time, and compliance with updated versions is anticipated.</w:t>
      </w:r>
    </w:p>
    <w:p>
      <w:pPr>
        <w:pStyle w:val="Normal1"/>
        <w:spacing w:lineRule="auto" w:line="240" w:before="240" w:after="20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Entities must go through the Chief Information Security Officer's exemption process to request a variance from this policy if compliance with this standard is not practical or technically achievable or if it is required to serve a business function.</w:t>
      </w:r>
    </w:p>
    <w:p>
      <w:pPr>
        <w:pStyle w:val="Heading1"/>
        <w:keepNext w:val="false"/>
        <w:keepLines w:val="false"/>
        <w:spacing w:lineRule="auto" w:line="240" w:before="200" w:after="0"/>
        <w:rPr>
          <w:rFonts w:ascii="Times New Roman" w:hAnsi="Times New Roman" w:eastAsia="Times New Roman" w:cs="Times New Roman"/>
          <w:b/>
          <w:b/>
          <w:sz w:val="26"/>
          <w:szCs w:val="26"/>
        </w:rPr>
      </w:pPr>
      <w:bookmarkStart w:id="8" w:name="_kl9w88e5ovyp"/>
      <w:bookmarkEnd w:id="8"/>
      <w:r>
        <w:rPr>
          <w:rFonts w:eastAsia="Times New Roman" w:cs="Times New Roman" w:ascii="Times New Roman" w:hAnsi="Times New Roman"/>
          <w:b/>
          <w:sz w:val="26"/>
          <w:szCs w:val="26"/>
        </w:rPr>
        <w:t>30.3 Non-Compliance</w:t>
      </w:r>
    </w:p>
    <w:p>
      <w:pPr>
        <w:pStyle w:val="Normal1"/>
        <w:spacing w:lineRule="auto" w:line="240" w:before="180" w:after="18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An employee or user found to have violated this policy may be subject to disciplinary action, up to and including termination of employment.</w:t>
      </w:r>
    </w:p>
    <w:p>
      <w:pPr>
        <w:pStyle w:val="Heading1"/>
        <w:keepNext w:val="false"/>
        <w:keepLines w:val="false"/>
        <w:spacing w:lineRule="auto" w:line="240" w:before="480" w:after="0"/>
        <w:rPr>
          <w:rFonts w:ascii="Times New Roman" w:hAnsi="Times New Roman" w:eastAsia="Times New Roman" w:cs="Times New Roman"/>
          <w:b/>
          <w:b/>
          <w:sz w:val="46"/>
          <w:szCs w:val="46"/>
        </w:rPr>
      </w:pPr>
      <w:bookmarkStart w:id="9" w:name="_ux9ew9nfn60c"/>
      <w:bookmarkEnd w:id="9"/>
      <w:r>
        <w:rPr>
          <w:rFonts w:eastAsia="Times New Roman" w:cs="Times New Roman" w:ascii="Times New Roman" w:hAnsi="Times New Roman"/>
          <w:b/>
          <w:sz w:val="46"/>
          <w:szCs w:val="46"/>
        </w:rPr>
        <w:t xml:space="preserve"> </w:t>
      </w:r>
    </w:p>
    <w:p>
      <w:pPr>
        <w:pStyle w:val="Normal1"/>
        <w:rPr>
          <w:rFonts w:ascii="Times New Roman" w:hAnsi="Times New Roman" w:eastAsia="Times New Roman" w:cs="Times New Roman"/>
        </w:rPr>
      </w:pPr>
      <w:r>
        <w:rPr/>
      </w:r>
    </w:p>
    <w:sectPr>
      <w:type w:val="nextPage"/>
      <w:pgSz w:w="12240" w:h="15840"/>
      <w:pgMar w:left="720" w:right="720" w:gutter="0" w:header="0" w:top="1080" w:footer="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rentonsystems.com/blog/self-encrypting-drives" TargetMode="External"/><Relationship Id="rId3" Type="http://schemas.openxmlformats.org/officeDocument/2006/relationships/hyperlink" Target="https://www.trentonsystems.com/blog/self-encrypting-drive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6</Pages>
  <Words>1132</Words>
  <Characters>6403</Characters>
  <CharactersWithSpaces>8383</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2024-03-26T16:29:14Z</dcterms:modified>
  <cp:revision>1</cp:revision>
  <dc:subject/>
  <dc:title/>
</cp:coreProperties>
</file>