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color w:val="335b8a"/>
          <w:sz w:val="32"/>
          <w:szCs w:val="32"/>
        </w:rPr>
      </w:pPr>
      <w:r w:rsidDel="00000000" w:rsidR="00000000" w:rsidRPr="00000000">
        <w:rPr>
          <w:rFonts w:ascii="Times New Roman" w:cs="Times New Roman" w:eastAsia="Times New Roman" w:hAnsi="Times New Roman"/>
          <w:b w:val="1"/>
          <w:color w:val="335b8a"/>
          <w:sz w:val="32"/>
          <w:szCs w:val="32"/>
          <w:rtl w:val="0"/>
        </w:rPr>
        <w:t xml:space="preserve">{Org_Logo}</w:t>
      </w:r>
    </w:p>
    <w:p w:rsidR="00000000" w:rsidDel="00000000" w:rsidP="00000000" w:rsidRDefault="00000000" w:rsidRPr="00000000" w14:paraId="00000002">
      <w:pPr>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Vendor Management Policy</w:t>
      </w:r>
    </w:p>
    <w:p w:rsidR="00000000" w:rsidDel="00000000" w:rsidP="00000000" w:rsidRDefault="00000000" w:rsidRPr="00000000" w14:paraId="00000003">
      <w:pPr>
        <w:jc w:val="center"/>
        <w:rPr>
          <w:rFonts w:ascii="Times New Roman" w:cs="Times New Roman" w:eastAsia="Times New Roman" w:hAnsi="Times New Roman"/>
          <w:b w:val="1"/>
          <w:color w:val="335b8a"/>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{Org_Name}</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{Date_Code}</w:t>
      </w:r>
    </w:p>
    <w:p w:rsidR="00000000" w:rsidDel="00000000" w:rsidP="00000000" w:rsidRDefault="00000000" w:rsidRPr="00000000" w14:paraId="000000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bl>
      <w:tblPr>
        <w:tblStyle w:val="Table1"/>
        <w:tblW w:w="9329.0" w:type="dxa"/>
        <w:jc w:val="left"/>
        <w:tblLayout w:type="fixed"/>
        <w:tblLook w:val="0600"/>
      </w:tblPr>
      <w:tblGrid>
        <w:gridCol w:w="2219"/>
        <w:gridCol w:w="7110"/>
        <w:tblGridChange w:id="0">
          <w:tblGrid>
            <w:gridCol w:w="2219"/>
            <w:gridCol w:w="7110"/>
          </w:tblGrid>
        </w:tblGridChange>
      </w:tblGrid>
      <w:tr>
        <w:trPr>
          <w:cantSplit w:val="0"/>
          <w:trHeight w:val="465"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08">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ISMS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09">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POL-18</w:t>
            </w:r>
          </w:p>
        </w:tc>
      </w:tr>
      <w:tr>
        <w:trPr>
          <w:cantSplit w:val="0"/>
          <w:trHeight w:val="49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A">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tcBorders>
              <w:bottom w:color="878787" w:space="0" w:sz="12" w:val="single"/>
              <w:right w:color="878787" w:space="0" w:sz="12" w:val="single"/>
            </w:tcBorders>
          </w:tcPr>
          <w:p w:rsidR="00000000" w:rsidDel="00000000" w:rsidP="00000000" w:rsidRDefault="00000000" w:rsidRPr="00000000" w14:paraId="0000000B">
            <w:pPr>
              <w:widowControl w:val="0"/>
              <w:spacing w:after="0" w:before="10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Vendor Management Policy</w:t>
            </w:r>
          </w:p>
        </w:tc>
      </w:tr>
      <w:tr>
        <w:trPr>
          <w:cantSplit w:val="0"/>
          <w:trHeight w:val="4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C">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w:t>
            </w:r>
          </w:p>
        </w:tc>
        <w:tc>
          <w:tcPr>
            <w:tcBorders>
              <w:bottom w:color="878787" w:space="0" w:sz="12" w:val="single"/>
              <w:right w:color="878787" w:space="0" w:sz="12" w:val="single"/>
            </w:tcBorders>
          </w:tcPr>
          <w:p w:rsidR="00000000" w:rsidDel="00000000" w:rsidP="00000000" w:rsidRDefault="00000000" w:rsidRPr="00000000" w14:paraId="0000000D">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E">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Effective Date</w:t>
            </w:r>
          </w:p>
        </w:tc>
        <w:tc>
          <w:tcPr>
            <w:tcBorders>
              <w:bottom w:color="878787" w:space="0" w:sz="12" w:val="single"/>
              <w:right w:color="878787" w:space="0" w:sz="12" w:val="single"/>
            </w:tcBorders>
          </w:tcPr>
          <w:p w:rsidR="00000000" w:rsidDel="00000000" w:rsidP="00000000" w:rsidRDefault="00000000" w:rsidRPr="00000000" w14:paraId="0000000F">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10">
      <w:pPr>
        <w:spacing w:after="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1">
      <w:pPr>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30.0" w:type="dxa"/>
        <w:jc w:val="left"/>
        <w:tblLayout w:type="fixed"/>
        <w:tblLook w:val="0600"/>
      </w:tblPr>
      <w:tblGrid>
        <w:gridCol w:w="1305"/>
        <w:gridCol w:w="1755"/>
        <w:gridCol w:w="1859"/>
        <w:gridCol w:w="1636"/>
        <w:gridCol w:w="2775"/>
        <w:tblGridChange w:id="0">
          <w:tblGrid>
            <w:gridCol w:w="1305"/>
            <w:gridCol w:w="1755"/>
            <w:gridCol w:w="1859"/>
            <w:gridCol w:w="1636"/>
            <w:gridCol w:w="2775"/>
          </w:tblGrid>
        </w:tblGridChange>
      </w:tblGrid>
      <w:tr>
        <w:trPr>
          <w:cantSplit w:val="0"/>
          <w:trHeight w:val="795"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12">
            <w:pPr>
              <w:widowControl w:val="0"/>
              <w:spacing w:after="0" w:before="120" w:line="242" w:lineRule="auto"/>
              <w:ind w:left="720" w:hanging="2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3">
            <w:pPr>
              <w:widowControl w:val="0"/>
              <w:spacing w:after="0" w:before="120" w:line="240" w:lineRule="auto"/>
              <w:ind w:left="3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Date</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4">
            <w:pPr>
              <w:widowControl w:val="0"/>
              <w:spacing w:after="0" w:before="120" w:line="240" w:lineRule="auto"/>
              <w:ind w:left="42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Reviewed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5">
            <w:pPr>
              <w:widowControl w:val="0"/>
              <w:spacing w:after="0" w:before="12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Approved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6">
            <w:pPr>
              <w:widowControl w:val="0"/>
              <w:spacing w:after="0" w:before="120" w:line="240" w:lineRule="auto"/>
              <w:ind w:left="6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Description</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7">
            <w:pPr>
              <w:widowControl w:val="0"/>
              <w:spacing w:after="0" w:before="100" w:line="240" w:lineRule="auto"/>
              <w:ind w:left="140" w:right="3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878787" w:space="0" w:sz="12" w:val="single"/>
              <w:right w:color="878787" w:space="0" w:sz="12" w:val="single"/>
            </w:tcBorders>
          </w:tcPr>
          <w:p w:rsidR="00000000" w:rsidDel="00000000" w:rsidP="00000000" w:rsidRDefault="00000000" w:rsidRPr="00000000" w14:paraId="00000018">
            <w:pPr>
              <w:widowControl w:val="0"/>
              <w:spacing w:after="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9">
            <w:pPr>
              <w:widowControl w:val="0"/>
              <w:spacing w:after="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A">
            <w:pPr>
              <w:widowControl w:val="0"/>
              <w:spacing w:after="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B">
            <w:pPr>
              <w:widowControl w:val="0"/>
              <w:spacing w:after="0" w:before="100" w:line="242"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1C">
      <w:pPr>
        <w:pStyle w:val="Heading1"/>
        <w:keepNext w:val="0"/>
        <w:keepLines w:val="0"/>
        <w:spacing w:after="120" w:before="480" w:line="240" w:lineRule="auto"/>
        <w:rPr>
          <w:rFonts w:ascii="Times New Roman" w:cs="Times New Roman" w:eastAsia="Times New Roman" w:hAnsi="Times New Roman"/>
          <w:b w:val="1"/>
          <w:sz w:val="46"/>
          <w:szCs w:val="46"/>
        </w:rPr>
      </w:pPr>
      <w:bookmarkStart w:colFirst="0" w:colLast="0" w:name="_heading=h.gjdgxs" w:id="0"/>
      <w:bookmarkEnd w:id="0"/>
      <w:r w:rsidDel="00000000" w:rsidR="00000000" w:rsidRPr="00000000">
        <w:rPr>
          <w:rFonts w:ascii="Times New Roman" w:cs="Times New Roman" w:eastAsia="Times New Roman" w:hAnsi="Times New Roman"/>
          <w:b w:val="1"/>
          <w:sz w:val="46"/>
          <w:szCs w:val="46"/>
          <w:rtl w:val="0"/>
        </w:rPr>
        <w:t xml:space="preserv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2E">
      <w:pPr>
        <w:spacing w:after="0" w:before="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spacing w:after="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w:t>
        <w:tab/>
        <w:tab/>
        <w:tab/>
        <w:t xml:space="preserve">4</w:t>
      </w:r>
    </w:p>
    <w:p w:rsidR="00000000" w:rsidDel="00000000" w:rsidP="00000000" w:rsidRDefault="00000000" w:rsidRPr="00000000" w14:paraId="00000030">
      <w:pPr>
        <w:spacing w:after="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Documents                                                                                  </w:t>
        <w:tab/>
        <w:tab/>
        <w:tab/>
        <w:t xml:space="preserve">    </w:t>
        <w:tab/>
        <w:t xml:space="preserve">4</w:t>
      </w:r>
    </w:p>
    <w:p w:rsidR="00000000" w:rsidDel="00000000" w:rsidP="00000000" w:rsidRDefault="00000000" w:rsidRPr="00000000" w14:paraId="00000031">
      <w:pPr>
        <w:spacing w:after="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                                                                                                           </w:t>
        <w:tab/>
        <w:tab/>
        <w:tab/>
        <w:t xml:space="preserve">         </w:t>
        <w:tab/>
        <w:t xml:space="preserve">4</w:t>
      </w:r>
    </w:p>
    <w:p w:rsidR="00000000" w:rsidDel="00000000" w:rsidP="00000000" w:rsidRDefault="00000000" w:rsidRPr="00000000" w14:paraId="00000032">
      <w:pPr>
        <w:spacing w:after="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18.1 Agreements and Contracts                                                            </w:t>
        <w:tab/>
        <w:tab/>
        <w:tab/>
        <w:tab/>
        <w:t xml:space="preserve">4</w:t>
      </w:r>
    </w:p>
    <w:p w:rsidR="00000000" w:rsidDel="00000000" w:rsidP="00000000" w:rsidRDefault="00000000" w:rsidRPr="00000000" w14:paraId="00000033">
      <w:pPr>
        <w:spacing w:after="0" w:before="6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18.2 Risk Assessments                                                                                    </w:t>
        <w:tab/>
        <w:tab/>
        <w:t xml:space="preserve">         </w:t>
        <w:tab/>
        <w:t xml:space="preserve">5</w:t>
      </w:r>
    </w:p>
    <w:p w:rsidR="00000000" w:rsidDel="00000000" w:rsidP="00000000" w:rsidRDefault="00000000" w:rsidRPr="00000000" w14:paraId="00000034">
      <w:pPr>
        <w:spacing w:after="0" w:before="6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18.3 Data Transfer                                                                                          </w:t>
        <w:tab/>
        <w:tab/>
        <w:t xml:space="preserve">           </w:t>
        <w:tab/>
        <w:t xml:space="preserve">5</w:t>
      </w:r>
    </w:p>
    <w:p w:rsidR="00000000" w:rsidDel="00000000" w:rsidP="00000000" w:rsidRDefault="00000000" w:rsidRPr="00000000" w14:paraId="00000035">
      <w:pPr>
        <w:spacing w:after="0" w:before="6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18.4 Monitoring and Review                                                              </w:t>
        <w:tab/>
        <w:t xml:space="preserve">   </w:t>
        <w:tab/>
        <w:t xml:space="preserve">                </w:t>
        <w:tab/>
        <w:t xml:space="preserve">5</w:t>
      </w:r>
    </w:p>
    <w:p w:rsidR="00000000" w:rsidDel="00000000" w:rsidP="00000000" w:rsidRDefault="00000000" w:rsidRPr="00000000" w14:paraId="00000036">
      <w:pPr>
        <w:spacing w:after="0" w:before="6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18.5 Managing changes to supplier services                                          </w:t>
        <w:tab/>
        <w:t xml:space="preserve">  </w:t>
        <w:tab/>
        <w:t xml:space="preserve">   </w:t>
        <w:tab/>
        <w:t xml:space="preserve">   </w:t>
        <w:tab/>
        <w:t xml:space="preserve">5</w:t>
      </w:r>
    </w:p>
    <w:p w:rsidR="00000000" w:rsidDel="00000000" w:rsidP="00000000" w:rsidRDefault="00000000" w:rsidRPr="00000000" w14:paraId="00000037">
      <w:pPr>
        <w:spacing w:after="0" w:before="6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18.6 Termination of Contract and Agreement</w:t>
        <w:tab/>
        <w:tab/>
        <w:tab/>
        <w:tab/>
        <w:tab/>
        <w:tab/>
        <w:tab/>
        <w:t xml:space="preserve">6</w:t>
      </w:r>
      <w:r w:rsidDel="00000000" w:rsidR="00000000" w:rsidRPr="00000000">
        <w:rPr>
          <w:rtl w:val="0"/>
        </w:rPr>
      </w:r>
    </w:p>
    <w:p w:rsidR="00000000" w:rsidDel="00000000" w:rsidP="00000000" w:rsidRDefault="00000000" w:rsidRPr="00000000" w14:paraId="00000038">
      <w:pPr>
        <w:spacing w:after="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18.7 Exception                                                                                        </w:t>
        <w:tab/>
        <w:tab/>
        <w:tab/>
        <w:t xml:space="preserve">  </w:t>
        <w:tab/>
        <w:t xml:space="preserve">6</w:t>
      </w:r>
    </w:p>
    <w:p w:rsidR="00000000" w:rsidDel="00000000" w:rsidP="00000000" w:rsidRDefault="00000000" w:rsidRPr="00000000" w14:paraId="00000039">
      <w:pPr>
        <w:spacing w:after="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18.8 Non-Compliance                                                                              </w:t>
        <w:tab/>
        <w:tab/>
        <w:tab/>
        <w:tab/>
        <w:t xml:space="preserve">6</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Purpose </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 ensure that due care is taken to avoid inappropriate risks to organization, its business partners, and its stakeholders from any of its vendors and partners. This policy defines the rules for relationships with the organization’s vendors and partners. This policy applies to all vendors and partners who can impact the confidentiality, integrity, and availability of the organization’s technology and sensitive information, or who are within the scope of the organization’s information security program. This policy applies to all employees and contractors that are responsible for the management and oversight of vendors and partners of the organization.</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Related Documents</w:t>
      </w:r>
    </w:p>
    <w:p w:rsidR="00000000" w:rsidDel="00000000" w:rsidP="00000000" w:rsidRDefault="00000000" w:rsidRPr="00000000" w14:paraId="0000005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sz w:val="24"/>
          <w:szCs w:val="24"/>
          <w:rtl w:val="0"/>
        </w:rPr>
        <w:t xml:space="preserve">Information Security Policy</w:t>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Incident Response Policy</w:t>
      </w:r>
    </w:p>
    <w:p w:rsidR="00000000" w:rsidDel="00000000" w:rsidP="00000000" w:rsidRDefault="00000000" w:rsidRPr="00000000" w14:paraId="0000006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Data Classification Policy</w:t>
      </w:r>
    </w:p>
    <w:p w:rsidR="00000000" w:rsidDel="00000000" w:rsidP="00000000" w:rsidRDefault="00000000" w:rsidRPr="00000000" w14:paraId="0000006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Scope</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vendor engagements including, but not limited to any software purchase that is accompanied by a contract or agreement. Any vendor provides a service which stores, processes or transmits organization corporate or customer information are part of the scope.</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18.1 Agreements and Contracts </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ensures the vendors have proper security controls required to protect sensitive data based on organization data classification policy. Organization should include the following as part of security portion of contract or agreement: </w:t>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Must clearly state vendors must comply with the security policies defined and derived from the</w:t>
      </w:r>
    </w:p>
    <w:p w:rsidR="00000000" w:rsidDel="00000000" w:rsidP="00000000" w:rsidRDefault="00000000" w:rsidRPr="00000000" w14:paraId="0000006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Information Security  policies.</w:t>
      </w:r>
    </w:p>
    <w:p w:rsidR="00000000" w:rsidDel="00000000" w:rsidP="00000000" w:rsidRDefault="00000000" w:rsidRPr="00000000" w14:paraId="0000006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Must contain a documented System Security Plan which describes all existing and planned</w:t>
      </w:r>
    </w:p>
    <w:p w:rsidR="00000000" w:rsidDel="00000000" w:rsidP="00000000" w:rsidRDefault="00000000" w:rsidRPr="00000000" w14:paraId="0000006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controls</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Contracts that include exchange of sensitive data must adhere to organization confidentiality </w:t>
      </w:r>
    </w:p>
    <w:p w:rsidR="00000000" w:rsidDel="00000000" w:rsidP="00000000" w:rsidRDefault="00000000" w:rsidRPr="00000000" w14:paraId="0000006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agreements to be executed by the vendor, must identify applicable organization policies and </w:t>
      </w:r>
    </w:p>
    <w:p w:rsidR="00000000" w:rsidDel="00000000" w:rsidP="00000000" w:rsidRDefault="00000000" w:rsidRPr="00000000" w14:paraId="0000006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procedures to which the vendor is subjected, and must identify security incident reporting </w:t>
      </w:r>
    </w:p>
    <w:p w:rsidR="00000000" w:rsidDel="00000000" w:rsidP="00000000" w:rsidRDefault="00000000" w:rsidRPr="00000000" w14:paraId="0000006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w:t>
      </w:r>
    </w:p>
    <w:p w:rsidR="00000000" w:rsidDel="00000000" w:rsidP="00000000" w:rsidRDefault="00000000" w:rsidRPr="00000000" w14:paraId="0000006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Security incidents by vendors or partners must be documented following the organization’s </w:t>
      </w:r>
    </w:p>
    <w:p w:rsidR="00000000" w:rsidDel="00000000" w:rsidP="00000000" w:rsidRDefault="00000000" w:rsidRPr="00000000" w14:paraId="00000070">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Response Policy and immediately notified.</w:t>
      </w:r>
    </w:p>
    <w:p w:rsidR="00000000" w:rsidDel="00000000" w:rsidP="00000000" w:rsidRDefault="00000000" w:rsidRPr="00000000" w14:paraId="0000007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Vendor obligations to notify organization in the event of an actual or suspected exposure of </w:t>
      </w:r>
    </w:p>
    <w:p w:rsidR="00000000" w:rsidDel="00000000" w:rsidP="00000000" w:rsidRDefault="00000000" w:rsidRPr="00000000" w14:paraId="00000072">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data.</w:t>
      </w:r>
    </w:p>
    <w:p w:rsidR="00000000" w:rsidDel="00000000" w:rsidP="00000000" w:rsidRDefault="00000000" w:rsidRPr="00000000" w14:paraId="0000007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Right for organizations to audit vendors.</w:t>
      </w:r>
    </w:p>
    <w:p w:rsidR="00000000" w:rsidDel="00000000" w:rsidP="00000000" w:rsidRDefault="00000000" w:rsidRPr="00000000" w14:paraId="0000007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Privacy Requirements</w:t>
      </w:r>
    </w:p>
    <w:p w:rsidR="00000000" w:rsidDel="00000000" w:rsidP="00000000" w:rsidRDefault="00000000" w:rsidRPr="00000000" w14:paraId="0000007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Organization has Service Level Agreements (SLAs) with vendors  with an agreed service</w:t>
      </w:r>
    </w:p>
    <w:p w:rsidR="00000000" w:rsidDel="00000000" w:rsidP="00000000" w:rsidRDefault="00000000" w:rsidRPr="00000000" w14:paraId="0000007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arrangement addressing liability, service definitions, security controls, and aspects of services</w:t>
      </w:r>
    </w:p>
    <w:p w:rsidR="00000000" w:rsidDel="00000000" w:rsidP="00000000" w:rsidRDefault="00000000" w:rsidRPr="00000000" w14:paraId="0000007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7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Contracts must include formal sanctions or penalties for failure to meet the security requirements</w:t>
      </w:r>
    </w:p>
    <w:p w:rsidR="00000000" w:rsidDel="00000000" w:rsidP="00000000" w:rsidRDefault="00000000" w:rsidRPr="00000000" w14:paraId="0000007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contract or agreement document.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18.2 Risk Assessments</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new vendor which will have access to organization’s data, or will store, process, or transmit organization information, should undergo a security risk assessment process prior to contract signing.  The security risk assessment process will be managed by the organization's CISO or their designee.  At a minimum, the assessment should include any one or two items mentioned below:</w:t>
      </w:r>
    </w:p>
    <w:p w:rsidR="00000000" w:rsidDel="00000000" w:rsidP="00000000" w:rsidRDefault="00000000" w:rsidRPr="00000000" w14:paraId="0000007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Risk Analysis based on the context and service provided to organization and compensating</w:t>
      </w:r>
    </w:p>
    <w:p w:rsidR="00000000" w:rsidDel="00000000" w:rsidP="00000000" w:rsidRDefault="00000000" w:rsidRPr="00000000" w14:paraId="0000007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to mitigate the identified risks</w:t>
      </w:r>
    </w:p>
    <w:p w:rsidR="00000000" w:rsidDel="00000000" w:rsidP="00000000" w:rsidRDefault="00000000" w:rsidRPr="00000000" w14:paraId="0000007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Third party assessments or certifications (i.e. SOC 2, ISO 27001, or similar)</w:t>
      </w:r>
    </w:p>
    <w:p w:rsidR="00000000" w:rsidDel="00000000" w:rsidP="00000000" w:rsidRDefault="00000000" w:rsidRPr="00000000" w14:paraId="0000008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Security Questionnaire (CSA CAIQ)</w:t>
      </w:r>
    </w:p>
    <w:p w:rsidR="00000000" w:rsidDel="00000000" w:rsidP="00000000" w:rsidRDefault="00000000" w:rsidRPr="00000000" w14:paraId="0000008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Executive summary identifying main risks and impact to organizations business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18.3 Data Transfer </w:t>
      </w:r>
    </w:p>
    <w:p w:rsidR="00000000" w:rsidDel="00000000" w:rsidP="00000000" w:rsidRDefault="00000000" w:rsidRPr="00000000" w14:paraId="0000008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connections and data in transit between the organization Platform and vendor are encrypted end to</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08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18.4 Monitoring and Review</w:t>
      </w: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utilizes monitoring tools to regularly evaluate vendors  against relevant SLAs. Regular review is conducted as required by SLAs to assure security, compliance and adequate effectiveness. These reviews include: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Reports</w:t>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Audit trails</w:t>
      </w:r>
    </w:p>
    <w:p w:rsidR="00000000" w:rsidDel="00000000" w:rsidP="00000000" w:rsidRDefault="00000000" w:rsidRPr="00000000" w14:paraId="000000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Security events</w:t>
      </w:r>
    </w:p>
    <w:p w:rsidR="00000000" w:rsidDel="00000000" w:rsidP="00000000" w:rsidRDefault="00000000" w:rsidRPr="00000000" w14:paraId="0000008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Confidentiality requirements</w:t>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Integrity requirements</w:t>
      </w:r>
    </w:p>
    <w:p w:rsidR="00000000" w:rsidDel="00000000" w:rsidP="00000000" w:rsidRDefault="00000000" w:rsidRPr="00000000" w14:paraId="0000008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Availability requirements</w:t>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Operational issues that could impact the organization and identified issues are investigated and </w:t>
      </w:r>
    </w:p>
    <w:p w:rsidR="00000000" w:rsidDel="00000000" w:rsidP="00000000" w:rsidRDefault="00000000" w:rsidRPr="00000000" w14:paraId="0000009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in a reasonable and timely manner.</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18.5 Managing changes to supplier services</w:t>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changes to vendor  services and systems are reviewed before implementation. Changes to the provision of services by vendors should be managed taking into account the criticality of business information, systems and processes involved.</w:t>
      </w:r>
    </w:p>
    <w:p w:rsidR="00000000" w:rsidDel="00000000" w:rsidP="00000000" w:rsidRDefault="00000000" w:rsidRPr="00000000" w14:paraId="0000009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aspects should be taken into consideration: </w:t>
      </w:r>
    </w:p>
    <w:p w:rsidR="00000000" w:rsidDel="00000000" w:rsidP="00000000" w:rsidRDefault="00000000" w:rsidRPr="00000000" w14:paraId="0000009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Changes to supplier agreements</w:t>
      </w:r>
    </w:p>
    <w:p w:rsidR="00000000" w:rsidDel="00000000" w:rsidP="00000000" w:rsidRDefault="00000000" w:rsidRPr="00000000" w14:paraId="0000009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Changes made by organization affecting the vendor</w:t>
      </w:r>
    </w:p>
    <w:p w:rsidR="00000000" w:rsidDel="00000000" w:rsidP="00000000" w:rsidRDefault="00000000" w:rsidRPr="00000000" w14:paraId="0000009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Changes in vendor/supplier service affecting organization implementation</w:t>
      </w:r>
    </w:p>
    <w:p w:rsidR="00000000" w:rsidDel="00000000" w:rsidP="00000000" w:rsidRDefault="00000000" w:rsidRPr="00000000" w14:paraId="0000009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Change of suppliers.</w:t>
      </w:r>
    </w:p>
    <w:p w:rsidR="00000000" w:rsidDel="00000000" w:rsidP="00000000" w:rsidRDefault="00000000" w:rsidRPr="00000000" w14:paraId="0000009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Subcontracting to another supplier.</w:t>
      </w:r>
    </w:p>
    <w:p w:rsidR="00000000" w:rsidDel="00000000" w:rsidP="00000000" w:rsidRDefault="00000000" w:rsidRPr="00000000" w14:paraId="0000009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Scope Extension</w:t>
      </w:r>
    </w:p>
    <w:p w:rsidR="00000000" w:rsidDel="00000000" w:rsidP="00000000" w:rsidRDefault="00000000" w:rsidRPr="00000000" w14:paraId="0000009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18.6 Termination of Contract and Agreement</w:t>
      </w:r>
    </w:p>
    <w:p w:rsidR="00000000" w:rsidDel="00000000" w:rsidP="00000000" w:rsidRDefault="00000000" w:rsidRPr="00000000" w14:paraId="0000009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vendors must be reminded of confidentiality and non-disclosure requirements even after termination of contract or agreement. Upon termination of contract or at the request of organization, the vendor must surrender all organization badges, access cards, equipment and supplies immediately. Equipment and/or supplies to be retained by the vendor must be documented by authorized organization IT management.  </w:t>
      </w:r>
    </w:p>
    <w:p w:rsidR="00000000" w:rsidDel="00000000" w:rsidP="00000000" w:rsidRDefault="00000000" w:rsidRPr="00000000" w14:paraId="0000009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vendor should ensure that all sensitive information is collected and returned to the organization or destroyed within 24 hours.</w:t>
      </w:r>
    </w:p>
    <w:p w:rsidR="00000000" w:rsidDel="00000000" w:rsidP="00000000" w:rsidRDefault="00000000" w:rsidRPr="00000000" w14:paraId="000000A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18.7 Exception</w:t>
      </w:r>
    </w:p>
    <w:p w:rsidR="00000000" w:rsidDel="00000000" w:rsidP="00000000" w:rsidRDefault="00000000" w:rsidRPr="00000000" w14:paraId="000000A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publishing, this policy will become operative. All enterprise policies and standards must be followed. Policies and standards are subject to change at any time, and compliance with updated versions is anticipated.</w:t>
      </w:r>
    </w:p>
    <w:p w:rsidR="00000000" w:rsidDel="00000000" w:rsidP="00000000" w:rsidRDefault="00000000" w:rsidRPr="00000000" w14:paraId="000000A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must go through the Chief Information Security Officer's exemption process to request a variance from this policy if compliance with this standard is not practical or technically achievable or if it is required to serve a business function.</w:t>
      </w:r>
    </w:p>
    <w:p w:rsidR="00000000" w:rsidDel="00000000" w:rsidP="00000000" w:rsidRDefault="00000000" w:rsidRPr="00000000" w14:paraId="000000A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18.8 Non-Compliance</w:t>
      </w:r>
    </w:p>
    <w:p w:rsidR="00000000" w:rsidDel="00000000" w:rsidP="00000000" w:rsidRDefault="00000000" w:rsidRPr="00000000" w14:paraId="000000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or user found to have violated this policy may be subject to disciplinary action, up to and including termination of employment.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080" w:top="108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0ue2dq6Yu0OLmTuhGmAOYOQ7WA==">CgMxLjAyCGguZ2pkZ3hzOAByITFuckFsQzBRU2ZCSG80blVMVlpHVXlkamJxMzZlcE5mdA==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