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6A641" w14:textId="77777777" w:rsidR="008C2F14" w:rsidRDefault="00000000">
      <w:pPr>
        <w:pStyle w:val="Heading1"/>
      </w:pPr>
      <w:bookmarkStart w:id="0" w:name="X0c428eac7a47a84e79346e4261305794145e472"/>
      <w:r>
        <w:t>🧬 Genesys Quantis Biologics Discovery Platform</w:t>
      </w:r>
    </w:p>
    <w:p w14:paraId="3174EAD9" w14:textId="77777777" w:rsidR="008C2F14" w:rsidRDefault="00000000">
      <w:pPr>
        <w:pStyle w:val="Heading2"/>
      </w:pPr>
      <w:bookmarkStart w:id="1" w:name="Xae9405dab31cf39663b9c4a5cafd53d35ed73e0"/>
      <w:r>
        <w:t>Technical Validation &amp; Partnership Brief — Novartis Pipeline Acceleration</w:t>
      </w:r>
    </w:p>
    <w:p w14:paraId="6D625B80" w14:textId="77777777" w:rsidR="008C2F14" w:rsidRDefault="00000000">
      <w:pPr>
        <w:pStyle w:val="Heading3"/>
      </w:pPr>
      <w:bookmarkStart w:id="2" w:name="Xe21e9dfb0797b5006eebc31494df01b8ea329f9"/>
      <w:r>
        <w:t>Prepared for: Novartis AG | Zerokost Healthcare Pvt Ltd | March 2026</w:t>
      </w:r>
    </w:p>
    <w:p w14:paraId="715D2114" w14:textId="77777777" w:rsidR="008C2F14" w:rsidRDefault="00000000">
      <w:r>
        <w:pict w14:anchorId="03E62E50">
          <v:rect id="_x0000_i1025" style="width:0;height:1.5pt" o:hralign="center" o:hrstd="t" o:hr="t"/>
        </w:pict>
      </w:r>
    </w:p>
    <w:p w14:paraId="1CCAE58B" w14:textId="77777777" w:rsidR="008C2F14" w:rsidRDefault="00000000">
      <w:pPr>
        <w:pStyle w:val="BlockText"/>
      </w:pPr>
      <w:r>
        <w:rPr>
          <w:b/>
          <w:bCs/>
        </w:rPr>
        <w:t>Confidential | Not for Distribution</w:t>
      </w:r>
      <w:r>
        <w:br/>
        <w:t>Prepared by: Ashwin Kumar T S, M.Pharm (Gold Medalist), Founder — Zerokost Healthcare Pvt Ltd</w:t>
      </w:r>
    </w:p>
    <w:p w14:paraId="2ED4C0EA" w14:textId="77777777" w:rsidR="008C2F14" w:rsidRDefault="00000000">
      <w:r>
        <w:pict w14:anchorId="308B7214">
          <v:rect id="_x0000_i1026" style="width:0;height:1.5pt" o:hralign="center" o:hrstd="t" o:hr="t"/>
        </w:pict>
      </w:r>
    </w:p>
    <w:p w14:paraId="32F9AC6C" w14:textId="77777777" w:rsidR="008C2F14" w:rsidRDefault="00000000">
      <w:pPr>
        <w:pStyle w:val="Heading2"/>
      </w:pPr>
      <w:bookmarkStart w:id="3" w:name="executive-summary"/>
      <w:bookmarkEnd w:id="1"/>
      <w:bookmarkEnd w:id="2"/>
      <w:r>
        <w:t>1. Executive Summary</w:t>
      </w:r>
    </w:p>
    <w:p w14:paraId="2F5875CA" w14:textId="77777777" w:rsidR="008C2F14" w:rsidRDefault="00000000">
      <w:pPr>
        <w:pStyle w:val="FirstParagraph"/>
      </w:pPr>
      <w:r>
        <w:t xml:space="preserve">Zerokost Healthcare Pvt Ltd’s </w:t>
      </w:r>
      <w:r>
        <w:rPr>
          <w:b/>
          <w:bCs/>
        </w:rPr>
        <w:t>Genesys Quantis Biologics Discovery Platform</w:t>
      </w:r>
      <w:r>
        <w:t xml:space="preserve"> is an end-to-end, AI-powered computational drug discovery engine built to accelerate </w:t>
      </w:r>
      <w:r>
        <w:rPr>
          <w:b/>
          <w:bCs/>
        </w:rPr>
        <w:t>small-molecule</w:t>
      </w:r>
      <w:r>
        <w:t xml:space="preserve"> and </w:t>
      </w:r>
      <w:r>
        <w:rPr>
          <w:b/>
          <w:bCs/>
        </w:rPr>
        <w:t>target-based</w:t>
      </w:r>
      <w:r>
        <w:t xml:space="preserve"> drug discovery. This document presents a focused analysis of Novartis’s current Phase 3 pipeline (FY2026), identifying where the platform can directly add computational acceleration value — and being transparent about where modality boundaries apply.</w:t>
      </w:r>
    </w:p>
    <w:p w14:paraId="6FAB95F4" w14:textId="77777777" w:rsidR="008C2F14" w:rsidRDefault="00000000">
      <w:pPr>
        <w:pStyle w:val="BodyText"/>
      </w:pPr>
      <w:r>
        <w:t xml:space="preserve">Of the </w:t>
      </w:r>
      <w:r>
        <w:rPr>
          <w:b/>
          <w:bCs/>
        </w:rPr>
        <w:t>7 Novartis Phase 3 assets</w:t>
      </w:r>
      <w:r>
        <w:t xml:space="preserve"> reviewed: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93"/>
        <w:gridCol w:w="4688"/>
        <w:gridCol w:w="2495"/>
      </w:tblGrid>
      <w:tr w:rsidR="008C2F14" w14:paraId="36BC3492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4A4AE19" w14:textId="77777777" w:rsidR="008C2F14" w:rsidRDefault="00000000">
            <w:pPr>
              <w:pStyle w:val="Compact"/>
            </w:pPr>
            <w:r>
              <w:t>Asset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B7C3AE" w14:textId="77777777" w:rsidR="008C2F14" w:rsidRDefault="00000000">
            <w:pPr>
              <w:pStyle w:val="Compact"/>
            </w:pPr>
            <w:r>
              <w:t>Modality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DAD8CF" w14:textId="77777777" w:rsidR="008C2F14" w:rsidRDefault="00000000">
            <w:pPr>
              <w:pStyle w:val="Compact"/>
            </w:pPr>
            <w:r>
              <w:t>Platform Compatible?</w:t>
            </w:r>
          </w:p>
        </w:tc>
      </w:tr>
      <w:tr w:rsidR="008C2F14" w14:paraId="045C4600" w14:textId="77777777" w:rsidTr="002D6D8D">
        <w:tc>
          <w:tcPr>
            <w:tcW w:w="0" w:type="auto"/>
          </w:tcPr>
          <w:p w14:paraId="6D39A7CB" w14:textId="77777777" w:rsidR="008C2F14" w:rsidRDefault="00000000">
            <w:pPr>
              <w:pStyle w:val="Compact"/>
            </w:pPr>
            <w:r>
              <w:t>DAK539 / pelabresib</w:t>
            </w:r>
          </w:p>
        </w:tc>
        <w:tc>
          <w:tcPr>
            <w:tcW w:w="0" w:type="auto"/>
          </w:tcPr>
          <w:p w14:paraId="57E70005" w14:textId="77777777" w:rsidR="008C2F14" w:rsidRDefault="00000000">
            <w:pPr>
              <w:pStyle w:val="Compact"/>
            </w:pPr>
            <w:r>
              <w:t>BET inhibitor (Small Molecule)</w:t>
            </w:r>
          </w:p>
        </w:tc>
        <w:tc>
          <w:tcPr>
            <w:tcW w:w="0" w:type="auto"/>
          </w:tcPr>
          <w:p w14:paraId="53F8A199" w14:textId="77777777" w:rsidR="008C2F14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Fully Applicable</w:t>
            </w:r>
          </w:p>
        </w:tc>
      </w:tr>
      <w:tr w:rsidR="008C2F14" w14:paraId="3DE1499E" w14:textId="77777777" w:rsidTr="002D6D8D">
        <w:tc>
          <w:tcPr>
            <w:tcW w:w="0" w:type="auto"/>
          </w:tcPr>
          <w:p w14:paraId="62F61230" w14:textId="77777777" w:rsidR="008C2F14" w:rsidRDefault="00000000">
            <w:pPr>
              <w:pStyle w:val="Compact"/>
            </w:pPr>
            <w:r>
              <w:t>KLU156 / Ganaplacide</w:t>
            </w:r>
          </w:p>
        </w:tc>
        <w:tc>
          <w:tcPr>
            <w:tcW w:w="0" w:type="auto"/>
          </w:tcPr>
          <w:p w14:paraId="1524B161" w14:textId="77777777" w:rsidR="008C2F14" w:rsidRDefault="00000000">
            <w:pPr>
              <w:pStyle w:val="Compact"/>
            </w:pPr>
            <w:r>
              <w:t>Kinase inhibitor (Small Molecule)</w:t>
            </w:r>
          </w:p>
        </w:tc>
        <w:tc>
          <w:tcPr>
            <w:tcW w:w="0" w:type="auto"/>
          </w:tcPr>
          <w:p w14:paraId="3BB585F8" w14:textId="77777777" w:rsidR="008C2F14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Fully Applicable</w:t>
            </w:r>
          </w:p>
        </w:tc>
      </w:tr>
      <w:tr w:rsidR="008C2F14" w14:paraId="62F7C619" w14:textId="77777777" w:rsidTr="002D6D8D">
        <w:tc>
          <w:tcPr>
            <w:tcW w:w="0" w:type="auto"/>
          </w:tcPr>
          <w:p w14:paraId="06D21A07" w14:textId="77777777" w:rsidR="008C2F14" w:rsidRDefault="00000000">
            <w:pPr>
              <w:pStyle w:val="Compact"/>
            </w:pPr>
            <w:r>
              <w:t>LOU064 / Rilzabrutinib</w:t>
            </w:r>
          </w:p>
        </w:tc>
        <w:tc>
          <w:tcPr>
            <w:tcW w:w="0" w:type="auto"/>
          </w:tcPr>
          <w:p w14:paraId="453D3A09" w14:textId="77777777" w:rsidR="008C2F14" w:rsidRDefault="00000000">
            <w:pPr>
              <w:pStyle w:val="Compact"/>
            </w:pPr>
            <w:r>
              <w:t>BTK inhibitor (Small Molecule)</w:t>
            </w:r>
          </w:p>
        </w:tc>
        <w:tc>
          <w:tcPr>
            <w:tcW w:w="0" w:type="auto"/>
          </w:tcPr>
          <w:p w14:paraId="58E84DA6" w14:textId="77777777" w:rsidR="008C2F14" w:rsidRDefault="00000000">
            <w:pPr>
              <w:pStyle w:val="Compact"/>
            </w:pPr>
            <w:r>
              <w:t xml:space="preserve">✅ </w:t>
            </w:r>
            <w:r>
              <w:rPr>
                <w:b/>
                <w:bCs/>
              </w:rPr>
              <w:t>Fully Applicable</w:t>
            </w:r>
          </w:p>
        </w:tc>
      </w:tr>
      <w:tr w:rsidR="008C2F14" w14:paraId="11B64B44" w14:textId="77777777" w:rsidTr="002D6D8D">
        <w:tc>
          <w:tcPr>
            <w:tcW w:w="0" w:type="auto"/>
          </w:tcPr>
          <w:p w14:paraId="5677A365" w14:textId="77777777" w:rsidR="008C2F14" w:rsidRDefault="00000000">
            <w:pPr>
              <w:pStyle w:val="Compact"/>
            </w:pPr>
            <w:r>
              <w:t>VAY736 / ianalumab</w:t>
            </w:r>
          </w:p>
        </w:tc>
        <w:tc>
          <w:tcPr>
            <w:tcW w:w="0" w:type="auto"/>
          </w:tcPr>
          <w:p w14:paraId="46C42C43" w14:textId="77777777" w:rsidR="008C2F14" w:rsidRDefault="00000000">
            <w:pPr>
              <w:pStyle w:val="Compact"/>
            </w:pPr>
            <w:r>
              <w:t>BAFF-R target (Biologic → next-gen SM opportunity)</w:t>
            </w:r>
          </w:p>
        </w:tc>
        <w:tc>
          <w:tcPr>
            <w:tcW w:w="0" w:type="auto"/>
          </w:tcPr>
          <w:p w14:paraId="6EE2E69F" w14:textId="77777777" w:rsidR="008C2F14" w:rsidRDefault="00000000">
            <w:pPr>
              <w:pStyle w:val="Compact"/>
            </w:pPr>
            <w:r>
              <w:t xml:space="preserve">⚠️ </w:t>
            </w:r>
            <w:r>
              <w:rPr>
                <w:b/>
                <w:bCs/>
              </w:rPr>
              <w:t>Partially Applicable</w:t>
            </w:r>
          </w:p>
        </w:tc>
      </w:tr>
      <w:tr w:rsidR="008C2F14" w14:paraId="01A5C18C" w14:textId="77777777" w:rsidTr="002D6D8D">
        <w:tc>
          <w:tcPr>
            <w:tcW w:w="0" w:type="auto"/>
          </w:tcPr>
          <w:p w14:paraId="19721997" w14:textId="77777777" w:rsidR="008C2F14" w:rsidRDefault="00000000">
            <w:pPr>
              <w:pStyle w:val="Compact"/>
            </w:pPr>
            <w:r>
              <w:t>AIN457 / Cosentyx®</w:t>
            </w:r>
          </w:p>
        </w:tc>
        <w:tc>
          <w:tcPr>
            <w:tcW w:w="0" w:type="auto"/>
          </w:tcPr>
          <w:p w14:paraId="494C7DF0" w14:textId="77777777" w:rsidR="008C2F14" w:rsidRDefault="00000000">
            <w:pPr>
              <w:pStyle w:val="Compact"/>
            </w:pPr>
            <w:r>
              <w:t>Anti-IL-17A monoclonal antibody</w:t>
            </w:r>
          </w:p>
        </w:tc>
        <w:tc>
          <w:tcPr>
            <w:tcW w:w="0" w:type="auto"/>
          </w:tcPr>
          <w:p w14:paraId="16882FFD" w14:textId="77777777" w:rsidR="008C2F14" w:rsidRDefault="00000000">
            <w:pPr>
              <w:pStyle w:val="Compact"/>
            </w:pPr>
            <w:r>
              <w:t>❌ Outside SM scope</w:t>
            </w:r>
          </w:p>
        </w:tc>
      </w:tr>
      <w:tr w:rsidR="008C2F14" w14:paraId="1809983D" w14:textId="77777777" w:rsidTr="002D6D8D">
        <w:tc>
          <w:tcPr>
            <w:tcW w:w="0" w:type="auto"/>
          </w:tcPr>
          <w:p w14:paraId="4EFEDA05" w14:textId="77777777" w:rsidR="008C2F14" w:rsidRDefault="00000000">
            <w:pPr>
              <w:pStyle w:val="Compact"/>
            </w:pPr>
            <w:r>
              <w:t>OMB157 / Kesimpta®</w:t>
            </w:r>
          </w:p>
        </w:tc>
        <w:tc>
          <w:tcPr>
            <w:tcW w:w="0" w:type="auto"/>
          </w:tcPr>
          <w:p w14:paraId="21FEDA92" w14:textId="77777777" w:rsidR="008C2F14" w:rsidRDefault="00000000">
            <w:pPr>
              <w:pStyle w:val="Compact"/>
            </w:pPr>
            <w:r>
              <w:t>Anti-CD20 monoclonal antibody</w:t>
            </w:r>
          </w:p>
        </w:tc>
        <w:tc>
          <w:tcPr>
            <w:tcW w:w="0" w:type="auto"/>
          </w:tcPr>
          <w:p w14:paraId="4913CF6E" w14:textId="77777777" w:rsidR="008C2F14" w:rsidRDefault="00000000">
            <w:pPr>
              <w:pStyle w:val="Compact"/>
            </w:pPr>
            <w:r>
              <w:t>❌ Outside SM scope</w:t>
            </w:r>
          </w:p>
        </w:tc>
      </w:tr>
      <w:tr w:rsidR="008C2F14" w14:paraId="23B4C714" w14:textId="77777777" w:rsidTr="002D6D8D">
        <w:tc>
          <w:tcPr>
            <w:tcW w:w="0" w:type="auto"/>
          </w:tcPr>
          <w:p w14:paraId="43221781" w14:textId="77777777" w:rsidR="008C2F14" w:rsidRDefault="00000000">
            <w:pPr>
              <w:pStyle w:val="Compact"/>
            </w:pPr>
            <w:r>
              <w:t>TQJ230 / pelacarsen</w:t>
            </w:r>
          </w:p>
        </w:tc>
        <w:tc>
          <w:tcPr>
            <w:tcW w:w="0" w:type="auto"/>
          </w:tcPr>
          <w:p w14:paraId="0DEC8450" w14:textId="77777777" w:rsidR="008C2F14" w:rsidRDefault="00000000">
            <w:pPr>
              <w:pStyle w:val="Compact"/>
            </w:pPr>
            <w:r>
              <w:t>ASO targeting Lp(a)</w:t>
            </w:r>
          </w:p>
        </w:tc>
        <w:tc>
          <w:tcPr>
            <w:tcW w:w="0" w:type="auto"/>
          </w:tcPr>
          <w:p w14:paraId="459C9960" w14:textId="77777777" w:rsidR="008C2F14" w:rsidRDefault="00000000">
            <w:pPr>
              <w:pStyle w:val="Compact"/>
            </w:pPr>
            <w:r>
              <w:t>❌ Outside SM scope</w:t>
            </w:r>
          </w:p>
        </w:tc>
      </w:tr>
    </w:tbl>
    <w:p w14:paraId="6945FD84" w14:textId="77777777" w:rsidR="008C2F14" w:rsidRDefault="00000000">
      <w:pPr>
        <w:pStyle w:val="BlockText"/>
      </w:pPr>
      <w:r>
        <w:rPr>
          <w:b/>
          <w:bCs/>
        </w:rPr>
        <w:t>3 of 7 Novartis pipeline assets are directly addressable by Zerokost’s computational small-molecule discovery engine.</w:t>
      </w:r>
      <w:r>
        <w:t xml:space="preserve"> A 4th (BAFF-R) represents a strategic next-gen small-molecule opportunity.</w:t>
      </w:r>
    </w:p>
    <w:p w14:paraId="3D1B9415" w14:textId="77777777" w:rsidR="008C2F14" w:rsidRDefault="00000000">
      <w:r>
        <w:pict w14:anchorId="70A439E3">
          <v:rect id="_x0000_i1027" style="width:0;height:1.5pt" o:hralign="center" o:hrstd="t" o:hr="t"/>
        </w:pict>
      </w:r>
    </w:p>
    <w:p w14:paraId="660CCF61" w14:textId="77777777" w:rsidR="008C2F14" w:rsidRDefault="00000000">
      <w:pPr>
        <w:pStyle w:val="Heading2"/>
      </w:pPr>
      <w:bookmarkStart w:id="4" w:name="Xfc35932405919affde9acd01bac44d6847eee32"/>
      <w:bookmarkEnd w:id="3"/>
      <w:r>
        <w:lastRenderedPageBreak/>
        <w:t>2. Novartis Pipeline — Full Modality Assessment</w:t>
      </w:r>
    </w:p>
    <w:p w14:paraId="147CAFB5" w14:textId="77777777" w:rsidR="008C2F14" w:rsidRDefault="00000000">
      <w:pPr>
        <w:pStyle w:val="Heading3"/>
      </w:pPr>
      <w:bookmarkStart w:id="5" w:name="complete-asset-review"/>
      <w:r>
        <w:t>2.1 Complete Asset Review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7"/>
        <w:gridCol w:w="1474"/>
        <w:gridCol w:w="1454"/>
        <w:gridCol w:w="1585"/>
        <w:gridCol w:w="1908"/>
        <w:gridCol w:w="704"/>
        <w:gridCol w:w="1514"/>
      </w:tblGrid>
      <w:tr w:rsidR="008C2F14" w14:paraId="17877E29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E6D62B6" w14:textId="77777777" w:rsidR="008C2F14" w:rsidRDefault="00000000">
            <w:pPr>
              <w:pStyle w:val="Compact"/>
            </w:pPr>
            <w:r>
              <w:t>Asset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709D30" w14:textId="77777777" w:rsidR="008C2F14" w:rsidRDefault="00000000">
            <w:pPr>
              <w:pStyle w:val="Compact"/>
            </w:pPr>
            <w:r>
              <w:t>Drug Name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4AEF57" w14:textId="77777777" w:rsidR="008C2F14" w:rsidRDefault="00000000">
            <w:pPr>
              <w:pStyle w:val="Compact"/>
            </w:pPr>
            <w:r>
              <w:t>Therapeutic Area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CC993A" w14:textId="77777777" w:rsidR="008C2F14" w:rsidRDefault="00000000">
            <w:pPr>
              <w:pStyle w:val="Compact"/>
            </w:pPr>
            <w:r>
              <w:t>Indication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1EF786" w14:textId="77777777" w:rsidR="008C2F14" w:rsidRDefault="00000000">
            <w:pPr>
              <w:pStyle w:val="Compact"/>
            </w:pPr>
            <w:r>
              <w:t>Mechanism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0AA507" w14:textId="77777777" w:rsidR="008C2F14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69C3BF" w14:textId="77777777" w:rsidR="008C2F14" w:rsidRDefault="00000000">
            <w:pPr>
              <w:pStyle w:val="Compact"/>
            </w:pPr>
            <w:r>
              <w:t>Our Assessment</w:t>
            </w:r>
          </w:p>
        </w:tc>
      </w:tr>
      <w:tr w:rsidR="008C2F14" w14:paraId="26716AF9" w14:textId="77777777" w:rsidTr="002D6D8D">
        <w:tc>
          <w:tcPr>
            <w:tcW w:w="0" w:type="auto"/>
          </w:tcPr>
          <w:p w14:paraId="43FFA377" w14:textId="77777777" w:rsidR="008C2F14" w:rsidRDefault="00000000">
            <w:pPr>
              <w:pStyle w:val="Compact"/>
            </w:pPr>
            <w:r>
              <w:t>DAK539</w:t>
            </w:r>
          </w:p>
        </w:tc>
        <w:tc>
          <w:tcPr>
            <w:tcW w:w="0" w:type="auto"/>
          </w:tcPr>
          <w:p w14:paraId="412EEB64" w14:textId="77777777" w:rsidR="008C2F14" w:rsidRDefault="00000000">
            <w:pPr>
              <w:pStyle w:val="Compact"/>
            </w:pPr>
            <w:r>
              <w:t>pelabresib</w:t>
            </w:r>
          </w:p>
        </w:tc>
        <w:tc>
          <w:tcPr>
            <w:tcW w:w="0" w:type="auto"/>
          </w:tcPr>
          <w:p w14:paraId="40092907" w14:textId="77777777" w:rsidR="008C2F14" w:rsidRDefault="00000000">
            <w:pPr>
              <w:pStyle w:val="Compact"/>
            </w:pPr>
            <w:r>
              <w:t>Oncology: Hematology</w:t>
            </w:r>
          </w:p>
        </w:tc>
        <w:tc>
          <w:tcPr>
            <w:tcW w:w="0" w:type="auto"/>
          </w:tcPr>
          <w:p w14:paraId="3A77D93F" w14:textId="77777777" w:rsidR="008C2F14" w:rsidRDefault="00000000">
            <w:pPr>
              <w:pStyle w:val="Compact"/>
            </w:pPr>
            <w:r>
              <w:t>Myelofibrosis</w:t>
            </w:r>
          </w:p>
        </w:tc>
        <w:tc>
          <w:tcPr>
            <w:tcW w:w="0" w:type="auto"/>
          </w:tcPr>
          <w:p w14:paraId="22D6085A" w14:textId="77777777" w:rsidR="008C2F14" w:rsidRDefault="00000000">
            <w:pPr>
              <w:pStyle w:val="Compact"/>
            </w:pPr>
            <w:r>
              <w:t>BET inhibitor (BRD2/3/4 bromodomain)</w:t>
            </w:r>
          </w:p>
        </w:tc>
        <w:tc>
          <w:tcPr>
            <w:tcW w:w="0" w:type="auto"/>
          </w:tcPr>
          <w:p w14:paraId="080B1C98" w14:textId="77777777" w:rsidR="008C2F14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2D54BA07" w14:textId="77777777" w:rsidR="008C2F14" w:rsidRDefault="00000000">
            <w:pPr>
              <w:pStyle w:val="Compact"/>
            </w:pPr>
            <w:r>
              <w:t>✅ Full platform support</w:t>
            </w:r>
          </w:p>
        </w:tc>
      </w:tr>
      <w:tr w:rsidR="008C2F14" w14:paraId="765DE622" w14:textId="77777777" w:rsidTr="002D6D8D">
        <w:tc>
          <w:tcPr>
            <w:tcW w:w="0" w:type="auto"/>
          </w:tcPr>
          <w:p w14:paraId="6821906C" w14:textId="77777777" w:rsidR="008C2F14" w:rsidRDefault="00000000">
            <w:pPr>
              <w:pStyle w:val="Compact"/>
            </w:pPr>
            <w:r>
              <w:t>KLU156</w:t>
            </w:r>
          </w:p>
        </w:tc>
        <w:tc>
          <w:tcPr>
            <w:tcW w:w="0" w:type="auto"/>
          </w:tcPr>
          <w:p w14:paraId="6AAE6163" w14:textId="77777777" w:rsidR="008C2F14" w:rsidRDefault="00000000">
            <w:pPr>
              <w:pStyle w:val="Compact"/>
            </w:pPr>
            <w:r>
              <w:t>Ganaplacide + lumefantrine</w:t>
            </w:r>
          </w:p>
        </w:tc>
        <w:tc>
          <w:tcPr>
            <w:tcW w:w="0" w:type="auto"/>
          </w:tcPr>
          <w:p w14:paraId="3EDB1138" w14:textId="77777777" w:rsidR="008C2F14" w:rsidRDefault="00000000">
            <w:pPr>
              <w:pStyle w:val="Compact"/>
            </w:pPr>
            <w:r>
              <w:t>Global Health</w:t>
            </w:r>
          </w:p>
        </w:tc>
        <w:tc>
          <w:tcPr>
            <w:tcW w:w="0" w:type="auto"/>
          </w:tcPr>
          <w:p w14:paraId="75306DA7" w14:textId="77777777" w:rsidR="008C2F14" w:rsidRDefault="00000000">
            <w:pPr>
              <w:pStyle w:val="Compact"/>
            </w:pPr>
            <w:r>
              <w:t>Malaria (uncomplicated)</w:t>
            </w:r>
          </w:p>
        </w:tc>
        <w:tc>
          <w:tcPr>
            <w:tcW w:w="0" w:type="auto"/>
          </w:tcPr>
          <w:p w14:paraId="5DEB977A" w14:textId="77777777" w:rsidR="008C2F14" w:rsidRDefault="00000000">
            <w:pPr>
              <w:pStyle w:val="Compact"/>
            </w:pPr>
            <w:r>
              <w:t>PfPI4K/Plasmodium inhibitor</w:t>
            </w:r>
          </w:p>
        </w:tc>
        <w:tc>
          <w:tcPr>
            <w:tcW w:w="0" w:type="auto"/>
          </w:tcPr>
          <w:p w14:paraId="321F0E3F" w14:textId="77777777" w:rsidR="008C2F14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6C724214" w14:textId="77777777" w:rsidR="008C2F14" w:rsidRDefault="00000000">
            <w:pPr>
              <w:pStyle w:val="Compact"/>
            </w:pPr>
            <w:r>
              <w:t>✅ Full platform support</w:t>
            </w:r>
          </w:p>
        </w:tc>
      </w:tr>
      <w:tr w:rsidR="008C2F14" w14:paraId="2697FA48" w14:textId="77777777" w:rsidTr="002D6D8D">
        <w:tc>
          <w:tcPr>
            <w:tcW w:w="0" w:type="auto"/>
          </w:tcPr>
          <w:p w14:paraId="0B52A3B6" w14:textId="77777777" w:rsidR="008C2F14" w:rsidRDefault="00000000">
            <w:pPr>
              <w:pStyle w:val="Compact"/>
            </w:pPr>
            <w:r>
              <w:t>LOU064</w:t>
            </w:r>
          </w:p>
        </w:tc>
        <w:tc>
          <w:tcPr>
            <w:tcW w:w="0" w:type="auto"/>
          </w:tcPr>
          <w:p w14:paraId="7C5F2C3E" w14:textId="77777777" w:rsidR="008C2F14" w:rsidRDefault="00000000">
            <w:pPr>
              <w:pStyle w:val="Compact"/>
            </w:pPr>
            <w:r>
              <w:t>Rhapsido® (Rilzabrutinib)</w:t>
            </w:r>
          </w:p>
        </w:tc>
        <w:tc>
          <w:tcPr>
            <w:tcW w:w="0" w:type="auto"/>
          </w:tcPr>
          <w:p w14:paraId="6A315064" w14:textId="77777777" w:rsidR="008C2F14" w:rsidRDefault="00000000">
            <w:pPr>
              <w:pStyle w:val="Compact"/>
            </w:pPr>
            <w:r>
              <w:t>Immunology</w:t>
            </w:r>
          </w:p>
        </w:tc>
        <w:tc>
          <w:tcPr>
            <w:tcW w:w="0" w:type="auto"/>
          </w:tcPr>
          <w:p w14:paraId="00E5EE90" w14:textId="77777777" w:rsidR="008C2F14" w:rsidRDefault="00000000">
            <w:pPr>
              <w:pStyle w:val="Compact"/>
            </w:pPr>
            <w:r>
              <w:t>Chronic inducible urticaria</w:t>
            </w:r>
          </w:p>
        </w:tc>
        <w:tc>
          <w:tcPr>
            <w:tcW w:w="0" w:type="auto"/>
          </w:tcPr>
          <w:p w14:paraId="0FFDC2D0" w14:textId="77777777" w:rsidR="008C2F14" w:rsidRDefault="00000000">
            <w:pPr>
              <w:pStyle w:val="Compact"/>
            </w:pPr>
            <w:r>
              <w:t>BTK inhibitor (covalent SM)</w:t>
            </w:r>
          </w:p>
        </w:tc>
        <w:tc>
          <w:tcPr>
            <w:tcW w:w="0" w:type="auto"/>
          </w:tcPr>
          <w:p w14:paraId="15275765" w14:textId="77777777" w:rsidR="008C2F14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215074A7" w14:textId="77777777" w:rsidR="008C2F14" w:rsidRDefault="00000000">
            <w:pPr>
              <w:pStyle w:val="Compact"/>
            </w:pPr>
            <w:r>
              <w:t>✅ Full platform support</w:t>
            </w:r>
          </w:p>
        </w:tc>
      </w:tr>
      <w:tr w:rsidR="008C2F14" w14:paraId="4C6D2E76" w14:textId="77777777" w:rsidTr="002D6D8D">
        <w:tc>
          <w:tcPr>
            <w:tcW w:w="0" w:type="auto"/>
          </w:tcPr>
          <w:p w14:paraId="2F69628D" w14:textId="77777777" w:rsidR="008C2F14" w:rsidRDefault="00000000">
            <w:pPr>
              <w:pStyle w:val="Compact"/>
            </w:pPr>
            <w:r>
              <w:t>VAY736</w:t>
            </w:r>
          </w:p>
        </w:tc>
        <w:tc>
          <w:tcPr>
            <w:tcW w:w="0" w:type="auto"/>
          </w:tcPr>
          <w:p w14:paraId="78F69ADE" w14:textId="77777777" w:rsidR="008C2F14" w:rsidRDefault="00000000">
            <w:pPr>
              <w:pStyle w:val="Compact"/>
            </w:pPr>
            <w:r>
              <w:t>ianalumab</w:t>
            </w:r>
          </w:p>
        </w:tc>
        <w:tc>
          <w:tcPr>
            <w:tcW w:w="0" w:type="auto"/>
          </w:tcPr>
          <w:p w14:paraId="27A01E77" w14:textId="77777777" w:rsidR="008C2F14" w:rsidRDefault="00000000">
            <w:pPr>
              <w:pStyle w:val="Compact"/>
            </w:pPr>
            <w:r>
              <w:t>Immunology</w:t>
            </w:r>
          </w:p>
        </w:tc>
        <w:tc>
          <w:tcPr>
            <w:tcW w:w="0" w:type="auto"/>
          </w:tcPr>
          <w:p w14:paraId="44BD7500" w14:textId="77777777" w:rsidR="008C2F14" w:rsidRDefault="00000000">
            <w:pPr>
              <w:pStyle w:val="Compact"/>
            </w:pPr>
            <w:r>
              <w:t>Sjögren’s disease</w:t>
            </w:r>
          </w:p>
        </w:tc>
        <w:tc>
          <w:tcPr>
            <w:tcW w:w="0" w:type="auto"/>
          </w:tcPr>
          <w:p w14:paraId="333E5C90" w14:textId="77777777" w:rsidR="008C2F14" w:rsidRDefault="00000000">
            <w:pPr>
              <w:pStyle w:val="Compact"/>
            </w:pPr>
            <w:r>
              <w:t>BAFF-R inhibitor (biologic)</w:t>
            </w:r>
          </w:p>
        </w:tc>
        <w:tc>
          <w:tcPr>
            <w:tcW w:w="0" w:type="auto"/>
          </w:tcPr>
          <w:p w14:paraId="7A71D8CD" w14:textId="77777777" w:rsidR="008C2F14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7C971E2A" w14:textId="77777777" w:rsidR="008C2F14" w:rsidRDefault="00000000">
            <w:pPr>
              <w:pStyle w:val="Compact"/>
            </w:pPr>
            <w:r>
              <w:t>⚠️ Target available for next-gen SM programme</w:t>
            </w:r>
          </w:p>
        </w:tc>
      </w:tr>
      <w:tr w:rsidR="008C2F14" w14:paraId="1FA50C04" w14:textId="77777777" w:rsidTr="002D6D8D">
        <w:tc>
          <w:tcPr>
            <w:tcW w:w="0" w:type="auto"/>
          </w:tcPr>
          <w:p w14:paraId="139C52CA" w14:textId="77777777" w:rsidR="008C2F14" w:rsidRDefault="00000000">
            <w:pPr>
              <w:pStyle w:val="Compact"/>
            </w:pPr>
            <w:r>
              <w:t>AIN457</w:t>
            </w:r>
          </w:p>
        </w:tc>
        <w:tc>
          <w:tcPr>
            <w:tcW w:w="0" w:type="auto"/>
          </w:tcPr>
          <w:p w14:paraId="6F20D4C4" w14:textId="77777777" w:rsidR="008C2F14" w:rsidRDefault="00000000">
            <w:pPr>
              <w:pStyle w:val="Compact"/>
            </w:pPr>
            <w:r>
              <w:t>Cosentyx® (Secukinumab)</w:t>
            </w:r>
          </w:p>
        </w:tc>
        <w:tc>
          <w:tcPr>
            <w:tcW w:w="0" w:type="auto"/>
          </w:tcPr>
          <w:p w14:paraId="598F44AF" w14:textId="77777777" w:rsidR="008C2F14" w:rsidRDefault="00000000">
            <w:pPr>
              <w:pStyle w:val="Compact"/>
            </w:pPr>
            <w:r>
              <w:t>Immunology</w:t>
            </w:r>
          </w:p>
        </w:tc>
        <w:tc>
          <w:tcPr>
            <w:tcW w:w="0" w:type="auto"/>
          </w:tcPr>
          <w:p w14:paraId="684AD38D" w14:textId="77777777" w:rsidR="008C2F14" w:rsidRDefault="00000000">
            <w:pPr>
              <w:pStyle w:val="Compact"/>
            </w:pPr>
            <w:r>
              <w:t>Polymyalgia rheumatica</w:t>
            </w:r>
          </w:p>
        </w:tc>
        <w:tc>
          <w:tcPr>
            <w:tcW w:w="0" w:type="auto"/>
          </w:tcPr>
          <w:p w14:paraId="19A2AA3B" w14:textId="77777777" w:rsidR="008C2F14" w:rsidRDefault="00000000">
            <w:pPr>
              <w:pStyle w:val="Compact"/>
            </w:pPr>
            <w:r>
              <w:t>Anti-IL-17A mAb</w:t>
            </w:r>
          </w:p>
        </w:tc>
        <w:tc>
          <w:tcPr>
            <w:tcW w:w="0" w:type="auto"/>
          </w:tcPr>
          <w:p w14:paraId="10696364" w14:textId="77777777" w:rsidR="008C2F14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3616B185" w14:textId="77777777" w:rsidR="008C2F14" w:rsidRDefault="00000000">
            <w:pPr>
              <w:pStyle w:val="Compact"/>
            </w:pPr>
            <w:r>
              <w:t>❌ Antibody modality</w:t>
            </w:r>
          </w:p>
        </w:tc>
      </w:tr>
      <w:tr w:rsidR="008C2F14" w14:paraId="355C2F1E" w14:textId="77777777" w:rsidTr="002D6D8D">
        <w:tc>
          <w:tcPr>
            <w:tcW w:w="0" w:type="auto"/>
          </w:tcPr>
          <w:p w14:paraId="19CAC0FC" w14:textId="77777777" w:rsidR="008C2F14" w:rsidRDefault="00000000">
            <w:pPr>
              <w:pStyle w:val="Compact"/>
            </w:pPr>
            <w:r>
              <w:t>OMB157</w:t>
            </w:r>
          </w:p>
        </w:tc>
        <w:tc>
          <w:tcPr>
            <w:tcW w:w="0" w:type="auto"/>
          </w:tcPr>
          <w:p w14:paraId="125A3A9F" w14:textId="77777777" w:rsidR="008C2F14" w:rsidRDefault="00000000">
            <w:pPr>
              <w:pStyle w:val="Compact"/>
            </w:pPr>
            <w:r>
              <w:t>Kesimpta® (Ofatumumab)</w:t>
            </w:r>
          </w:p>
        </w:tc>
        <w:tc>
          <w:tcPr>
            <w:tcW w:w="0" w:type="auto"/>
          </w:tcPr>
          <w:p w14:paraId="2A87ACA5" w14:textId="77777777" w:rsidR="008C2F14" w:rsidRDefault="00000000">
            <w:pPr>
              <w:pStyle w:val="Compact"/>
            </w:pPr>
            <w:r>
              <w:t>Neuroscience</w:t>
            </w:r>
          </w:p>
        </w:tc>
        <w:tc>
          <w:tcPr>
            <w:tcW w:w="0" w:type="auto"/>
          </w:tcPr>
          <w:p w14:paraId="31F70956" w14:textId="77777777" w:rsidR="008C2F14" w:rsidRDefault="00000000">
            <w:pPr>
              <w:pStyle w:val="Compact"/>
            </w:pPr>
            <w:r>
              <w:t>Multiple sclerosis (pediatrics)</w:t>
            </w:r>
          </w:p>
        </w:tc>
        <w:tc>
          <w:tcPr>
            <w:tcW w:w="0" w:type="auto"/>
          </w:tcPr>
          <w:p w14:paraId="6D2E0873" w14:textId="77777777" w:rsidR="008C2F14" w:rsidRDefault="00000000">
            <w:pPr>
              <w:pStyle w:val="Compact"/>
            </w:pPr>
            <w:r>
              <w:t>Anti-CD20 mAb</w:t>
            </w:r>
          </w:p>
        </w:tc>
        <w:tc>
          <w:tcPr>
            <w:tcW w:w="0" w:type="auto"/>
          </w:tcPr>
          <w:p w14:paraId="1A070650" w14:textId="77777777" w:rsidR="008C2F14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1A89D925" w14:textId="77777777" w:rsidR="008C2F14" w:rsidRDefault="00000000">
            <w:pPr>
              <w:pStyle w:val="Compact"/>
            </w:pPr>
            <w:r>
              <w:t>❌ Antibody modality</w:t>
            </w:r>
          </w:p>
        </w:tc>
      </w:tr>
      <w:tr w:rsidR="008C2F14" w14:paraId="21C70C3D" w14:textId="77777777" w:rsidTr="002D6D8D">
        <w:tc>
          <w:tcPr>
            <w:tcW w:w="0" w:type="auto"/>
          </w:tcPr>
          <w:p w14:paraId="2C886119" w14:textId="77777777" w:rsidR="008C2F14" w:rsidRDefault="00000000">
            <w:pPr>
              <w:pStyle w:val="Compact"/>
            </w:pPr>
            <w:r>
              <w:t>TQJ230</w:t>
            </w:r>
          </w:p>
        </w:tc>
        <w:tc>
          <w:tcPr>
            <w:tcW w:w="0" w:type="auto"/>
          </w:tcPr>
          <w:p w14:paraId="0701D5B3" w14:textId="77777777" w:rsidR="008C2F14" w:rsidRDefault="00000000">
            <w:pPr>
              <w:pStyle w:val="Compact"/>
            </w:pPr>
            <w:r>
              <w:t>pelacarsen</w:t>
            </w:r>
          </w:p>
        </w:tc>
        <w:tc>
          <w:tcPr>
            <w:tcW w:w="0" w:type="auto"/>
          </w:tcPr>
          <w:p w14:paraId="6C6FF0CB" w14:textId="77777777" w:rsidR="008C2F14" w:rsidRDefault="00000000">
            <w:pPr>
              <w:pStyle w:val="Compact"/>
            </w:pPr>
            <w:r>
              <w:t>Cardiovascular</w:t>
            </w:r>
          </w:p>
        </w:tc>
        <w:tc>
          <w:tcPr>
            <w:tcW w:w="0" w:type="auto"/>
          </w:tcPr>
          <w:p w14:paraId="1D758180" w14:textId="77777777" w:rsidR="008C2F14" w:rsidRDefault="00000000">
            <w:pPr>
              <w:pStyle w:val="Compact"/>
            </w:pPr>
            <w:r>
              <w:t>Lp(a) elevated CVRR</w:t>
            </w:r>
          </w:p>
        </w:tc>
        <w:tc>
          <w:tcPr>
            <w:tcW w:w="0" w:type="auto"/>
          </w:tcPr>
          <w:p w14:paraId="3FF5D8C0" w14:textId="77777777" w:rsidR="008C2F14" w:rsidRDefault="00000000">
            <w:pPr>
              <w:pStyle w:val="Compact"/>
            </w:pPr>
            <w:r>
              <w:t>ASO targeting Lp(a)</w:t>
            </w:r>
          </w:p>
        </w:tc>
        <w:tc>
          <w:tcPr>
            <w:tcW w:w="0" w:type="auto"/>
          </w:tcPr>
          <w:p w14:paraId="55892201" w14:textId="77777777" w:rsidR="008C2F14" w:rsidRDefault="00000000">
            <w:pPr>
              <w:pStyle w:val="Compact"/>
            </w:pPr>
            <w:r>
              <w:t>Phase 3</w:t>
            </w:r>
          </w:p>
        </w:tc>
        <w:tc>
          <w:tcPr>
            <w:tcW w:w="0" w:type="auto"/>
          </w:tcPr>
          <w:p w14:paraId="08EA5B8E" w14:textId="77777777" w:rsidR="008C2F14" w:rsidRDefault="00000000">
            <w:pPr>
              <w:pStyle w:val="Compact"/>
            </w:pPr>
            <w:r>
              <w:t>❌ Oligonucleotide modality</w:t>
            </w:r>
          </w:p>
        </w:tc>
      </w:tr>
    </w:tbl>
    <w:p w14:paraId="6C2D35BB" w14:textId="440509A0" w:rsidR="008C2F14" w:rsidRDefault="00000000">
      <w:pPr>
        <w:pStyle w:val="BlockText"/>
      </w:pPr>
      <w:r>
        <w:rPr>
          <w:b/>
          <w:bCs/>
        </w:rPr>
        <w:t>Note on Modality Boundaries</w:t>
      </w:r>
      <w:r>
        <w:t xml:space="preserve">: Our platform is an AI-driven </w:t>
      </w:r>
      <w:r>
        <w:rPr>
          <w:b/>
          <w:bCs/>
        </w:rPr>
        <w:t>small-molecule discovery engine</w:t>
      </w:r>
      <w:r>
        <w:t>. Monoclonal antibody (mAb) and antisense oligonucleotide (ASO) programmes require a different computational toolkit (antibody humanization, CDR optimization, RNA secondary structure prediction) that is outside the current platform scope. We identify this clearly rather than overstating coverage.</w:t>
      </w:r>
    </w:p>
    <w:p w14:paraId="104F20C3" w14:textId="6CC28AF0" w:rsidR="002D6D8D" w:rsidRPr="002D6D8D" w:rsidRDefault="002D6D8D" w:rsidP="002D6D8D">
      <w:pPr>
        <w:pStyle w:val="BodyText"/>
      </w:pPr>
      <w:r w:rsidRPr="002D6D8D">
        <w:lastRenderedPageBreak/>
        <w:drawing>
          <wp:anchor distT="0" distB="0" distL="114300" distR="114300" simplePos="0" relativeHeight="251659264" behindDoc="0" locked="0" layoutInCell="1" allowOverlap="1" wp14:anchorId="7E591617" wp14:editId="3AB168C4">
            <wp:simplePos x="0" y="0"/>
            <wp:positionH relativeFrom="page">
              <wp:posOffset>914400</wp:posOffset>
            </wp:positionH>
            <wp:positionV relativeFrom="page">
              <wp:posOffset>1203325</wp:posOffset>
            </wp:positionV>
            <wp:extent cx="5943600" cy="2691765"/>
            <wp:effectExtent l="0" t="0" r="0" b="0"/>
            <wp:wrapTopAndBottom/>
            <wp:docPr id="15235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69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34245" w14:textId="77777777" w:rsidR="008C2F14" w:rsidRDefault="00000000">
      <w:r>
        <w:pict w14:anchorId="674DA463">
          <v:rect id="_x0000_i1028" style="width:0;height:1.5pt" o:hralign="center" o:hrstd="t" o:hr="t"/>
        </w:pict>
      </w:r>
    </w:p>
    <w:p w14:paraId="69C203F1" w14:textId="77777777" w:rsidR="008C2F14" w:rsidRDefault="00000000">
      <w:pPr>
        <w:pStyle w:val="Heading2"/>
      </w:pPr>
      <w:bookmarkStart w:id="6" w:name="deep-dive-where-we-add-direct-value"/>
      <w:bookmarkEnd w:id="4"/>
      <w:bookmarkEnd w:id="5"/>
      <w:r>
        <w:t>3. Deep-Dive: Where We Add Direct Value</w:t>
      </w:r>
    </w:p>
    <w:p w14:paraId="531E1B34" w14:textId="77777777" w:rsidR="008C2F14" w:rsidRDefault="00000000">
      <w:r>
        <w:pict w14:anchorId="28A84B99">
          <v:rect id="_x0000_i1029" style="width:0;height:1.5pt" o:hralign="center" o:hrstd="t" o:hr="t"/>
        </w:pict>
      </w:r>
    </w:p>
    <w:p w14:paraId="45066DE3" w14:textId="77777777" w:rsidR="008C2F14" w:rsidRDefault="00000000">
      <w:pPr>
        <w:pStyle w:val="Heading3"/>
      </w:pPr>
      <w:bookmarkStart w:id="7" w:name="X316ff9fa0c62dc711a8ae15e0a346d1f4c4283f"/>
      <w:r>
        <w:t>3.1 ✅ DAK539 — pelabresib | BET Bromodomain Inhibitor | Myelofibrosis (Oncology)</w:t>
      </w:r>
    </w:p>
    <w:p w14:paraId="22B268B2" w14:textId="77777777" w:rsidR="008C2F14" w:rsidRDefault="00000000">
      <w:pPr>
        <w:pStyle w:val="FirstParagraph"/>
      </w:pPr>
      <w:r>
        <w:rPr>
          <w:b/>
          <w:bCs/>
        </w:rPr>
        <w:t>Target:</w:t>
      </w:r>
      <w:r>
        <w:t xml:space="preserve"> BET bromodomain proteins — BRD2, BRD3, BRD4</w:t>
      </w:r>
      <w:r>
        <w:br/>
      </w:r>
      <w:r>
        <w:rPr>
          <w:b/>
          <w:bCs/>
        </w:rPr>
        <w:t>Disease Context:</w:t>
      </w:r>
      <w:r>
        <w:t xml:space="preserve"> Myelofibrosis — a bone marrow malignancy driven by constitutive JAK-STAT and MYC signalling; BET inhibitors suppress oncogenic transcription at super-enhancers.</w:t>
      </w:r>
      <w:r>
        <w:br/>
      </w:r>
      <w:r>
        <w:rPr>
          <w:b/>
          <w:bCs/>
        </w:rPr>
        <w:t>Current Asset:</w:t>
      </w:r>
      <w:r>
        <w:t xml:space="preserve"> pelabresib (CPI-0610) — a Phase 3 BET inhibitor in combination with ruxolitinib.</w:t>
      </w:r>
    </w:p>
    <w:p w14:paraId="3167363A" w14:textId="77777777" w:rsidR="008C2F14" w:rsidRDefault="00000000">
      <w:pPr>
        <w:pStyle w:val="Heading4"/>
      </w:pPr>
      <w:bookmarkStart w:id="8" w:name="platform-capabilities-applicable"/>
      <w:r>
        <w:t>Platform Capabilities Applicable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00"/>
        <w:gridCol w:w="3762"/>
        <w:gridCol w:w="3714"/>
      </w:tblGrid>
      <w:tr w:rsidR="008C2F14" w14:paraId="4B50B976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F98266F" w14:textId="77777777" w:rsidR="008C2F14" w:rsidRDefault="00000000">
            <w:pPr>
              <w:pStyle w:val="Compact"/>
            </w:pPr>
            <w:r>
              <w:t>Pipeline Stage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076895" w14:textId="77777777" w:rsidR="008C2F14" w:rsidRDefault="00000000">
            <w:pPr>
              <w:pStyle w:val="Compact"/>
            </w:pPr>
            <w:r>
              <w:t>Zerokost Capability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440A6D" w14:textId="77777777" w:rsidR="008C2F14" w:rsidRDefault="00000000">
            <w:pPr>
              <w:pStyle w:val="Compact"/>
            </w:pPr>
            <w:r>
              <w:t>Value Delivered</w:t>
            </w:r>
          </w:p>
        </w:tc>
      </w:tr>
      <w:tr w:rsidR="008C2F14" w14:paraId="3E8904EE" w14:textId="77777777" w:rsidTr="002D6D8D">
        <w:tc>
          <w:tcPr>
            <w:tcW w:w="0" w:type="auto"/>
          </w:tcPr>
          <w:p w14:paraId="72E7B0BE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Next-gen BET inhibitor screening</w:t>
            </w:r>
          </w:p>
        </w:tc>
        <w:tc>
          <w:tcPr>
            <w:tcW w:w="0" w:type="auto"/>
          </w:tcPr>
          <w:p w14:paraId="3D7450CD" w14:textId="77777777" w:rsidR="008C2F14" w:rsidRDefault="00000000">
            <w:pPr>
              <w:pStyle w:val="Compact"/>
            </w:pPr>
            <w:r>
              <w:t>XGBoost ML hit scoring (1M+ compound/day) against BRD4 BD1 &amp; BD2 pockets</w:t>
            </w:r>
          </w:p>
        </w:tc>
        <w:tc>
          <w:tcPr>
            <w:tcW w:w="0" w:type="auto"/>
          </w:tcPr>
          <w:p w14:paraId="324C91FA" w14:textId="77777777" w:rsidR="008C2F14" w:rsidRDefault="00000000">
            <w:pPr>
              <w:pStyle w:val="Compact"/>
            </w:pPr>
            <w:r>
              <w:t>Identify pelabresib analogs with superior selectivity or reduced myelosuppression</w:t>
            </w:r>
          </w:p>
        </w:tc>
      </w:tr>
      <w:tr w:rsidR="008C2F14" w14:paraId="30CBFF77" w14:textId="77777777" w:rsidTr="002D6D8D">
        <w:tc>
          <w:tcPr>
            <w:tcW w:w="0" w:type="auto"/>
          </w:tcPr>
          <w:p w14:paraId="298EE186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Physics docking on BRD4</w:t>
            </w:r>
          </w:p>
        </w:tc>
        <w:tc>
          <w:tcPr>
            <w:tcW w:w="0" w:type="auto"/>
          </w:tcPr>
          <w:p w14:paraId="696E9AF5" w14:textId="77777777" w:rsidR="008C2F14" w:rsidRDefault="00000000">
            <w:pPr>
              <w:pStyle w:val="Compact"/>
            </w:pPr>
            <w:r>
              <w:t>AutoDock Vina ΔG calculations on BRD2/BRD3/BRD4 crystal structures (PDB: 4HBW, 3P5O)</w:t>
            </w:r>
          </w:p>
        </w:tc>
        <w:tc>
          <w:tcPr>
            <w:tcW w:w="0" w:type="auto"/>
          </w:tcPr>
          <w:p w14:paraId="533B9B92" w14:textId="77777777" w:rsidR="008C2F14" w:rsidRDefault="00000000">
            <w:pPr>
              <w:pStyle w:val="Compact"/>
            </w:pPr>
            <w:r>
              <w:t>Validate binding poses of new lead series before synthesis</w:t>
            </w:r>
          </w:p>
        </w:tc>
      </w:tr>
      <w:tr w:rsidR="008C2F14" w14:paraId="3A2CF619" w14:textId="77777777" w:rsidTr="002D6D8D">
        <w:tc>
          <w:tcPr>
            <w:tcW w:w="0" w:type="auto"/>
          </w:tcPr>
          <w:p w14:paraId="1D144064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BD1 vs BD2 selectivity screening</w:t>
            </w:r>
          </w:p>
        </w:tc>
        <w:tc>
          <w:tcPr>
            <w:tcW w:w="0" w:type="auto"/>
          </w:tcPr>
          <w:p w14:paraId="2CF6ECBC" w14:textId="77777777" w:rsidR="008C2F14" w:rsidRDefault="00000000">
            <w:pPr>
              <w:pStyle w:val="Compact"/>
            </w:pPr>
            <w:r>
              <w:t>Multi-pocket docking with selectivity scoring</w:t>
            </w:r>
          </w:p>
        </w:tc>
        <w:tc>
          <w:tcPr>
            <w:tcW w:w="0" w:type="auto"/>
          </w:tcPr>
          <w:p w14:paraId="17E4A8D0" w14:textId="77777777" w:rsidR="008C2F14" w:rsidRDefault="00000000">
            <w:pPr>
              <w:pStyle w:val="Compact"/>
            </w:pPr>
            <w:r>
              <w:t>Generate selective BRD4-BD2 inhibitors to reduce toxicity vs. non-selective pan-BET inhibitors</w:t>
            </w:r>
          </w:p>
        </w:tc>
      </w:tr>
      <w:tr w:rsidR="008C2F14" w14:paraId="3A7B0D08" w14:textId="77777777" w:rsidTr="002D6D8D">
        <w:tc>
          <w:tcPr>
            <w:tcW w:w="0" w:type="auto"/>
          </w:tcPr>
          <w:p w14:paraId="69EA024F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Lead optimization</w:t>
            </w:r>
          </w:p>
        </w:tc>
        <w:tc>
          <w:tcPr>
            <w:tcW w:w="0" w:type="auto"/>
          </w:tcPr>
          <w:p w14:paraId="516779BF" w14:textId="77777777" w:rsidR="008C2F14" w:rsidRDefault="00000000">
            <w:pPr>
              <w:pStyle w:val="Compact"/>
            </w:pPr>
            <w:r>
              <w:t>Genetic algorithm SMILES evolution (3–5 cycles)</w:t>
            </w:r>
          </w:p>
        </w:tc>
        <w:tc>
          <w:tcPr>
            <w:tcW w:w="0" w:type="auto"/>
          </w:tcPr>
          <w:p w14:paraId="09B6878E" w14:textId="77777777" w:rsidR="008C2F14" w:rsidRDefault="00000000">
            <w:pPr>
              <w:pStyle w:val="Compact"/>
            </w:pPr>
            <w:r>
              <w:t>Improve pelabresib analog potency by 15–25% computationally</w:t>
            </w:r>
          </w:p>
        </w:tc>
      </w:tr>
      <w:tr w:rsidR="008C2F14" w14:paraId="10A2EF28" w14:textId="77777777" w:rsidTr="002D6D8D">
        <w:tc>
          <w:tcPr>
            <w:tcW w:w="0" w:type="auto"/>
          </w:tcPr>
          <w:p w14:paraId="1DAFB976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ADMET profiling</w:t>
            </w:r>
          </w:p>
        </w:tc>
        <w:tc>
          <w:tcPr>
            <w:tcW w:w="0" w:type="auto"/>
          </w:tcPr>
          <w:p w14:paraId="796A9744" w14:textId="77777777" w:rsidR="008C2F14" w:rsidRDefault="00000000">
            <w:pPr>
              <w:pStyle w:val="Compact"/>
            </w:pPr>
            <w:r>
              <w:t>RDKit-based inline toxicity, solubility, clearance, bioavailability</w:t>
            </w:r>
          </w:p>
        </w:tc>
        <w:tc>
          <w:tcPr>
            <w:tcW w:w="0" w:type="auto"/>
          </w:tcPr>
          <w:p w14:paraId="0939FCC6" w14:textId="77777777" w:rsidR="008C2F14" w:rsidRDefault="00000000">
            <w:pPr>
              <w:pStyle w:val="Compact"/>
            </w:pPr>
            <w:r>
              <w:t>Filter for improved CNS penetration and reduced hematological toxicity</w:t>
            </w:r>
          </w:p>
        </w:tc>
      </w:tr>
    </w:tbl>
    <w:p w14:paraId="55BD7FFC" w14:textId="77777777" w:rsidR="008C2F14" w:rsidRDefault="00000000">
      <w:pPr>
        <w:pStyle w:val="Heading4"/>
      </w:pPr>
      <w:bookmarkStart w:id="9" w:name="case-study-angle"/>
      <w:bookmarkEnd w:id="8"/>
      <w:r>
        <w:t>Case Study Angle</w:t>
      </w:r>
    </w:p>
    <w:p w14:paraId="61E3D810" w14:textId="02CF8E46" w:rsidR="008C2F14" w:rsidRDefault="00000000">
      <w:pPr>
        <w:pStyle w:val="BlockText"/>
        <w:rPr>
          <w:i/>
          <w:iCs/>
        </w:rPr>
      </w:pPr>
      <w:r>
        <w:rPr>
          <w:i/>
          <w:iCs/>
        </w:rPr>
        <w:t>Can we find a BRD4-selective inhibitor that preserves anti-tumour activity while reducing bone marrow suppression? Our platform can screen 500,000 BRD4-binding candidates overnight and deliver 100 ADMET-filtered leads for wet-lab go/no-go by morning.</w:t>
      </w:r>
    </w:p>
    <w:p w14:paraId="6F91D67D" w14:textId="3111D55E" w:rsidR="002D6D8D" w:rsidRPr="002D6D8D" w:rsidRDefault="002D6D8D" w:rsidP="002D6D8D">
      <w:pPr>
        <w:pStyle w:val="BodyText"/>
      </w:pPr>
      <w:r w:rsidRPr="002D6D8D">
        <w:drawing>
          <wp:anchor distT="0" distB="0" distL="114300" distR="114300" simplePos="0" relativeHeight="251661312" behindDoc="0" locked="0" layoutInCell="1" allowOverlap="1" wp14:anchorId="143355A3" wp14:editId="10690391">
            <wp:simplePos x="0" y="0"/>
            <wp:positionH relativeFrom="page">
              <wp:posOffset>914400</wp:posOffset>
            </wp:positionH>
            <wp:positionV relativeFrom="page">
              <wp:posOffset>3825240</wp:posOffset>
            </wp:positionV>
            <wp:extent cx="5943600" cy="2687955"/>
            <wp:effectExtent l="0" t="0" r="0" b="0"/>
            <wp:wrapTopAndBottom/>
            <wp:docPr id="1611882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8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E4BEC4" w14:textId="77777777" w:rsidR="008C2F14" w:rsidRDefault="00000000">
      <w:r>
        <w:pict w14:anchorId="5B68FA0E">
          <v:rect id="_x0000_i1030" style="width:0;height:1.5pt" o:hralign="center" o:hrstd="t" o:hr="t"/>
        </w:pict>
      </w:r>
    </w:p>
    <w:p w14:paraId="6E77670D" w14:textId="77777777" w:rsidR="008C2F14" w:rsidRDefault="00000000">
      <w:pPr>
        <w:pStyle w:val="Heading3"/>
      </w:pPr>
      <w:bookmarkStart w:id="10" w:name="Xab52db37a52068ad5ca980008ac6e9c7cb3463f"/>
      <w:bookmarkEnd w:id="7"/>
      <w:bookmarkEnd w:id="9"/>
      <w:r>
        <w:t>3.2 ✅ KLU156 — Ganaplacide | Non-Artemisinin Antimalarial | Malaria (Global Health)</w:t>
      </w:r>
    </w:p>
    <w:p w14:paraId="75B955AE" w14:textId="77777777" w:rsidR="008C2F14" w:rsidRDefault="00000000">
      <w:pPr>
        <w:pStyle w:val="FirstParagraph"/>
      </w:pPr>
      <w:r>
        <w:rPr>
          <w:b/>
          <w:bCs/>
        </w:rPr>
        <w:t>Target:</w:t>
      </w:r>
      <w:r>
        <w:t xml:space="preserve"> PfPI4K (</w:t>
      </w:r>
      <w:r>
        <w:rPr>
          <w:i/>
          <w:iCs/>
        </w:rPr>
        <w:t>Plasmodium falciparum</w:t>
      </w:r>
      <w:r>
        <w:t xml:space="preserve"> phosphatidylinositol 4-kinase) — a plasmodium-specific kinase with no human ortholog at the active site</w:t>
      </w:r>
      <w:r>
        <w:br/>
      </w:r>
      <w:r>
        <w:rPr>
          <w:b/>
          <w:bCs/>
        </w:rPr>
        <w:t>Disease Context:</w:t>
      </w:r>
      <w:r>
        <w:t xml:space="preserve"> Uncomplicated malaria — WHO-declared global emergency; artemisinin partial resistance emerging; urgent need for structurally distinct non-artemisinin compounds.</w:t>
      </w:r>
      <w:r>
        <w:br/>
      </w:r>
      <w:r>
        <w:rPr>
          <w:b/>
          <w:bCs/>
        </w:rPr>
        <w:t>Current Asset:</w:t>
      </w:r>
      <w:r>
        <w:t xml:space="preserve"> Ganaplacide (KAF156) + lumefantrine — Phase 3 next-generation antimalarial combination.</w:t>
      </w:r>
    </w:p>
    <w:p w14:paraId="6218ED12" w14:textId="77777777" w:rsidR="008C2F14" w:rsidRDefault="00000000">
      <w:pPr>
        <w:pStyle w:val="Heading4"/>
      </w:pPr>
      <w:bookmarkStart w:id="11" w:name="platform-capabilities-applicable-1"/>
      <w:r>
        <w:lastRenderedPageBreak/>
        <w:t>Platform Capabilities Applicable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18"/>
        <w:gridCol w:w="3548"/>
        <w:gridCol w:w="3710"/>
      </w:tblGrid>
      <w:tr w:rsidR="008C2F14" w14:paraId="6D045D5A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14BA4ED" w14:textId="77777777" w:rsidR="008C2F14" w:rsidRDefault="00000000">
            <w:pPr>
              <w:pStyle w:val="Compact"/>
            </w:pPr>
            <w:r>
              <w:t>Pipeline Stage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030CAF" w14:textId="77777777" w:rsidR="008C2F14" w:rsidRDefault="00000000">
            <w:pPr>
              <w:pStyle w:val="Compact"/>
            </w:pPr>
            <w:r>
              <w:t>Zerokost Capability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0A87B0" w14:textId="77777777" w:rsidR="008C2F14" w:rsidRDefault="00000000">
            <w:pPr>
              <w:pStyle w:val="Compact"/>
            </w:pPr>
            <w:r>
              <w:t>Value Delivered</w:t>
            </w:r>
          </w:p>
        </w:tc>
      </w:tr>
      <w:tr w:rsidR="008C2F14" w14:paraId="577D4AF9" w14:textId="77777777" w:rsidTr="002D6D8D">
        <w:tc>
          <w:tcPr>
            <w:tcW w:w="0" w:type="auto"/>
          </w:tcPr>
          <w:p w14:paraId="5B7E2D8B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PfPI4K hit discovery</w:t>
            </w:r>
          </w:p>
        </w:tc>
        <w:tc>
          <w:tcPr>
            <w:tcW w:w="0" w:type="auto"/>
          </w:tcPr>
          <w:p w14:paraId="12A62469" w14:textId="77777777" w:rsidR="008C2F14" w:rsidRDefault="00000000">
            <w:pPr>
              <w:pStyle w:val="Compact"/>
            </w:pPr>
            <w:r>
              <w:t>ML screening against PfPI4K kinase domain (selectivity vs. human PI4KIIIα)</w:t>
            </w:r>
          </w:p>
        </w:tc>
        <w:tc>
          <w:tcPr>
            <w:tcW w:w="0" w:type="auto"/>
          </w:tcPr>
          <w:p w14:paraId="0ACF8DBD" w14:textId="77777777" w:rsidR="008C2F14" w:rsidRDefault="00000000">
            <w:pPr>
              <w:pStyle w:val="Compact"/>
            </w:pPr>
            <w:r>
              <w:t>Identify novel chemotypes structurally distinct from ganaplacide</w:t>
            </w:r>
          </w:p>
        </w:tc>
      </w:tr>
      <w:tr w:rsidR="008C2F14" w14:paraId="4723BB72" w14:textId="77777777" w:rsidTr="002D6D8D">
        <w:tc>
          <w:tcPr>
            <w:tcW w:w="0" w:type="auto"/>
          </w:tcPr>
          <w:p w14:paraId="7CB21EF3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Resistance profile screening</w:t>
            </w:r>
          </w:p>
        </w:tc>
        <w:tc>
          <w:tcPr>
            <w:tcW w:w="0" w:type="auto"/>
          </w:tcPr>
          <w:p w14:paraId="585A5114" w14:textId="77777777" w:rsidR="008C2F14" w:rsidRDefault="00000000">
            <w:pPr>
              <w:pStyle w:val="Compact"/>
            </w:pPr>
            <w:r>
              <w:t>Docking against known PfPI4K resistance mutants</w:t>
            </w:r>
          </w:p>
        </w:tc>
        <w:tc>
          <w:tcPr>
            <w:tcW w:w="0" w:type="auto"/>
          </w:tcPr>
          <w:p w14:paraId="1BE54F66" w14:textId="77777777" w:rsidR="008C2F14" w:rsidRDefault="00000000">
            <w:pPr>
              <w:pStyle w:val="Compact"/>
            </w:pPr>
            <w:r>
              <w:t>Predict compounds active against emerging resistant strains</w:t>
            </w:r>
          </w:p>
        </w:tc>
      </w:tr>
      <w:tr w:rsidR="008C2F14" w14:paraId="22FC1867" w14:textId="77777777" w:rsidTr="002D6D8D">
        <w:tc>
          <w:tcPr>
            <w:tcW w:w="0" w:type="auto"/>
          </w:tcPr>
          <w:p w14:paraId="40DAD184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Anti-malarial library screening</w:t>
            </w:r>
          </w:p>
        </w:tc>
        <w:tc>
          <w:tcPr>
            <w:tcW w:w="0" w:type="auto"/>
          </w:tcPr>
          <w:p w14:paraId="25A48B46" w14:textId="77777777" w:rsidR="008C2F14" w:rsidRDefault="00000000">
            <w:pPr>
              <w:pStyle w:val="Compact"/>
            </w:pPr>
            <w:r>
              <w:t>Screening of MMV (Medicines for Malaria Venture) open-access library</w:t>
            </w:r>
          </w:p>
        </w:tc>
        <w:tc>
          <w:tcPr>
            <w:tcW w:w="0" w:type="auto"/>
          </w:tcPr>
          <w:p w14:paraId="347FB97F" w14:textId="77777777" w:rsidR="008C2F14" w:rsidRDefault="00000000">
            <w:pPr>
              <w:pStyle w:val="Compact"/>
            </w:pPr>
            <w:r>
              <w:t>Prioritize clinically ready scaffolds from established anti-parasitic chemical space</w:t>
            </w:r>
          </w:p>
        </w:tc>
      </w:tr>
      <w:tr w:rsidR="008C2F14" w14:paraId="6791A2CF" w14:textId="77777777" w:rsidTr="002D6D8D">
        <w:tc>
          <w:tcPr>
            <w:tcW w:w="0" w:type="auto"/>
          </w:tcPr>
          <w:p w14:paraId="3C40E409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ADMET — tropical disease profile</w:t>
            </w:r>
          </w:p>
        </w:tc>
        <w:tc>
          <w:tcPr>
            <w:tcW w:w="0" w:type="auto"/>
          </w:tcPr>
          <w:p w14:paraId="20790516" w14:textId="77777777" w:rsidR="008C2F14" w:rsidRDefault="00000000">
            <w:pPr>
              <w:pStyle w:val="Compact"/>
            </w:pPr>
            <w:r>
              <w:t>Hepatic clearance, solubility, malaria-specific bioavailability flags</w:t>
            </w:r>
          </w:p>
        </w:tc>
        <w:tc>
          <w:tcPr>
            <w:tcW w:w="0" w:type="auto"/>
          </w:tcPr>
          <w:p w14:paraId="5DC4F256" w14:textId="77777777" w:rsidR="008C2F14" w:rsidRDefault="00000000">
            <w:pPr>
              <w:pStyle w:val="Compact"/>
            </w:pPr>
            <w:r>
              <w:t>Optimise for oral bioavailability in resource-limited settings</w:t>
            </w:r>
          </w:p>
        </w:tc>
      </w:tr>
      <w:tr w:rsidR="008C2F14" w14:paraId="33C735D0" w14:textId="77777777" w:rsidTr="002D6D8D">
        <w:tc>
          <w:tcPr>
            <w:tcW w:w="0" w:type="auto"/>
          </w:tcPr>
          <w:p w14:paraId="591FC9AC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Combination synergy modelling</w:t>
            </w:r>
          </w:p>
        </w:tc>
        <w:tc>
          <w:tcPr>
            <w:tcW w:w="0" w:type="auto"/>
          </w:tcPr>
          <w:p w14:paraId="3388A998" w14:textId="77777777" w:rsidR="008C2F14" w:rsidRDefault="00000000">
            <w:pPr>
              <w:pStyle w:val="Compact"/>
            </w:pPr>
            <w:r>
              <w:t>Dual-target docking (PfPI4K + gametocyte targets)</w:t>
            </w:r>
          </w:p>
        </w:tc>
        <w:tc>
          <w:tcPr>
            <w:tcW w:w="0" w:type="auto"/>
          </w:tcPr>
          <w:p w14:paraId="1CDF0B75" w14:textId="77777777" w:rsidR="008C2F14" w:rsidRDefault="00000000">
            <w:pPr>
              <w:pStyle w:val="Compact"/>
            </w:pPr>
            <w:r>
              <w:t>Identify partners for combination with lumefantrine in next-gen formulation</w:t>
            </w:r>
          </w:p>
        </w:tc>
      </w:tr>
    </w:tbl>
    <w:p w14:paraId="7C6829C7" w14:textId="77777777" w:rsidR="008C2F14" w:rsidRDefault="00000000">
      <w:pPr>
        <w:pStyle w:val="Heading4"/>
      </w:pPr>
      <w:bookmarkStart w:id="12" w:name="case-study-angle-1"/>
      <w:bookmarkEnd w:id="11"/>
      <w:r>
        <w:t>Case Study Angle</w:t>
      </w:r>
    </w:p>
    <w:p w14:paraId="4317A07E" w14:textId="77777777" w:rsidR="008C2F14" w:rsidRDefault="00000000">
      <w:pPr>
        <w:pStyle w:val="BlockText"/>
      </w:pPr>
      <w:r>
        <w:rPr>
          <w:i/>
          <w:iCs/>
        </w:rPr>
        <w:t>Global health impact: With WHO artemisinin resistance data emerging from Southeast Asia, our platform can screen 1M+ compounds against PfPI4K resistance variants in &lt; 24 hours — delivering a next-generation antimalarial candidate scaffolds ahead of the resistance curve.</w:t>
      </w:r>
    </w:p>
    <w:p w14:paraId="7C74DC82" w14:textId="77777777" w:rsidR="008C2F14" w:rsidRDefault="00000000">
      <w:r>
        <w:pict w14:anchorId="654DE43E">
          <v:rect id="_x0000_i1031" style="width:0;height:1.5pt" o:hralign="center" o:hrstd="t" o:hr="t"/>
        </w:pict>
      </w:r>
    </w:p>
    <w:p w14:paraId="2A3C6628" w14:textId="77777777" w:rsidR="008C2F14" w:rsidRDefault="00000000">
      <w:pPr>
        <w:pStyle w:val="Heading3"/>
      </w:pPr>
      <w:bookmarkStart w:id="13" w:name="Xb5a3dfd86f24e4cb4a00a5c813a523088aeb6a6"/>
      <w:bookmarkEnd w:id="10"/>
      <w:bookmarkEnd w:id="12"/>
      <w:r>
        <w:t>3.3 ✅ LOU064 — Rhapsido® (Rilzabrutinib) | BTK Inhibitor | Chronic Inducible Urticaria (Immunology)</w:t>
      </w:r>
    </w:p>
    <w:p w14:paraId="6A27DAFB" w14:textId="77777777" w:rsidR="008C2F14" w:rsidRDefault="00000000">
      <w:pPr>
        <w:pStyle w:val="FirstParagraph"/>
      </w:pPr>
      <w:r>
        <w:rPr>
          <w:b/>
          <w:bCs/>
        </w:rPr>
        <w:t>Target:</w:t>
      </w:r>
      <w:r>
        <w:t xml:space="preserve"> BTK (Bruton’s Tyrosine Kinase) — a key signalling node in B-cell receptor and IgE receptor pathways</w:t>
      </w:r>
      <w:r>
        <w:br/>
      </w:r>
      <w:r>
        <w:rPr>
          <w:b/>
          <w:bCs/>
        </w:rPr>
        <w:t>Disease Context:</w:t>
      </w:r>
      <w:r>
        <w:t xml:space="preserve"> Chronic inducible urticaria (CINDU) — mast cell and basophil-driven hypersensitivity disorder; BTK inhibition suppresses IgE-mediated mast cell degranulation.</w:t>
      </w:r>
      <w:r>
        <w:br/>
      </w:r>
      <w:r>
        <w:rPr>
          <w:b/>
          <w:bCs/>
        </w:rPr>
        <w:t>Current Asset:</w:t>
      </w:r>
      <w:r>
        <w:t xml:space="preserve"> Rilzabrutinib (Rhapsido®) — a reversible covalent BTK inhibitor; Phase 3 supplementary indication (CINDU).</w:t>
      </w:r>
    </w:p>
    <w:p w14:paraId="1608AFD8" w14:textId="77777777" w:rsidR="008C2F14" w:rsidRDefault="00000000">
      <w:pPr>
        <w:pStyle w:val="Heading4"/>
      </w:pPr>
      <w:bookmarkStart w:id="14" w:name="platform-capabilities-applicable-2"/>
      <w:r>
        <w:t>Platform Capabilities Applicable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51"/>
        <w:gridCol w:w="3213"/>
        <w:gridCol w:w="2912"/>
      </w:tblGrid>
      <w:tr w:rsidR="008C2F14" w14:paraId="28544540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64EB115" w14:textId="77777777" w:rsidR="008C2F14" w:rsidRDefault="00000000">
            <w:pPr>
              <w:pStyle w:val="Compact"/>
            </w:pPr>
            <w:r>
              <w:t>Pipeline Stage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EC54A2" w14:textId="77777777" w:rsidR="008C2F14" w:rsidRDefault="00000000">
            <w:pPr>
              <w:pStyle w:val="Compact"/>
            </w:pPr>
            <w:r>
              <w:t>Zerokost Capability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77BB2B" w14:textId="77777777" w:rsidR="008C2F14" w:rsidRDefault="00000000">
            <w:pPr>
              <w:pStyle w:val="Compact"/>
            </w:pPr>
            <w:r>
              <w:t>Value Delivered</w:t>
            </w:r>
          </w:p>
        </w:tc>
      </w:tr>
      <w:tr w:rsidR="008C2F14" w14:paraId="44D6A82B" w14:textId="77777777" w:rsidTr="002D6D8D">
        <w:tc>
          <w:tcPr>
            <w:tcW w:w="0" w:type="auto"/>
          </w:tcPr>
          <w:p w14:paraId="43F17FEB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Next-gen BTK inhibitor screening</w:t>
            </w:r>
          </w:p>
        </w:tc>
        <w:tc>
          <w:tcPr>
            <w:tcW w:w="0" w:type="auto"/>
          </w:tcPr>
          <w:p w14:paraId="22C521C8" w14:textId="77777777" w:rsidR="008C2F14" w:rsidRDefault="00000000">
            <w:pPr>
              <w:pStyle w:val="Compact"/>
            </w:pPr>
            <w:r>
              <w:t>ML scoring against BTK kinase domain (PDB: 3K54, 4HCT)</w:t>
            </w:r>
          </w:p>
        </w:tc>
        <w:tc>
          <w:tcPr>
            <w:tcW w:w="0" w:type="auto"/>
          </w:tcPr>
          <w:p w14:paraId="7FADAD1A" w14:textId="77777777" w:rsidR="008C2F14" w:rsidRDefault="00000000">
            <w:pPr>
              <w:pStyle w:val="Compact"/>
            </w:pPr>
            <w:r>
              <w:t>Identify non-covalent or improved covalent BTK binders</w:t>
            </w:r>
          </w:p>
        </w:tc>
      </w:tr>
      <w:tr w:rsidR="008C2F14" w14:paraId="30F06B78" w14:textId="77777777" w:rsidTr="002D6D8D">
        <w:tc>
          <w:tcPr>
            <w:tcW w:w="0" w:type="auto"/>
          </w:tcPr>
          <w:p w14:paraId="79FE5ED9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C481 covalent pocket docking</w:t>
            </w:r>
          </w:p>
        </w:tc>
        <w:tc>
          <w:tcPr>
            <w:tcW w:w="0" w:type="auto"/>
          </w:tcPr>
          <w:p w14:paraId="2E8993E2" w14:textId="77777777" w:rsidR="008C2F14" w:rsidRDefault="00000000">
            <w:pPr>
              <w:pStyle w:val="Compact"/>
            </w:pPr>
            <w:r>
              <w:t>AutoDock Vina adapted for covalent Cys481 warhead docking</w:t>
            </w:r>
          </w:p>
        </w:tc>
        <w:tc>
          <w:tcPr>
            <w:tcW w:w="0" w:type="auto"/>
          </w:tcPr>
          <w:p w14:paraId="6EFB120D" w14:textId="77777777" w:rsidR="008C2F14" w:rsidRDefault="00000000">
            <w:pPr>
              <w:pStyle w:val="Compact"/>
            </w:pPr>
            <w:r>
              <w:t>Validate new covalent BTK scaffold designs before synthesis</w:t>
            </w:r>
          </w:p>
        </w:tc>
      </w:tr>
      <w:tr w:rsidR="008C2F14" w14:paraId="2142429E" w14:textId="77777777" w:rsidTr="002D6D8D">
        <w:tc>
          <w:tcPr>
            <w:tcW w:w="0" w:type="auto"/>
          </w:tcPr>
          <w:p w14:paraId="1257A00E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Mutant BTK selectivity</w:t>
            </w:r>
          </w:p>
        </w:tc>
        <w:tc>
          <w:tcPr>
            <w:tcW w:w="0" w:type="auto"/>
          </w:tcPr>
          <w:p w14:paraId="46A3FB2C" w14:textId="77777777" w:rsidR="008C2F14" w:rsidRDefault="00000000">
            <w:pPr>
              <w:pStyle w:val="Compact"/>
            </w:pPr>
            <w:r>
              <w:t xml:space="preserve">Docking against C481S </w:t>
            </w:r>
            <w:r>
              <w:lastRenderedPageBreak/>
              <w:t>resistance mutant (ibrutinib resistance mutation)</w:t>
            </w:r>
          </w:p>
        </w:tc>
        <w:tc>
          <w:tcPr>
            <w:tcW w:w="0" w:type="auto"/>
          </w:tcPr>
          <w:p w14:paraId="1BE7A8C5" w14:textId="77777777" w:rsidR="008C2F14" w:rsidRDefault="00000000">
            <w:pPr>
              <w:pStyle w:val="Compact"/>
            </w:pPr>
            <w:r>
              <w:lastRenderedPageBreak/>
              <w:t xml:space="preserve">Design compounds that </w:t>
            </w:r>
            <w:r>
              <w:lastRenderedPageBreak/>
              <w:t>overcome clinical BTK resistance</w:t>
            </w:r>
          </w:p>
        </w:tc>
      </w:tr>
      <w:tr w:rsidR="008C2F14" w14:paraId="29A8806E" w14:textId="77777777" w:rsidTr="002D6D8D">
        <w:tc>
          <w:tcPr>
            <w:tcW w:w="0" w:type="auto"/>
          </w:tcPr>
          <w:p w14:paraId="060271F5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Kinome selectivity screen</w:t>
            </w:r>
          </w:p>
        </w:tc>
        <w:tc>
          <w:tcPr>
            <w:tcW w:w="0" w:type="auto"/>
          </w:tcPr>
          <w:p w14:paraId="26DA6D37" w14:textId="77777777" w:rsidR="008C2F14" w:rsidRDefault="00000000">
            <w:pPr>
              <w:pStyle w:val="Compact"/>
            </w:pPr>
            <w:r>
              <w:t>ML selectivity profiling vs. off-target kinases (EGFR, ERBB2, ITK)</w:t>
            </w:r>
          </w:p>
        </w:tc>
        <w:tc>
          <w:tcPr>
            <w:tcW w:w="0" w:type="auto"/>
          </w:tcPr>
          <w:p w14:paraId="249CAD13" w14:textId="77777777" w:rsidR="008C2F14" w:rsidRDefault="00000000">
            <w:pPr>
              <w:pStyle w:val="Compact"/>
            </w:pPr>
            <w:r>
              <w:t>Reduce cardiovascular and off-target side effects vs. ibrutinib</w:t>
            </w:r>
          </w:p>
        </w:tc>
      </w:tr>
      <w:tr w:rsidR="008C2F14" w14:paraId="3108CE19" w14:textId="77777777" w:rsidTr="002D6D8D">
        <w:tc>
          <w:tcPr>
            <w:tcW w:w="0" w:type="auto"/>
          </w:tcPr>
          <w:p w14:paraId="4053BD39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ADMET for dermatology/immunology</w:t>
            </w:r>
          </w:p>
        </w:tc>
        <w:tc>
          <w:tcPr>
            <w:tcW w:w="0" w:type="auto"/>
          </w:tcPr>
          <w:p w14:paraId="678F1590" w14:textId="77777777" w:rsidR="008C2F14" w:rsidRDefault="00000000">
            <w:pPr>
              <w:pStyle w:val="Compact"/>
            </w:pPr>
            <w:r>
              <w:t>Topical bioavailability, oral absorption, CYP3A4 interaction flags</w:t>
            </w:r>
          </w:p>
        </w:tc>
        <w:tc>
          <w:tcPr>
            <w:tcW w:w="0" w:type="auto"/>
          </w:tcPr>
          <w:p w14:paraId="773B17B1" w14:textId="77777777" w:rsidR="008C2F14" w:rsidRDefault="00000000">
            <w:pPr>
              <w:pStyle w:val="Compact"/>
            </w:pPr>
            <w:r>
              <w:t>Optimise PK for chronic daily dosing in immune indications</w:t>
            </w:r>
          </w:p>
        </w:tc>
      </w:tr>
    </w:tbl>
    <w:p w14:paraId="39D76508" w14:textId="77777777" w:rsidR="008C2F14" w:rsidRDefault="00000000">
      <w:pPr>
        <w:pStyle w:val="Heading4"/>
      </w:pPr>
      <w:bookmarkStart w:id="15" w:name="case-study-angle-2"/>
      <w:bookmarkEnd w:id="14"/>
      <w:r>
        <w:t>Case Study Angle</w:t>
      </w:r>
    </w:p>
    <w:p w14:paraId="174BB67B" w14:textId="77777777" w:rsidR="008C2F14" w:rsidRDefault="00000000">
      <w:pPr>
        <w:pStyle w:val="BlockText"/>
      </w:pPr>
      <w:r>
        <w:rPr>
          <w:i/>
          <w:iCs/>
        </w:rPr>
        <w:t>Beyond urticaria: Our BTK kinome-selective screening pipeline can identify candidates superior to rilzabrutinib for broader ITK/BTK dual blockade for atopic dermatitis or SLE — opening new indication pathways from the same target class.</w:t>
      </w:r>
    </w:p>
    <w:p w14:paraId="4EA4469A" w14:textId="77777777" w:rsidR="008C2F14" w:rsidRDefault="00000000">
      <w:r>
        <w:pict w14:anchorId="783A13B5">
          <v:rect id="_x0000_i1032" style="width:0;height:1.5pt" o:hralign="center" o:hrstd="t" o:hr="t"/>
        </w:pict>
      </w:r>
    </w:p>
    <w:p w14:paraId="0F356B73" w14:textId="77777777" w:rsidR="008C2F14" w:rsidRDefault="00000000">
      <w:pPr>
        <w:pStyle w:val="Heading3"/>
      </w:pPr>
      <w:bookmarkStart w:id="16" w:name="X35a854a74f93c48f2760a3f44c9843d3c55a0dd"/>
      <w:bookmarkEnd w:id="13"/>
      <w:bookmarkEnd w:id="15"/>
      <w:r>
        <w:t>3.4 ⚠️ VAY736 — ianalumab | BAFF-R Inhibitor | Sjögren’s Disease (Immunology)</w:t>
      </w:r>
    </w:p>
    <w:p w14:paraId="0F67C4AA" w14:textId="77777777" w:rsidR="008C2F14" w:rsidRDefault="00000000">
      <w:pPr>
        <w:pStyle w:val="FirstParagraph"/>
      </w:pPr>
      <w:r>
        <w:rPr>
          <w:b/>
          <w:bCs/>
        </w:rPr>
        <w:t>Current Modality:</w:t>
      </w:r>
      <w:r>
        <w:t xml:space="preserve"> ianalumab is a </w:t>
      </w:r>
      <w:r>
        <w:rPr>
          <w:b/>
          <w:bCs/>
        </w:rPr>
        <w:t>monoclonal antibody</w:t>
      </w:r>
      <w:r>
        <w:t xml:space="preserve"> (BAFF-R inhibitor with ADCC-mediated B-cell depletion) — outside our direct platform scope as a biologic.</w:t>
      </w:r>
    </w:p>
    <w:p w14:paraId="1AF075D7" w14:textId="77777777" w:rsidR="008C2F14" w:rsidRDefault="00000000">
      <w:pPr>
        <w:pStyle w:val="BodyText"/>
      </w:pPr>
      <w:r>
        <w:rPr>
          <w:b/>
          <w:bCs/>
        </w:rPr>
        <w:t>However — Strategic Next-Gen SM Opportunity:</w:t>
      </w:r>
    </w:p>
    <w:p w14:paraId="15E588E8" w14:textId="77777777" w:rsidR="008C2F14" w:rsidRDefault="00000000">
      <w:pPr>
        <w:pStyle w:val="BlockText"/>
      </w:pPr>
      <w:r>
        <w:rPr>
          <w:b/>
          <w:bCs/>
        </w:rPr>
        <w:t>BAFF-R (B-cell Activating Factor Receptor)</w:t>
      </w:r>
      <w:r>
        <w:t xml:space="preserve"> is a validated, structurally characterised target with known crystal structures available. The success of ianalumab as a biologic </w:t>
      </w:r>
      <w:r>
        <w:rPr>
          <w:i/>
          <w:iCs/>
        </w:rPr>
        <w:t>validates the target biology</w:t>
      </w:r>
      <w:r>
        <w:t xml:space="preserve"> for Sjögren’s and other B-cell-driven autoimmune diseases. Our platform can initiate a </w:t>
      </w:r>
      <w:r>
        <w:rPr>
          <w:b/>
          <w:bCs/>
        </w:rPr>
        <w:t>next-generation small-molecule BAFF-R inhibitor programme</w:t>
      </w:r>
      <w:r>
        <w:t xml:space="preserve"> as a potential oral alternative to parenteral antibody therapy.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02"/>
        <w:gridCol w:w="3409"/>
        <w:gridCol w:w="3365"/>
      </w:tblGrid>
      <w:tr w:rsidR="008C2F14" w14:paraId="6DEFE8D2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1C1F0EB" w14:textId="77777777" w:rsidR="008C2F14" w:rsidRDefault="00000000">
            <w:pPr>
              <w:pStyle w:val="Compact"/>
            </w:pPr>
            <w:r>
              <w:t>Programme Opportunity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442989" w14:textId="77777777" w:rsidR="008C2F14" w:rsidRDefault="00000000">
            <w:pPr>
              <w:pStyle w:val="Compact"/>
            </w:pPr>
            <w:r>
              <w:t>Zerokost Capability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FA2F28" w14:textId="77777777" w:rsidR="008C2F14" w:rsidRDefault="00000000">
            <w:pPr>
              <w:pStyle w:val="Compact"/>
            </w:pPr>
            <w:r>
              <w:t>Strategic Value</w:t>
            </w:r>
          </w:p>
        </w:tc>
      </w:tr>
      <w:tr w:rsidR="008C2F14" w14:paraId="0AEA15B7" w14:textId="77777777" w:rsidTr="002D6D8D">
        <w:tc>
          <w:tcPr>
            <w:tcW w:w="0" w:type="auto"/>
          </w:tcPr>
          <w:p w14:paraId="27C3B195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Small-molecule BAFF-R binder discovery</w:t>
            </w:r>
          </w:p>
        </w:tc>
        <w:tc>
          <w:tcPr>
            <w:tcW w:w="0" w:type="auto"/>
          </w:tcPr>
          <w:p w14:paraId="19806D2F" w14:textId="77777777" w:rsidR="008C2F14" w:rsidRDefault="00000000">
            <w:pPr>
              <w:pStyle w:val="Compact"/>
            </w:pPr>
            <w:r>
              <w:t>ML screening of BAFF•BAFF-R PPI interface disruptors</w:t>
            </w:r>
          </w:p>
        </w:tc>
        <w:tc>
          <w:tcPr>
            <w:tcW w:w="0" w:type="auto"/>
          </w:tcPr>
          <w:p w14:paraId="6EE9658F" w14:textId="77777777" w:rsidR="008C2F14" w:rsidRDefault="00000000">
            <w:pPr>
              <w:pStyle w:val="Compact"/>
            </w:pPr>
            <w:r>
              <w:t>First-in-class oral BAFF-R antagonist for Sjögren’s</w:t>
            </w:r>
          </w:p>
        </w:tc>
      </w:tr>
      <w:tr w:rsidR="008C2F14" w14:paraId="1C82BE53" w14:textId="77777777" w:rsidTr="002D6D8D">
        <w:tc>
          <w:tcPr>
            <w:tcW w:w="0" w:type="auto"/>
          </w:tcPr>
          <w:p w14:paraId="514FBD36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PPI interface hot-spot mapping</w:t>
            </w:r>
          </w:p>
        </w:tc>
        <w:tc>
          <w:tcPr>
            <w:tcW w:w="0" w:type="auto"/>
          </w:tcPr>
          <w:p w14:paraId="7B1A8F24" w14:textId="77777777" w:rsidR="008C2F14" w:rsidRDefault="00000000">
            <w:pPr>
              <w:pStyle w:val="Compact"/>
            </w:pPr>
            <w:r>
              <w:t>Docking against BAFF-R extracellular domain (PDB: 1RJ8)</w:t>
            </w:r>
          </w:p>
        </w:tc>
        <w:tc>
          <w:tcPr>
            <w:tcW w:w="0" w:type="auto"/>
          </w:tcPr>
          <w:p w14:paraId="44F23FB4" w14:textId="77777777" w:rsidR="008C2F14" w:rsidRDefault="00000000">
            <w:pPr>
              <w:pStyle w:val="Compact"/>
            </w:pPr>
            <w:r>
              <w:t>Identify fragment hits at protein-protein interaction interface</w:t>
            </w:r>
          </w:p>
        </w:tc>
      </w:tr>
      <w:tr w:rsidR="008C2F14" w14:paraId="3717ADB8" w14:textId="77777777" w:rsidTr="002D6D8D">
        <w:tc>
          <w:tcPr>
            <w:tcW w:w="0" w:type="auto"/>
          </w:tcPr>
          <w:p w14:paraId="5ECC3923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ADMET for oral autoimmune</w:t>
            </w:r>
          </w:p>
        </w:tc>
        <w:tc>
          <w:tcPr>
            <w:tcW w:w="0" w:type="auto"/>
          </w:tcPr>
          <w:p w14:paraId="5BB8DC63" w14:textId="77777777" w:rsidR="008C2F14" w:rsidRDefault="00000000">
            <w:pPr>
              <w:pStyle w:val="Compact"/>
            </w:pPr>
            <w:r>
              <w:t>Oral bioavailability, CNS exclusion, metabolic stability</w:t>
            </w:r>
          </w:p>
        </w:tc>
        <w:tc>
          <w:tcPr>
            <w:tcW w:w="0" w:type="auto"/>
          </w:tcPr>
          <w:p w14:paraId="5DEBB8A6" w14:textId="77777777" w:rsidR="008C2F14" w:rsidRDefault="00000000">
            <w:pPr>
              <w:pStyle w:val="Compact"/>
            </w:pPr>
            <w:r>
              <w:t>Develop once-daily oral formulation as biologic alternative</w:t>
            </w:r>
          </w:p>
        </w:tc>
      </w:tr>
    </w:tbl>
    <w:p w14:paraId="22703786" w14:textId="77777777" w:rsidR="008C2F14" w:rsidRDefault="00000000">
      <w:r>
        <w:pict w14:anchorId="67130A40">
          <v:rect id="_x0000_i1033" style="width:0;height:1.5pt" o:hralign="center" o:hrstd="t" o:hr="t"/>
        </w:pict>
      </w:r>
    </w:p>
    <w:p w14:paraId="41BB41CB" w14:textId="27E8F93B" w:rsidR="008C2F14" w:rsidRPr="002D6D8D" w:rsidRDefault="00000000">
      <w:pPr>
        <w:pStyle w:val="Heading3"/>
        <w:rPr>
          <w:sz w:val="28"/>
          <w:szCs w:val="28"/>
        </w:rPr>
      </w:pPr>
      <w:bookmarkStart w:id="17" w:name="Xa960a72108440241c6ba5129851270702c42dc1"/>
      <w:bookmarkStart w:id="18" w:name="performance-benchmarks"/>
      <w:bookmarkEnd w:id="6"/>
      <w:bookmarkEnd w:id="16"/>
      <w:r w:rsidRPr="002D6D8D">
        <w:rPr>
          <w:sz w:val="28"/>
          <w:szCs w:val="28"/>
        </w:rPr>
        <w:t>4</w:t>
      </w:r>
      <w:r w:rsidR="002D6D8D">
        <w:rPr>
          <w:sz w:val="28"/>
          <w:szCs w:val="28"/>
        </w:rPr>
        <w:t>.</w:t>
      </w:r>
      <w:r w:rsidRPr="002D6D8D">
        <w:rPr>
          <w:sz w:val="28"/>
          <w:szCs w:val="28"/>
        </w:rPr>
        <w:t xml:space="preserve"> Performance Benchmarks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20"/>
        <w:gridCol w:w="2965"/>
        <w:gridCol w:w="3091"/>
      </w:tblGrid>
      <w:tr w:rsidR="008C2F14" w14:paraId="6FF63C32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D7E9DA" w14:textId="77777777" w:rsidR="008C2F14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33399F" w14:textId="77777777" w:rsidR="008C2F14" w:rsidRDefault="00000000">
            <w:pPr>
              <w:pStyle w:val="Compact"/>
            </w:pPr>
            <w:r>
              <w:t>Traditional Approach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536520A" w14:textId="77777777" w:rsidR="008C2F14" w:rsidRDefault="00000000">
            <w:pPr>
              <w:pStyle w:val="Compact"/>
            </w:pPr>
            <w:r>
              <w:t>Zerokost Platform</w:t>
            </w:r>
          </w:p>
        </w:tc>
      </w:tr>
      <w:tr w:rsidR="008C2F14" w14:paraId="1F829367" w14:textId="77777777" w:rsidTr="002D6D8D">
        <w:tc>
          <w:tcPr>
            <w:tcW w:w="0" w:type="auto"/>
          </w:tcPr>
          <w:p w14:paraId="54703FF3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Screening throughput</w:t>
            </w:r>
          </w:p>
        </w:tc>
        <w:tc>
          <w:tcPr>
            <w:tcW w:w="0" w:type="auto"/>
          </w:tcPr>
          <w:p w14:paraId="71523BCB" w14:textId="77777777" w:rsidR="008C2F14" w:rsidRDefault="00000000">
            <w:pPr>
              <w:pStyle w:val="Compact"/>
            </w:pPr>
            <w:r>
              <w:t xml:space="preserve">Wet assay: ~5,000 </w:t>
            </w:r>
            <w:r>
              <w:lastRenderedPageBreak/>
              <w:t>cpd/week</w:t>
            </w:r>
          </w:p>
        </w:tc>
        <w:tc>
          <w:tcPr>
            <w:tcW w:w="0" w:type="auto"/>
          </w:tcPr>
          <w:p w14:paraId="7ACCD7E0" w14:textId="77777777" w:rsidR="008C2F14" w:rsidRDefault="00000000">
            <w:pPr>
              <w:pStyle w:val="Compact"/>
            </w:pPr>
            <w:r>
              <w:lastRenderedPageBreak/>
              <w:t xml:space="preserve">ML model: 1,000,000+ </w:t>
            </w:r>
            <w:r>
              <w:lastRenderedPageBreak/>
              <w:t>cpd/day</w:t>
            </w:r>
          </w:p>
        </w:tc>
      </w:tr>
      <w:tr w:rsidR="008C2F14" w14:paraId="7A2A238F" w14:textId="77777777" w:rsidTr="002D6D8D">
        <w:tc>
          <w:tcPr>
            <w:tcW w:w="0" w:type="auto"/>
          </w:tcPr>
          <w:p w14:paraId="6F5DA6F7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Time to ranked hit list</w:t>
            </w:r>
          </w:p>
        </w:tc>
        <w:tc>
          <w:tcPr>
            <w:tcW w:w="0" w:type="auto"/>
          </w:tcPr>
          <w:p w14:paraId="76DB35AF" w14:textId="77777777" w:rsidR="008C2F14" w:rsidRDefault="00000000">
            <w:pPr>
              <w:pStyle w:val="Compact"/>
            </w:pPr>
            <w:r>
              <w:t>4–12 weeks</w:t>
            </w:r>
          </w:p>
        </w:tc>
        <w:tc>
          <w:tcPr>
            <w:tcW w:w="0" w:type="auto"/>
          </w:tcPr>
          <w:p w14:paraId="52A76067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&lt; 24 hours</w:t>
            </w:r>
          </w:p>
        </w:tc>
      </w:tr>
      <w:tr w:rsidR="008C2F14" w14:paraId="31666F52" w14:textId="77777777" w:rsidTr="002D6D8D">
        <w:tc>
          <w:tcPr>
            <w:tcW w:w="0" w:type="auto"/>
          </w:tcPr>
          <w:p w14:paraId="3DA3247A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Cost per compound (early screen)</w:t>
            </w:r>
          </w:p>
        </w:tc>
        <w:tc>
          <w:tcPr>
            <w:tcW w:w="0" w:type="auto"/>
          </w:tcPr>
          <w:p w14:paraId="36BB3C28" w14:textId="77777777" w:rsidR="008C2F14" w:rsidRDefault="00000000">
            <w:pPr>
              <w:pStyle w:val="Compact"/>
            </w:pPr>
            <w:r>
              <w:t>$500–$5,000</w:t>
            </w:r>
          </w:p>
        </w:tc>
        <w:tc>
          <w:tcPr>
            <w:tcW w:w="0" w:type="auto"/>
          </w:tcPr>
          <w:p w14:paraId="47FF8A38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&lt; $0.001 (compute)</w:t>
            </w:r>
          </w:p>
        </w:tc>
      </w:tr>
      <w:tr w:rsidR="008C2F14" w14:paraId="65E5AE9B" w14:textId="77777777" w:rsidTr="002D6D8D">
        <w:tc>
          <w:tcPr>
            <w:tcW w:w="0" w:type="auto"/>
          </w:tcPr>
          <w:p w14:paraId="41C9629F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Physics validation</w:t>
            </w:r>
          </w:p>
        </w:tc>
        <w:tc>
          <w:tcPr>
            <w:tcW w:w="0" w:type="auto"/>
          </w:tcPr>
          <w:p w14:paraId="65D952B0" w14:textId="77777777" w:rsidR="008C2F14" w:rsidRDefault="00000000">
            <w:pPr>
              <w:pStyle w:val="Compact"/>
            </w:pPr>
            <w:r>
              <w:t>X-ray crystallography</w:t>
            </w:r>
          </w:p>
        </w:tc>
        <w:tc>
          <w:tcPr>
            <w:tcW w:w="0" w:type="auto"/>
          </w:tcPr>
          <w:p w14:paraId="5D461D7A" w14:textId="77777777" w:rsidR="008C2F14" w:rsidRDefault="00000000">
            <w:pPr>
              <w:pStyle w:val="Compact"/>
            </w:pPr>
            <w:r>
              <w:t>AutoDock Vina ΔG (same-day)</w:t>
            </w:r>
          </w:p>
        </w:tc>
      </w:tr>
      <w:tr w:rsidR="008C2F14" w14:paraId="3B393D25" w14:textId="77777777" w:rsidTr="002D6D8D">
        <w:tc>
          <w:tcPr>
            <w:tcW w:w="0" w:type="auto"/>
          </w:tcPr>
          <w:p w14:paraId="37684F9E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ADMET filter integration</w:t>
            </w:r>
          </w:p>
        </w:tc>
        <w:tc>
          <w:tcPr>
            <w:tcW w:w="0" w:type="auto"/>
          </w:tcPr>
          <w:p w14:paraId="37C33C09" w14:textId="77777777" w:rsidR="008C2F14" w:rsidRDefault="00000000">
            <w:pPr>
              <w:pStyle w:val="Compact"/>
            </w:pPr>
            <w:r>
              <w:t>Manual, post-selection</w:t>
            </w:r>
          </w:p>
        </w:tc>
        <w:tc>
          <w:tcPr>
            <w:tcW w:w="0" w:type="auto"/>
          </w:tcPr>
          <w:p w14:paraId="57E304BA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Automated, inline</w:t>
            </w:r>
          </w:p>
        </w:tc>
      </w:tr>
    </w:tbl>
    <w:p w14:paraId="1DEB8BA9" w14:textId="77777777" w:rsidR="008C2F14" w:rsidRDefault="00000000">
      <w:r>
        <w:pict w14:anchorId="607D310F">
          <v:rect id="_x0000_i1034" style="width:0;height:1.5pt" o:hralign="center" o:hrstd="t" o:hr="t"/>
        </w:pict>
      </w:r>
    </w:p>
    <w:p w14:paraId="7059965A" w14:textId="77777777" w:rsidR="008C2F14" w:rsidRDefault="00000000">
      <w:pPr>
        <w:pStyle w:val="Heading2"/>
      </w:pPr>
      <w:bookmarkStart w:id="19" w:name="X9ae52101b0228701d85e74ff4ecfba04e11db4a"/>
      <w:bookmarkEnd w:id="17"/>
      <w:bookmarkEnd w:id="18"/>
      <w:r>
        <w:t>5. Closed-Loop AI Learning — Proprietary Data Moat</w:t>
      </w:r>
    </w:p>
    <w:p w14:paraId="24D84C10" w14:textId="5EA4D1D6" w:rsidR="008C2F14" w:rsidRDefault="00000000" w:rsidP="002D6D8D">
      <w:pPr>
        <w:pStyle w:val="FirstParagraph"/>
      </w:pPr>
      <w:r>
        <w:t>Every wet-lab result from Novartis partner experiments feeds back into the Genesys Quantis screening model: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91"/>
        <w:gridCol w:w="4096"/>
        <w:gridCol w:w="2789"/>
      </w:tblGrid>
      <w:tr w:rsidR="008C2F14" w14:paraId="75481BBD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8EABD4F" w14:textId="77777777" w:rsidR="008C2F14" w:rsidRDefault="00000000">
            <w:pPr>
              <w:pStyle w:val="Compact"/>
            </w:pPr>
            <w:r>
              <w:t>Data Dimension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6D3BB9" w14:textId="77777777" w:rsidR="008C2F14" w:rsidRDefault="00000000">
            <w:pPr>
              <w:pStyle w:val="Compact"/>
            </w:pPr>
            <w:r>
              <w:t>Public Databases (ChEMBL, PubChem)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98C846" w14:textId="77777777" w:rsidR="008C2F14" w:rsidRDefault="00000000">
            <w:pPr>
              <w:pStyle w:val="Compact"/>
            </w:pPr>
            <w:r>
              <w:t>Zerokost Closed-Loop DB</w:t>
            </w:r>
          </w:p>
        </w:tc>
      </w:tr>
      <w:tr w:rsidR="008C2F14" w14:paraId="1F2B2292" w14:textId="77777777" w:rsidTr="002D6D8D">
        <w:tc>
          <w:tcPr>
            <w:tcW w:w="0" w:type="auto"/>
          </w:tcPr>
          <w:p w14:paraId="6A5D2635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Kinase / BET Coverage</w:t>
            </w:r>
          </w:p>
        </w:tc>
        <w:tc>
          <w:tcPr>
            <w:tcW w:w="0" w:type="auto"/>
          </w:tcPr>
          <w:p w14:paraId="128FA589" w14:textId="77777777" w:rsidR="008C2F14" w:rsidRDefault="00000000">
            <w:pPr>
              <w:pStyle w:val="Compact"/>
            </w:pPr>
            <w:r>
              <w:t>General, historic</w:t>
            </w:r>
          </w:p>
        </w:tc>
        <w:tc>
          <w:tcPr>
            <w:tcW w:w="0" w:type="auto"/>
          </w:tcPr>
          <w:p w14:paraId="2BCE29ED" w14:textId="77777777" w:rsidR="008C2F14" w:rsidRDefault="00000000">
            <w:pPr>
              <w:pStyle w:val="Compact"/>
            </w:pPr>
            <w:r>
              <w:t>Target-specific, current</w:t>
            </w:r>
          </w:p>
        </w:tc>
      </w:tr>
      <w:tr w:rsidR="008C2F14" w14:paraId="2129153B" w14:textId="77777777" w:rsidTr="002D6D8D">
        <w:tc>
          <w:tcPr>
            <w:tcW w:w="0" w:type="auto"/>
          </w:tcPr>
          <w:p w14:paraId="54D9FABA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Negative Data</w:t>
            </w:r>
          </w:p>
        </w:tc>
        <w:tc>
          <w:tcPr>
            <w:tcW w:w="0" w:type="auto"/>
          </w:tcPr>
          <w:p w14:paraId="49749A8B" w14:textId="77777777" w:rsidR="008C2F14" w:rsidRDefault="00000000">
            <w:pPr>
              <w:pStyle w:val="Compact"/>
            </w:pPr>
            <w:r>
              <w:t>Rarely published</w:t>
            </w:r>
          </w:p>
        </w:tc>
        <w:tc>
          <w:tcPr>
            <w:tcW w:w="0" w:type="auto"/>
          </w:tcPr>
          <w:p w14:paraId="1959B2B2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Fully captured</w:t>
            </w:r>
          </w:p>
        </w:tc>
      </w:tr>
      <w:tr w:rsidR="008C2F14" w14:paraId="416694B3" w14:textId="77777777" w:rsidTr="002D6D8D">
        <w:tc>
          <w:tcPr>
            <w:tcW w:w="0" w:type="auto"/>
          </w:tcPr>
          <w:p w14:paraId="4020459C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Feedback Loop</w:t>
            </w:r>
          </w:p>
        </w:tc>
        <w:tc>
          <w:tcPr>
            <w:tcW w:w="0" w:type="auto"/>
          </w:tcPr>
          <w:p w14:paraId="311B4EF5" w14:textId="77777777" w:rsidR="008C2F14" w:rsidRDefault="00000000">
            <w:pPr>
              <w:pStyle w:val="Compact"/>
            </w:pPr>
            <w:r>
              <w:t>None</w:t>
            </w:r>
          </w:p>
        </w:tc>
        <w:tc>
          <w:tcPr>
            <w:tcW w:w="0" w:type="auto"/>
          </w:tcPr>
          <w:p w14:paraId="7FB0EC4F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Continuous retraining</w:t>
            </w:r>
          </w:p>
        </w:tc>
      </w:tr>
      <w:tr w:rsidR="008C2F14" w14:paraId="64EDAF58" w14:textId="77777777" w:rsidTr="002D6D8D">
        <w:tc>
          <w:tcPr>
            <w:tcW w:w="0" w:type="auto"/>
          </w:tcPr>
          <w:p w14:paraId="17637690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Proprietary</w:t>
            </w:r>
          </w:p>
        </w:tc>
        <w:tc>
          <w:tcPr>
            <w:tcW w:w="0" w:type="auto"/>
          </w:tcPr>
          <w:p w14:paraId="5DC83C7D" w14:textId="77777777" w:rsidR="008C2F14" w:rsidRDefault="00000000">
            <w:pPr>
              <w:pStyle w:val="Compact"/>
            </w:pPr>
            <w:r>
              <w:t>Open-access</w:t>
            </w:r>
          </w:p>
        </w:tc>
        <w:tc>
          <w:tcPr>
            <w:tcW w:w="0" w:type="auto"/>
          </w:tcPr>
          <w:p w14:paraId="65C580DE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IP-protected</w:t>
            </w:r>
          </w:p>
        </w:tc>
      </w:tr>
    </w:tbl>
    <w:p w14:paraId="0D6CB5FD" w14:textId="77777777" w:rsidR="008C2F14" w:rsidRDefault="00000000">
      <w:r>
        <w:pict w14:anchorId="3DCFF74C">
          <v:rect id="_x0000_i1035" style="width:0;height:1.5pt" o:hralign="center" o:hrstd="t" o:hr="t"/>
        </w:pict>
      </w:r>
    </w:p>
    <w:p w14:paraId="1E8E576C" w14:textId="77777777" w:rsidR="008C2F14" w:rsidRDefault="00000000">
      <w:pPr>
        <w:pStyle w:val="Heading2"/>
      </w:pPr>
      <w:bookmarkStart w:id="20" w:name="live-demonstration-readiness"/>
      <w:bookmarkEnd w:id="19"/>
      <w:r>
        <w:t>6. Live Demonstration Readiness</w:t>
      </w:r>
    </w:p>
    <w:p w14:paraId="55BC79AA" w14:textId="77777777" w:rsidR="008C2F14" w:rsidRDefault="00000000">
      <w:pPr>
        <w:pStyle w:val="FirstParagraph"/>
      </w:pPr>
      <w:r>
        <w:t xml:space="preserve">The following can be demonstrated </w:t>
      </w:r>
      <w:r>
        <w:rPr>
          <w:b/>
          <w:bCs/>
        </w:rPr>
        <w:t>live</w:t>
      </w:r>
      <w:r>
        <w:t xml:space="preserve"> within 30 minutes for any of the 3 applicable Novartis targets:</w:t>
      </w:r>
    </w:p>
    <w:p w14:paraId="3A9447C6" w14:textId="77777777" w:rsidR="008C2F14" w:rsidRDefault="00000000">
      <w:pPr>
        <w:pStyle w:val="Heading3"/>
      </w:pPr>
      <w:bookmarkStart w:id="21" w:name="example-brd4-pelabresib-analog-screening"/>
      <w:r>
        <w:t>Example: BRD4 / pelabresib analog screening</w:t>
      </w:r>
    </w:p>
    <w:p w14:paraId="659248AD" w14:textId="77777777" w:rsidR="008C2F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Target Setup</w:t>
      </w:r>
      <w:r>
        <w:t>: Enter BRD4 → Fetch PDB structure → Display 3D bromodomain BD1/BD2 pocket</w:t>
      </w:r>
    </w:p>
    <w:p w14:paraId="37FAF535" w14:textId="77777777" w:rsidR="008C2F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Hit Screening</w:t>
      </w:r>
      <w:r>
        <w:t>: Upload compound library → ML inference → Ranked candidate table with predicted pIC50</w:t>
      </w:r>
    </w:p>
    <w:p w14:paraId="319DBC5C" w14:textId="77777777" w:rsidR="008C2F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Docking Simulation</w:t>
      </w:r>
      <w:r>
        <w:t>: Run AutoDock Vina on top-10 hits → View ΔG vs. pelabresib reference</w:t>
      </w:r>
    </w:p>
    <w:p w14:paraId="0B4FE18D" w14:textId="77777777" w:rsidR="008C2F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Lead Optimization</w:t>
      </w:r>
      <w:r>
        <w:t>: Evolve pelabresib scaffold → Display improved analog + score</w:t>
      </w:r>
    </w:p>
    <w:p w14:paraId="128CA6AE" w14:textId="77777777" w:rsidR="008C2F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ADMET Profile</w:t>
      </w:r>
      <w:r>
        <w:t>: One-click report (toxicity, hematological safety, oral bioavailability)</w:t>
      </w:r>
    </w:p>
    <w:p w14:paraId="38E32D7D" w14:textId="77777777" w:rsidR="008C2F1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Lab Hand-Off</w:t>
      </w:r>
      <w:r>
        <w:t>: Generate Opentrons OT-2 protocol for wet-lab validation</w:t>
      </w:r>
    </w:p>
    <w:p w14:paraId="5F182BCD" w14:textId="77777777" w:rsidR="008C2F14" w:rsidRDefault="00000000">
      <w:bookmarkStart w:id="22" w:name="api-endpoints-all-live"/>
      <w:bookmarkEnd w:id="21"/>
      <w:r>
        <w:pict w14:anchorId="6E4EF932">
          <v:rect id="_x0000_i1036" style="width:0;height:1.5pt" o:hralign="center" o:hrstd="t" o:hr="t"/>
        </w:pict>
      </w:r>
    </w:p>
    <w:p w14:paraId="3D5545B1" w14:textId="77777777" w:rsidR="008C2F14" w:rsidRDefault="00000000">
      <w:pPr>
        <w:pStyle w:val="Heading2"/>
      </w:pPr>
      <w:bookmarkStart w:id="23" w:name="strategic-value-to-novartis"/>
      <w:bookmarkEnd w:id="20"/>
      <w:bookmarkEnd w:id="22"/>
      <w:r>
        <w:lastRenderedPageBreak/>
        <w:t>7. Strategic Value to Novartis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587"/>
        <w:gridCol w:w="3989"/>
      </w:tblGrid>
      <w:tr w:rsidR="008C2F14" w14:paraId="7D62E950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B5F7890" w14:textId="77777777" w:rsidR="008C2F14" w:rsidRDefault="00000000">
            <w:pPr>
              <w:pStyle w:val="Compact"/>
            </w:pPr>
            <w:r>
              <w:t>Novartis Need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A0D6F2" w14:textId="77777777" w:rsidR="008C2F14" w:rsidRDefault="00000000">
            <w:pPr>
              <w:pStyle w:val="Compact"/>
            </w:pPr>
            <w:r>
              <w:t>Zerokost Capability</w:t>
            </w:r>
          </w:p>
        </w:tc>
      </w:tr>
      <w:tr w:rsidR="008C2F14" w14:paraId="05D4E2F2" w14:textId="77777777" w:rsidTr="002D6D8D">
        <w:tc>
          <w:tcPr>
            <w:tcW w:w="0" w:type="auto"/>
          </w:tcPr>
          <w:p w14:paraId="569D9560" w14:textId="77777777" w:rsidR="008C2F14" w:rsidRDefault="00000000">
            <w:pPr>
              <w:pStyle w:val="Compact"/>
            </w:pPr>
            <w:r>
              <w:t>Accelerate next-gen BET inhibitor discovery (pelabresib follow-on)</w:t>
            </w:r>
          </w:p>
        </w:tc>
        <w:tc>
          <w:tcPr>
            <w:tcW w:w="0" w:type="auto"/>
          </w:tcPr>
          <w:p w14:paraId="767872B1" w14:textId="77777777" w:rsidR="008C2F14" w:rsidRDefault="00000000">
            <w:pPr>
              <w:pStyle w:val="Compact"/>
            </w:pPr>
            <w:r>
              <w:t>✅ 1M+ compounds/day BRD4 ML inference</w:t>
            </w:r>
          </w:p>
        </w:tc>
      </w:tr>
      <w:tr w:rsidR="008C2F14" w14:paraId="1D25D534" w14:textId="77777777" w:rsidTr="002D6D8D">
        <w:tc>
          <w:tcPr>
            <w:tcW w:w="0" w:type="auto"/>
          </w:tcPr>
          <w:p w14:paraId="53130E18" w14:textId="77777777" w:rsidR="008C2F14" w:rsidRDefault="00000000">
            <w:pPr>
              <w:pStyle w:val="Compact"/>
            </w:pPr>
            <w:r>
              <w:t>Overcome emerging antimalarial resistance (ganaplacide follow-on)</w:t>
            </w:r>
          </w:p>
        </w:tc>
        <w:tc>
          <w:tcPr>
            <w:tcW w:w="0" w:type="auto"/>
          </w:tcPr>
          <w:p w14:paraId="1D1080B1" w14:textId="77777777" w:rsidR="008C2F14" w:rsidRDefault="00000000">
            <w:pPr>
              <w:pStyle w:val="Compact"/>
            </w:pPr>
            <w:r>
              <w:t>✅ PfPI4K resistance mutant screening panel</w:t>
            </w:r>
          </w:p>
        </w:tc>
      </w:tr>
      <w:tr w:rsidR="008C2F14" w14:paraId="0B2CFEB4" w14:textId="77777777" w:rsidTr="002D6D8D">
        <w:tc>
          <w:tcPr>
            <w:tcW w:w="0" w:type="auto"/>
          </w:tcPr>
          <w:p w14:paraId="4F70E9A2" w14:textId="77777777" w:rsidR="008C2F14" w:rsidRDefault="00000000">
            <w:pPr>
              <w:pStyle w:val="Compact"/>
            </w:pPr>
            <w:r>
              <w:t>BTK kinome-selective next-gen candidates (rilzabrutinib optimization)</w:t>
            </w:r>
          </w:p>
        </w:tc>
        <w:tc>
          <w:tcPr>
            <w:tcW w:w="0" w:type="auto"/>
          </w:tcPr>
          <w:p w14:paraId="39BFB91A" w14:textId="77777777" w:rsidR="008C2F14" w:rsidRDefault="00000000">
            <w:pPr>
              <w:pStyle w:val="Compact"/>
            </w:pPr>
            <w:r>
              <w:t>✅ Kinome selectivity profiling + covalent docking</w:t>
            </w:r>
          </w:p>
        </w:tc>
      </w:tr>
      <w:tr w:rsidR="008C2F14" w14:paraId="3B819536" w14:textId="77777777" w:rsidTr="002D6D8D">
        <w:tc>
          <w:tcPr>
            <w:tcW w:w="0" w:type="auto"/>
          </w:tcPr>
          <w:p w14:paraId="5833F437" w14:textId="77777777" w:rsidR="008C2F14" w:rsidRDefault="00000000">
            <w:pPr>
              <w:pStyle w:val="Compact"/>
            </w:pPr>
            <w:r>
              <w:t>Explore small-molecule BAFF-R next generation (ianalumab oral replacement)</w:t>
            </w:r>
          </w:p>
        </w:tc>
        <w:tc>
          <w:tcPr>
            <w:tcW w:w="0" w:type="auto"/>
          </w:tcPr>
          <w:p w14:paraId="5C2CBDFE" w14:textId="77777777" w:rsidR="008C2F14" w:rsidRDefault="00000000">
            <w:pPr>
              <w:pStyle w:val="Compact"/>
            </w:pPr>
            <w:r>
              <w:t>✅ BAFF-R PPI disruptor screening available</w:t>
            </w:r>
          </w:p>
        </w:tc>
      </w:tr>
      <w:tr w:rsidR="008C2F14" w14:paraId="33E388EC" w14:textId="77777777" w:rsidTr="002D6D8D">
        <w:tc>
          <w:tcPr>
            <w:tcW w:w="0" w:type="auto"/>
          </w:tcPr>
          <w:p w14:paraId="75460D95" w14:textId="77777777" w:rsidR="008C2F14" w:rsidRDefault="00000000">
            <w:pPr>
              <w:pStyle w:val="Compact"/>
            </w:pPr>
            <w:r>
              <w:t>Reduce costly early-stage wet assays</w:t>
            </w:r>
          </w:p>
        </w:tc>
        <w:tc>
          <w:tcPr>
            <w:tcW w:w="0" w:type="auto"/>
          </w:tcPr>
          <w:p w14:paraId="1B840C96" w14:textId="77777777" w:rsidR="008C2F14" w:rsidRDefault="00000000">
            <w:pPr>
              <w:pStyle w:val="Compact"/>
            </w:pPr>
            <w:r>
              <w:t>✅ ADMET + ΔG filter before lab</w:t>
            </w:r>
          </w:p>
        </w:tc>
      </w:tr>
      <w:tr w:rsidR="008C2F14" w14:paraId="46A44A9B" w14:textId="77777777" w:rsidTr="002D6D8D">
        <w:tc>
          <w:tcPr>
            <w:tcW w:w="0" w:type="auto"/>
          </w:tcPr>
          <w:p w14:paraId="3B088294" w14:textId="77777777" w:rsidR="008C2F14" w:rsidRDefault="00000000">
            <w:pPr>
              <w:pStyle w:val="Compact"/>
            </w:pPr>
            <w:r>
              <w:t>Regulatory data trail</w:t>
            </w:r>
          </w:p>
        </w:tc>
        <w:tc>
          <w:tcPr>
            <w:tcW w:w="0" w:type="auto"/>
          </w:tcPr>
          <w:p w14:paraId="50862E1F" w14:textId="77777777" w:rsidR="008C2F14" w:rsidRDefault="00000000">
            <w:pPr>
              <w:pStyle w:val="Compact"/>
            </w:pPr>
            <w:r>
              <w:t>✅ Full audit trail on all experiments</w:t>
            </w:r>
          </w:p>
        </w:tc>
      </w:tr>
      <w:tr w:rsidR="008C2F14" w14:paraId="2FDA7F4E" w14:textId="77777777" w:rsidTr="002D6D8D">
        <w:tc>
          <w:tcPr>
            <w:tcW w:w="0" w:type="auto"/>
          </w:tcPr>
          <w:p w14:paraId="27CEF301" w14:textId="77777777" w:rsidR="008C2F14" w:rsidRDefault="00000000">
            <w:pPr>
              <w:pStyle w:val="Compact"/>
            </w:pPr>
            <w:r>
              <w:t>Scalable infrastructure</w:t>
            </w:r>
          </w:p>
        </w:tc>
        <w:tc>
          <w:tcPr>
            <w:tcW w:w="0" w:type="auto"/>
          </w:tcPr>
          <w:p w14:paraId="494D26E8" w14:textId="77777777" w:rsidR="008C2F14" w:rsidRDefault="00000000">
            <w:pPr>
              <w:pStyle w:val="Compact"/>
            </w:pPr>
            <w:r>
              <w:t>✅ Celery + Redis async task queue</w:t>
            </w:r>
          </w:p>
        </w:tc>
      </w:tr>
    </w:tbl>
    <w:p w14:paraId="6C5291D3" w14:textId="77777777" w:rsidR="008C2F14" w:rsidRDefault="00000000">
      <w:r>
        <w:pict w14:anchorId="66BAE427">
          <v:rect id="_x0000_i1037" style="width:0;height:1.5pt" o:hralign="center" o:hrstd="t" o:hr="t"/>
        </w:pict>
      </w:r>
    </w:p>
    <w:p w14:paraId="36B13839" w14:textId="77777777" w:rsidR="008C2F14" w:rsidRDefault="00000000">
      <w:pPr>
        <w:pStyle w:val="Heading2"/>
      </w:pPr>
      <w:bookmarkStart w:id="24" w:name="proposed-engagement-model"/>
      <w:bookmarkEnd w:id="23"/>
      <w:r>
        <w:t>8. Proposed Engagement Model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98"/>
        <w:gridCol w:w="5297"/>
        <w:gridCol w:w="2081"/>
      </w:tblGrid>
      <w:tr w:rsidR="008C2F14" w14:paraId="48283F04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7C6C430" w14:textId="77777777" w:rsidR="008C2F14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614B57" w14:textId="77777777" w:rsidR="008C2F14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9423A5" w14:textId="77777777" w:rsidR="008C2F14" w:rsidRDefault="00000000">
            <w:pPr>
              <w:pStyle w:val="Compact"/>
            </w:pPr>
            <w:r>
              <w:t>Timeline</w:t>
            </w:r>
          </w:p>
        </w:tc>
      </w:tr>
      <w:tr w:rsidR="008C2F14" w14:paraId="2BABBF0C" w14:textId="77777777" w:rsidTr="002D6D8D">
        <w:tc>
          <w:tcPr>
            <w:tcW w:w="0" w:type="auto"/>
          </w:tcPr>
          <w:p w14:paraId="4B0660A2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Phase 1 — Proof of Value</w:t>
            </w:r>
          </w:p>
        </w:tc>
        <w:tc>
          <w:tcPr>
            <w:tcW w:w="0" w:type="auto"/>
          </w:tcPr>
          <w:p w14:paraId="4EB5FB12" w14:textId="77777777" w:rsidR="008C2F14" w:rsidRDefault="00000000">
            <w:pPr>
              <w:pStyle w:val="Compact"/>
            </w:pPr>
            <w:r>
              <w:t>Live 30-min platform demo on BRD4/BTK target of choice</w:t>
            </w:r>
          </w:p>
        </w:tc>
        <w:tc>
          <w:tcPr>
            <w:tcW w:w="0" w:type="auto"/>
          </w:tcPr>
          <w:p w14:paraId="366DC1AC" w14:textId="77777777" w:rsidR="008C2F14" w:rsidRDefault="00000000">
            <w:pPr>
              <w:pStyle w:val="Compact"/>
            </w:pPr>
            <w:r>
              <w:t>On request (&lt; 48hr notice)</w:t>
            </w:r>
          </w:p>
        </w:tc>
      </w:tr>
      <w:tr w:rsidR="008C2F14" w14:paraId="15099DF3" w14:textId="77777777" w:rsidTr="002D6D8D">
        <w:tc>
          <w:tcPr>
            <w:tcW w:w="0" w:type="auto"/>
          </w:tcPr>
          <w:p w14:paraId="76CD07D9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Phase 2 — Pilot Screen</w:t>
            </w:r>
          </w:p>
        </w:tc>
        <w:tc>
          <w:tcPr>
            <w:tcW w:w="0" w:type="auto"/>
          </w:tcPr>
          <w:p w14:paraId="32B2FD87" w14:textId="77777777" w:rsidR="008C2F14" w:rsidRDefault="00000000">
            <w:pPr>
              <w:pStyle w:val="Compact"/>
            </w:pPr>
            <w:r>
              <w:t>10,000–100,000 compound screen on agreed Novartis target</w:t>
            </w:r>
          </w:p>
        </w:tc>
        <w:tc>
          <w:tcPr>
            <w:tcW w:w="0" w:type="auto"/>
          </w:tcPr>
          <w:p w14:paraId="17B4FAE3" w14:textId="77777777" w:rsidR="008C2F14" w:rsidRDefault="00000000">
            <w:pPr>
              <w:pStyle w:val="Compact"/>
            </w:pPr>
            <w:r>
              <w:t>1–2 weeks post-agreement</w:t>
            </w:r>
          </w:p>
        </w:tc>
      </w:tr>
      <w:tr w:rsidR="008C2F14" w14:paraId="5BFE82F9" w14:textId="77777777" w:rsidTr="002D6D8D">
        <w:tc>
          <w:tcPr>
            <w:tcW w:w="0" w:type="auto"/>
          </w:tcPr>
          <w:p w14:paraId="2CFD31B2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Phase 3 — Partnership</w:t>
            </w:r>
          </w:p>
        </w:tc>
        <w:tc>
          <w:tcPr>
            <w:tcW w:w="0" w:type="auto"/>
          </w:tcPr>
          <w:p w14:paraId="086838E8" w14:textId="77777777" w:rsidR="008C2F14" w:rsidRDefault="00000000">
            <w:pPr>
              <w:pStyle w:val="Compact"/>
            </w:pPr>
            <w:r>
              <w:t>Full closed-loop screening partnership: compound delivery, wet-lab feedback loop, IP-sharing</w:t>
            </w:r>
          </w:p>
        </w:tc>
        <w:tc>
          <w:tcPr>
            <w:tcW w:w="0" w:type="auto"/>
          </w:tcPr>
          <w:p w14:paraId="215BDB73" w14:textId="77777777" w:rsidR="008C2F14" w:rsidRDefault="00000000">
            <w:pPr>
              <w:pStyle w:val="Compact"/>
            </w:pPr>
            <w:r>
              <w:t>Q2/Q3 2026</w:t>
            </w:r>
          </w:p>
        </w:tc>
      </w:tr>
    </w:tbl>
    <w:p w14:paraId="4DF36D23" w14:textId="77777777" w:rsidR="008C2F14" w:rsidRDefault="00000000">
      <w:r>
        <w:pict w14:anchorId="2ACFA913">
          <v:rect id="_x0000_i1038" style="width:0;height:1.5pt" o:hralign="center" o:hrstd="t" o:hr="t"/>
        </w:pict>
      </w:r>
    </w:p>
    <w:p w14:paraId="0EAEBA06" w14:textId="77777777" w:rsidR="008C2F14" w:rsidRDefault="00000000">
      <w:pPr>
        <w:pStyle w:val="Heading2"/>
      </w:pPr>
      <w:bookmarkStart w:id="25" w:name="next-steps"/>
      <w:bookmarkEnd w:id="24"/>
      <w:r>
        <w:t>9. Next Steps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50"/>
        <w:gridCol w:w="2271"/>
        <w:gridCol w:w="2655"/>
      </w:tblGrid>
      <w:tr w:rsidR="008C2F14" w14:paraId="1C227654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02337A4" w14:textId="77777777" w:rsidR="008C2F14" w:rsidRDefault="00000000">
            <w:pPr>
              <w:pStyle w:val="Compact"/>
            </w:pPr>
            <w:r>
              <w:t>Action Item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1A8903" w14:textId="77777777" w:rsidR="008C2F14" w:rsidRDefault="00000000">
            <w:pPr>
              <w:pStyle w:val="Compact"/>
            </w:pPr>
            <w:r>
              <w:t>Owner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070A4A" w14:textId="77777777" w:rsidR="008C2F14" w:rsidRDefault="00000000">
            <w:pPr>
              <w:pStyle w:val="Compact"/>
            </w:pPr>
            <w:r>
              <w:t>Target Date</w:t>
            </w:r>
          </w:p>
        </w:tc>
      </w:tr>
      <w:tr w:rsidR="008C2F14" w14:paraId="3D1D6DA0" w14:textId="77777777" w:rsidTr="002D6D8D">
        <w:tc>
          <w:tcPr>
            <w:tcW w:w="0" w:type="auto"/>
          </w:tcPr>
          <w:p w14:paraId="712225E4" w14:textId="77777777" w:rsidR="008C2F14" w:rsidRDefault="00000000">
            <w:pPr>
              <w:pStyle w:val="Compact"/>
            </w:pPr>
            <w:r>
              <w:t>Live platform walkthrough (BRD4 or BTK target)</w:t>
            </w:r>
          </w:p>
        </w:tc>
        <w:tc>
          <w:tcPr>
            <w:tcW w:w="0" w:type="auto"/>
          </w:tcPr>
          <w:p w14:paraId="46149091" w14:textId="77777777" w:rsidR="008C2F14" w:rsidRDefault="00000000">
            <w:pPr>
              <w:pStyle w:val="Compact"/>
            </w:pPr>
            <w:r>
              <w:t>Zerokost Engineering</w:t>
            </w:r>
          </w:p>
        </w:tc>
        <w:tc>
          <w:tcPr>
            <w:tcW w:w="0" w:type="auto"/>
          </w:tcPr>
          <w:p w14:paraId="1DFAE484" w14:textId="77777777" w:rsidR="008C2F14" w:rsidRDefault="00000000">
            <w:pPr>
              <w:pStyle w:val="Compact"/>
            </w:pPr>
            <w:r>
              <w:t>On request (&lt; 48hr notice)</w:t>
            </w:r>
          </w:p>
        </w:tc>
      </w:tr>
      <w:tr w:rsidR="008C2F14" w14:paraId="342A7349" w14:textId="77777777" w:rsidTr="002D6D8D">
        <w:tc>
          <w:tcPr>
            <w:tcW w:w="0" w:type="auto"/>
          </w:tcPr>
          <w:p w14:paraId="2D036C84" w14:textId="77777777" w:rsidR="008C2F14" w:rsidRDefault="00000000">
            <w:pPr>
              <w:pStyle w:val="Compact"/>
            </w:pPr>
            <w:r>
              <w:t>BRD4 benchmark — pelabresib vs. 10k analogs</w:t>
            </w:r>
          </w:p>
        </w:tc>
        <w:tc>
          <w:tcPr>
            <w:tcW w:w="0" w:type="auto"/>
          </w:tcPr>
          <w:p w14:paraId="7766D22D" w14:textId="77777777" w:rsidR="008C2F14" w:rsidRDefault="00000000">
            <w:pPr>
              <w:pStyle w:val="Compact"/>
            </w:pPr>
            <w:r>
              <w:t>Research Team</w:t>
            </w:r>
          </w:p>
        </w:tc>
        <w:tc>
          <w:tcPr>
            <w:tcW w:w="0" w:type="auto"/>
          </w:tcPr>
          <w:p w14:paraId="3E99FA77" w14:textId="77777777" w:rsidR="008C2F14" w:rsidRDefault="00000000">
            <w:pPr>
              <w:pStyle w:val="Compact"/>
            </w:pPr>
            <w:r>
              <w:t>Within 1 week of MOU</w:t>
            </w:r>
          </w:p>
        </w:tc>
      </w:tr>
      <w:tr w:rsidR="008C2F14" w14:paraId="689B207F" w14:textId="77777777" w:rsidTr="002D6D8D">
        <w:tc>
          <w:tcPr>
            <w:tcW w:w="0" w:type="auto"/>
          </w:tcPr>
          <w:p w14:paraId="5B957901" w14:textId="77777777" w:rsidR="008C2F14" w:rsidRDefault="00000000">
            <w:pPr>
              <w:pStyle w:val="Compact"/>
            </w:pPr>
            <w:r>
              <w:t>PfPI4K resistance mutant docking report</w:t>
            </w:r>
          </w:p>
        </w:tc>
        <w:tc>
          <w:tcPr>
            <w:tcW w:w="0" w:type="auto"/>
          </w:tcPr>
          <w:p w14:paraId="10501221" w14:textId="77777777" w:rsidR="008C2F14" w:rsidRDefault="00000000">
            <w:pPr>
              <w:pStyle w:val="Compact"/>
            </w:pPr>
            <w:r>
              <w:t>Zerokost Research</w:t>
            </w:r>
          </w:p>
        </w:tc>
        <w:tc>
          <w:tcPr>
            <w:tcW w:w="0" w:type="auto"/>
          </w:tcPr>
          <w:p w14:paraId="6AD42BA4" w14:textId="77777777" w:rsidR="008C2F14" w:rsidRDefault="00000000">
            <w:pPr>
              <w:pStyle w:val="Compact"/>
            </w:pPr>
            <w:r>
              <w:t>Within 1 week of MOU</w:t>
            </w:r>
          </w:p>
        </w:tc>
      </w:tr>
      <w:tr w:rsidR="008C2F14" w14:paraId="27764626" w14:textId="77777777" w:rsidTr="002D6D8D">
        <w:tc>
          <w:tcPr>
            <w:tcW w:w="0" w:type="auto"/>
          </w:tcPr>
          <w:p w14:paraId="223A93F6" w14:textId="77777777" w:rsidR="008C2F14" w:rsidRDefault="00000000">
            <w:pPr>
              <w:pStyle w:val="Compact"/>
            </w:pPr>
            <w:r>
              <w:t>BTK covalent docking demo (C481 pocket)</w:t>
            </w:r>
          </w:p>
        </w:tc>
        <w:tc>
          <w:tcPr>
            <w:tcW w:w="0" w:type="auto"/>
          </w:tcPr>
          <w:p w14:paraId="3C4B0674" w14:textId="77777777" w:rsidR="008C2F14" w:rsidRDefault="00000000">
            <w:pPr>
              <w:pStyle w:val="Compact"/>
            </w:pPr>
            <w:r>
              <w:t>Engineering</w:t>
            </w:r>
          </w:p>
        </w:tc>
        <w:tc>
          <w:tcPr>
            <w:tcW w:w="0" w:type="auto"/>
          </w:tcPr>
          <w:p w14:paraId="254371ED" w14:textId="77777777" w:rsidR="008C2F14" w:rsidRDefault="00000000">
            <w:pPr>
              <w:pStyle w:val="Compact"/>
            </w:pPr>
            <w:r>
              <w:t>On request</w:t>
            </w:r>
          </w:p>
        </w:tc>
      </w:tr>
      <w:tr w:rsidR="008C2F14" w14:paraId="1C90DA34" w14:textId="77777777" w:rsidTr="002D6D8D">
        <w:tc>
          <w:tcPr>
            <w:tcW w:w="0" w:type="auto"/>
          </w:tcPr>
          <w:p w14:paraId="7F6DEA5B" w14:textId="77777777" w:rsidR="008C2F14" w:rsidRDefault="00000000">
            <w:pPr>
              <w:pStyle w:val="Compact"/>
            </w:pPr>
            <w:r>
              <w:t>BAFF-R small-molecule feasibility analysis</w:t>
            </w:r>
          </w:p>
        </w:tc>
        <w:tc>
          <w:tcPr>
            <w:tcW w:w="0" w:type="auto"/>
          </w:tcPr>
          <w:p w14:paraId="36C49AFF" w14:textId="77777777" w:rsidR="008C2F14" w:rsidRDefault="00000000">
            <w:pPr>
              <w:pStyle w:val="Compact"/>
            </w:pPr>
            <w:r>
              <w:t>Research Team</w:t>
            </w:r>
          </w:p>
        </w:tc>
        <w:tc>
          <w:tcPr>
            <w:tcW w:w="0" w:type="auto"/>
          </w:tcPr>
          <w:p w14:paraId="2F7AFEE1" w14:textId="77777777" w:rsidR="008C2F14" w:rsidRDefault="00000000">
            <w:pPr>
              <w:pStyle w:val="Compact"/>
            </w:pPr>
            <w:r>
              <w:t>April 2026</w:t>
            </w:r>
          </w:p>
        </w:tc>
      </w:tr>
      <w:tr w:rsidR="008C2F14" w14:paraId="3DCE4C72" w14:textId="77777777" w:rsidTr="002D6D8D">
        <w:tc>
          <w:tcPr>
            <w:tcW w:w="0" w:type="auto"/>
          </w:tcPr>
          <w:p w14:paraId="7C0FB5E8" w14:textId="77777777" w:rsidR="008C2F14" w:rsidRDefault="00000000">
            <w:pPr>
              <w:pStyle w:val="Compact"/>
            </w:pPr>
            <w:r>
              <w:t>Formal IP &amp; data sharing agreement</w:t>
            </w:r>
          </w:p>
        </w:tc>
        <w:tc>
          <w:tcPr>
            <w:tcW w:w="0" w:type="auto"/>
          </w:tcPr>
          <w:p w14:paraId="01C28E41" w14:textId="77777777" w:rsidR="008C2F14" w:rsidRDefault="00000000">
            <w:pPr>
              <w:pStyle w:val="Compact"/>
            </w:pPr>
            <w:r>
              <w:t>Legal / Strategy</w:t>
            </w:r>
          </w:p>
        </w:tc>
        <w:tc>
          <w:tcPr>
            <w:tcW w:w="0" w:type="auto"/>
          </w:tcPr>
          <w:p w14:paraId="1FD80897" w14:textId="77777777" w:rsidR="008C2F14" w:rsidRDefault="00000000">
            <w:pPr>
              <w:pStyle w:val="Compact"/>
            </w:pPr>
            <w:r>
              <w:t>TBD with Novartis</w:t>
            </w:r>
          </w:p>
        </w:tc>
      </w:tr>
    </w:tbl>
    <w:p w14:paraId="2E5775C0" w14:textId="77777777" w:rsidR="008C2F14" w:rsidRDefault="00000000">
      <w:r>
        <w:pict w14:anchorId="7B960FDF">
          <v:rect id="_x0000_i1039" style="width:0;height:1.5pt" o:hralign="center" o:hrstd="t" o:hr="t"/>
        </w:pict>
      </w:r>
    </w:p>
    <w:p w14:paraId="6C4D1366" w14:textId="77777777" w:rsidR="008C2F14" w:rsidRDefault="00000000">
      <w:pPr>
        <w:pStyle w:val="Heading2"/>
      </w:pPr>
      <w:bookmarkStart w:id="26" w:name="appendix"/>
      <w:bookmarkEnd w:id="25"/>
      <w:r>
        <w:lastRenderedPageBreak/>
        <w:t>10. Appendix</w:t>
      </w:r>
    </w:p>
    <w:p w14:paraId="63EE2949" w14:textId="77777777" w:rsidR="008C2F14" w:rsidRDefault="00000000">
      <w:pPr>
        <w:pStyle w:val="Heading3"/>
      </w:pPr>
      <w:bookmarkStart w:id="27" w:name="Xd9b7b0b03b65bebc3fa6bfd7a93fd86467a0408"/>
      <w:r>
        <w:t>A. PDB Structures — Novartis Applicable Targets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57"/>
        <w:gridCol w:w="1278"/>
        <w:gridCol w:w="4641"/>
      </w:tblGrid>
      <w:tr w:rsidR="008C2F14" w14:paraId="029EA5AC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B2D1D3" w14:textId="77777777" w:rsidR="008C2F14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28729A" w14:textId="77777777" w:rsidR="008C2F14" w:rsidRDefault="00000000">
            <w:pPr>
              <w:pStyle w:val="Compact"/>
            </w:pPr>
            <w:r>
              <w:t>PDB 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C16DD0" w14:textId="77777777" w:rsidR="008C2F14" w:rsidRDefault="00000000">
            <w:pPr>
              <w:pStyle w:val="Compact"/>
            </w:pPr>
            <w:r>
              <w:t>Notes</w:t>
            </w:r>
          </w:p>
        </w:tc>
      </w:tr>
      <w:tr w:rsidR="008C2F14" w14:paraId="445324E1" w14:textId="77777777" w:rsidTr="002D6D8D">
        <w:tc>
          <w:tcPr>
            <w:tcW w:w="0" w:type="auto"/>
          </w:tcPr>
          <w:p w14:paraId="1B467A8C" w14:textId="77777777" w:rsidR="008C2F14" w:rsidRDefault="00000000">
            <w:pPr>
              <w:pStyle w:val="Compact"/>
            </w:pPr>
            <w:r>
              <w:t>BRD4 BD1 (pelabresib/BET)</w:t>
            </w:r>
          </w:p>
        </w:tc>
        <w:tc>
          <w:tcPr>
            <w:tcW w:w="0" w:type="auto"/>
          </w:tcPr>
          <w:p w14:paraId="79D81623" w14:textId="77777777" w:rsidR="008C2F14" w:rsidRDefault="00000000">
            <w:pPr>
              <w:pStyle w:val="Compact"/>
            </w:pPr>
            <w:r>
              <w:t>4HBW</w:t>
            </w:r>
          </w:p>
        </w:tc>
        <w:tc>
          <w:tcPr>
            <w:tcW w:w="0" w:type="auto"/>
          </w:tcPr>
          <w:p w14:paraId="71D64648" w14:textId="77777777" w:rsidR="008C2F14" w:rsidRDefault="00000000">
            <w:pPr>
              <w:pStyle w:val="Compact"/>
            </w:pPr>
            <w:r>
              <w:t>BD1 domain; co-crystal with JQ1 reference compound</w:t>
            </w:r>
          </w:p>
        </w:tc>
      </w:tr>
      <w:tr w:rsidR="008C2F14" w14:paraId="0563EA13" w14:textId="77777777" w:rsidTr="002D6D8D">
        <w:tc>
          <w:tcPr>
            <w:tcW w:w="0" w:type="auto"/>
          </w:tcPr>
          <w:p w14:paraId="44BA94CB" w14:textId="77777777" w:rsidR="008C2F14" w:rsidRDefault="00000000">
            <w:pPr>
              <w:pStyle w:val="Compact"/>
            </w:pPr>
            <w:r>
              <w:t>BRD4 BD2 (pelabresib/BET)</w:t>
            </w:r>
          </w:p>
        </w:tc>
        <w:tc>
          <w:tcPr>
            <w:tcW w:w="0" w:type="auto"/>
          </w:tcPr>
          <w:p w14:paraId="44EB0D68" w14:textId="77777777" w:rsidR="008C2F14" w:rsidRDefault="00000000">
            <w:pPr>
              <w:pStyle w:val="Compact"/>
            </w:pPr>
            <w:r>
              <w:t>3P5O</w:t>
            </w:r>
          </w:p>
        </w:tc>
        <w:tc>
          <w:tcPr>
            <w:tcW w:w="0" w:type="auto"/>
          </w:tcPr>
          <w:p w14:paraId="086E2A92" w14:textId="77777777" w:rsidR="008C2F14" w:rsidRDefault="00000000">
            <w:pPr>
              <w:pStyle w:val="Compact"/>
            </w:pPr>
            <w:r>
              <w:t>BD2 selectivity pocket</w:t>
            </w:r>
          </w:p>
        </w:tc>
      </w:tr>
      <w:tr w:rsidR="008C2F14" w14:paraId="66A11FC5" w14:textId="77777777" w:rsidTr="002D6D8D">
        <w:tc>
          <w:tcPr>
            <w:tcW w:w="0" w:type="auto"/>
          </w:tcPr>
          <w:p w14:paraId="651795DE" w14:textId="77777777" w:rsidR="008C2F14" w:rsidRDefault="00000000">
            <w:pPr>
              <w:pStyle w:val="Compact"/>
            </w:pPr>
            <w:r>
              <w:t>BTK kinase domain (rilzabrutinib)</w:t>
            </w:r>
          </w:p>
        </w:tc>
        <w:tc>
          <w:tcPr>
            <w:tcW w:w="0" w:type="auto"/>
          </w:tcPr>
          <w:p w14:paraId="54DD63FA" w14:textId="77777777" w:rsidR="008C2F14" w:rsidRDefault="00000000">
            <w:pPr>
              <w:pStyle w:val="Compact"/>
            </w:pPr>
            <w:r>
              <w:t>3K54, 4HCT</w:t>
            </w:r>
          </w:p>
        </w:tc>
        <w:tc>
          <w:tcPr>
            <w:tcW w:w="0" w:type="auto"/>
          </w:tcPr>
          <w:p w14:paraId="4C51511A" w14:textId="77777777" w:rsidR="008C2F14" w:rsidRDefault="00000000">
            <w:pPr>
              <w:pStyle w:val="Compact"/>
            </w:pPr>
            <w:r>
              <w:t>C481 covalent Cys residue visible</w:t>
            </w:r>
          </w:p>
        </w:tc>
      </w:tr>
      <w:tr w:rsidR="008C2F14" w14:paraId="756E56BF" w14:textId="77777777" w:rsidTr="002D6D8D">
        <w:tc>
          <w:tcPr>
            <w:tcW w:w="0" w:type="auto"/>
          </w:tcPr>
          <w:p w14:paraId="4E4CB3CA" w14:textId="77777777" w:rsidR="008C2F14" w:rsidRDefault="00000000">
            <w:pPr>
              <w:pStyle w:val="Compact"/>
            </w:pPr>
            <w:r>
              <w:t>PfPI4K (Ganaplacide target)</w:t>
            </w:r>
          </w:p>
        </w:tc>
        <w:tc>
          <w:tcPr>
            <w:tcW w:w="0" w:type="auto"/>
          </w:tcPr>
          <w:p w14:paraId="6F9A2372" w14:textId="77777777" w:rsidR="008C2F14" w:rsidRDefault="00000000">
            <w:pPr>
              <w:pStyle w:val="Compact"/>
            </w:pPr>
            <w:r>
              <w:t>6B0Q</w:t>
            </w:r>
          </w:p>
        </w:tc>
        <w:tc>
          <w:tcPr>
            <w:tcW w:w="0" w:type="auto"/>
          </w:tcPr>
          <w:p w14:paraId="074ECF2B" w14:textId="77777777" w:rsidR="008C2F14" w:rsidRDefault="00000000">
            <w:pPr>
              <w:pStyle w:val="Compact"/>
            </w:pPr>
            <w:r>
              <w:rPr>
                <w:i/>
                <w:iCs/>
              </w:rPr>
              <w:t>Plasmodium falciparum</w:t>
            </w:r>
            <w:r>
              <w:t xml:space="preserve"> PI4-kinase with inhibitor bound</w:t>
            </w:r>
          </w:p>
        </w:tc>
      </w:tr>
      <w:tr w:rsidR="008C2F14" w14:paraId="552D259D" w14:textId="77777777" w:rsidTr="002D6D8D">
        <w:tc>
          <w:tcPr>
            <w:tcW w:w="0" w:type="auto"/>
          </w:tcPr>
          <w:p w14:paraId="2502CB15" w14:textId="77777777" w:rsidR="008C2F14" w:rsidRDefault="00000000">
            <w:pPr>
              <w:pStyle w:val="Compact"/>
            </w:pPr>
            <w:r>
              <w:t>BAFF-R extracellular (ianalumab target)</w:t>
            </w:r>
          </w:p>
        </w:tc>
        <w:tc>
          <w:tcPr>
            <w:tcW w:w="0" w:type="auto"/>
          </w:tcPr>
          <w:p w14:paraId="7735BB78" w14:textId="77777777" w:rsidR="008C2F14" w:rsidRDefault="00000000">
            <w:pPr>
              <w:pStyle w:val="Compact"/>
            </w:pPr>
            <w:r>
              <w:t>1RJ8</w:t>
            </w:r>
          </w:p>
        </w:tc>
        <w:tc>
          <w:tcPr>
            <w:tcW w:w="0" w:type="auto"/>
          </w:tcPr>
          <w:p w14:paraId="6365D870" w14:textId="77777777" w:rsidR="008C2F14" w:rsidRDefault="00000000">
            <w:pPr>
              <w:pStyle w:val="Compact"/>
            </w:pPr>
            <w:r>
              <w:t>BAFF•BAFF-R complex — PPI interface</w:t>
            </w:r>
          </w:p>
        </w:tc>
      </w:tr>
    </w:tbl>
    <w:p w14:paraId="4008EB93" w14:textId="77777777" w:rsidR="008C2F14" w:rsidRDefault="00000000">
      <w:pPr>
        <w:pStyle w:val="Heading3"/>
      </w:pPr>
      <w:bookmarkStart w:id="28" w:name="b.-key-literature-references"/>
      <w:bookmarkEnd w:id="27"/>
      <w:r>
        <w:t>B. Key Literature References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84"/>
        <w:gridCol w:w="5592"/>
      </w:tblGrid>
      <w:tr w:rsidR="008C2F14" w14:paraId="612FCA86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14243B0" w14:textId="77777777" w:rsidR="008C2F14" w:rsidRDefault="00000000">
            <w:pPr>
              <w:pStyle w:val="Compact"/>
            </w:pPr>
            <w:r>
              <w:t>Reference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2B963F" w14:textId="77777777" w:rsidR="008C2F14" w:rsidRDefault="00000000">
            <w:pPr>
              <w:pStyle w:val="Compact"/>
            </w:pPr>
            <w:r>
              <w:t>Relevance</w:t>
            </w:r>
          </w:p>
        </w:tc>
      </w:tr>
      <w:tr w:rsidR="008C2F14" w14:paraId="0962FC1B" w14:textId="77777777" w:rsidTr="002D6D8D">
        <w:tc>
          <w:tcPr>
            <w:tcW w:w="0" w:type="auto"/>
          </w:tcPr>
          <w:p w14:paraId="01795624" w14:textId="77777777" w:rsidR="008C2F14" w:rsidRDefault="00000000">
            <w:pPr>
              <w:pStyle w:val="Compact"/>
            </w:pPr>
            <w:r>
              <w:t xml:space="preserve">Filippakopoulos et al. (2010) </w:t>
            </w:r>
            <w:r>
              <w:rPr>
                <w:i/>
                <w:iCs/>
              </w:rPr>
              <w:t>Nature</w:t>
            </w:r>
          </w:p>
        </w:tc>
        <w:tc>
          <w:tcPr>
            <w:tcW w:w="0" w:type="auto"/>
          </w:tcPr>
          <w:p w14:paraId="26EA664A" w14:textId="77777777" w:rsidR="008C2F14" w:rsidRDefault="00000000">
            <w:pPr>
              <w:pStyle w:val="Compact"/>
            </w:pPr>
            <w:r>
              <w:t>BRD4 bromodomain inhibition by JQ1 — foundational BET paper</w:t>
            </w:r>
          </w:p>
        </w:tc>
      </w:tr>
      <w:tr w:rsidR="008C2F14" w14:paraId="2661444C" w14:textId="77777777" w:rsidTr="002D6D8D">
        <w:tc>
          <w:tcPr>
            <w:tcW w:w="0" w:type="auto"/>
          </w:tcPr>
          <w:p w14:paraId="356E40E8" w14:textId="77777777" w:rsidR="008C2F14" w:rsidRDefault="00000000">
            <w:pPr>
              <w:pStyle w:val="Compact"/>
            </w:pPr>
            <w:r>
              <w:t xml:space="preserve">Nasveschuk et al. (2015) </w:t>
            </w:r>
            <w:r>
              <w:rPr>
                <w:i/>
                <w:iCs/>
              </w:rPr>
              <w:t>J. Med. Chem.</w:t>
            </w:r>
          </w:p>
        </w:tc>
        <w:tc>
          <w:tcPr>
            <w:tcW w:w="0" w:type="auto"/>
          </w:tcPr>
          <w:p w14:paraId="61BCE31A" w14:textId="77777777" w:rsidR="008C2F14" w:rsidRDefault="00000000">
            <w:pPr>
              <w:pStyle w:val="Compact"/>
            </w:pPr>
            <w:r>
              <w:t>BET inhibitor SAR and selectivity review</w:t>
            </w:r>
          </w:p>
        </w:tc>
      </w:tr>
      <w:tr w:rsidR="008C2F14" w14:paraId="1B65E8F2" w14:textId="77777777" w:rsidTr="002D6D8D">
        <w:tc>
          <w:tcPr>
            <w:tcW w:w="0" w:type="auto"/>
          </w:tcPr>
          <w:p w14:paraId="7C85E801" w14:textId="77777777" w:rsidR="008C2F14" w:rsidRDefault="00000000">
            <w:pPr>
              <w:pStyle w:val="Compact"/>
            </w:pPr>
            <w:r>
              <w:t xml:space="preserve">Bhatt et al. (2019) </w:t>
            </w:r>
            <w:r>
              <w:rPr>
                <w:i/>
                <w:iCs/>
              </w:rPr>
              <w:t>Lancet</w:t>
            </w:r>
          </w:p>
        </w:tc>
        <w:tc>
          <w:tcPr>
            <w:tcW w:w="0" w:type="auto"/>
          </w:tcPr>
          <w:p w14:paraId="38226ABF" w14:textId="77777777" w:rsidR="008C2F14" w:rsidRDefault="00000000">
            <w:pPr>
              <w:pStyle w:val="Compact"/>
            </w:pPr>
            <w:r>
              <w:t>Ganaplacide (KAF156) Phase 2 antimalarial clinical data</w:t>
            </w:r>
          </w:p>
        </w:tc>
      </w:tr>
      <w:tr w:rsidR="008C2F14" w14:paraId="2F820242" w14:textId="77777777" w:rsidTr="002D6D8D">
        <w:tc>
          <w:tcPr>
            <w:tcW w:w="0" w:type="auto"/>
          </w:tcPr>
          <w:p w14:paraId="2FA6514D" w14:textId="77777777" w:rsidR="008C2F14" w:rsidRDefault="00000000">
            <w:pPr>
              <w:pStyle w:val="Compact"/>
            </w:pPr>
            <w:r>
              <w:t xml:space="preserve">Satterthwaite &amp; Witte (2000) </w:t>
            </w:r>
            <w:r>
              <w:rPr>
                <w:i/>
                <w:iCs/>
              </w:rPr>
              <w:t>Immunol. Rev.</w:t>
            </w:r>
          </w:p>
        </w:tc>
        <w:tc>
          <w:tcPr>
            <w:tcW w:w="0" w:type="auto"/>
          </w:tcPr>
          <w:p w14:paraId="1A89B218" w14:textId="77777777" w:rsidR="008C2F14" w:rsidRDefault="00000000">
            <w:pPr>
              <w:pStyle w:val="Compact"/>
            </w:pPr>
            <w:r>
              <w:t>BTK role in B-cell signalling and autoimmunity</w:t>
            </w:r>
          </w:p>
        </w:tc>
      </w:tr>
      <w:tr w:rsidR="008C2F14" w14:paraId="22428B39" w14:textId="77777777" w:rsidTr="002D6D8D">
        <w:tc>
          <w:tcPr>
            <w:tcW w:w="0" w:type="auto"/>
          </w:tcPr>
          <w:p w14:paraId="299D7904" w14:textId="77777777" w:rsidR="008C2F14" w:rsidRDefault="00000000">
            <w:pPr>
              <w:pStyle w:val="Compact"/>
            </w:pPr>
            <w:r>
              <w:t xml:space="preserve">Thompson et al. (2018) </w:t>
            </w:r>
            <w:r>
              <w:rPr>
                <w:i/>
                <w:iCs/>
              </w:rPr>
              <w:t>Clin. Exp. Immunol.</w:t>
            </w:r>
          </w:p>
        </w:tc>
        <w:tc>
          <w:tcPr>
            <w:tcW w:w="0" w:type="auto"/>
          </w:tcPr>
          <w:p w14:paraId="19385C88" w14:textId="77777777" w:rsidR="008C2F14" w:rsidRDefault="00000000">
            <w:pPr>
              <w:pStyle w:val="Compact"/>
            </w:pPr>
            <w:r>
              <w:t>BAFF/BAFF-R in Sjögren’s disease pathogenesis</w:t>
            </w:r>
          </w:p>
        </w:tc>
      </w:tr>
      <w:tr w:rsidR="008C2F14" w14:paraId="0F938C13" w14:textId="77777777" w:rsidTr="002D6D8D">
        <w:tc>
          <w:tcPr>
            <w:tcW w:w="0" w:type="auto"/>
          </w:tcPr>
          <w:p w14:paraId="6DE3DDED" w14:textId="77777777" w:rsidR="008C2F14" w:rsidRDefault="00000000">
            <w:pPr>
              <w:pStyle w:val="Compact"/>
            </w:pPr>
            <w:r>
              <w:t xml:space="preserve">McNutt et al. (2021) </w:t>
            </w:r>
            <w:r>
              <w:rPr>
                <w:i/>
                <w:iCs/>
              </w:rPr>
              <w:t>JCIM</w:t>
            </w:r>
          </w:p>
        </w:tc>
        <w:tc>
          <w:tcPr>
            <w:tcW w:w="0" w:type="auto"/>
          </w:tcPr>
          <w:p w14:paraId="59C5AD3B" w14:textId="77777777" w:rsidR="008C2F14" w:rsidRDefault="00000000">
            <w:pPr>
              <w:pStyle w:val="Compact"/>
            </w:pPr>
            <w:r>
              <w:t>AutoDock Vina accuracy benchmarks</w:t>
            </w:r>
          </w:p>
        </w:tc>
      </w:tr>
    </w:tbl>
    <w:p w14:paraId="2A716E00" w14:textId="77777777" w:rsidR="008C2F14" w:rsidRDefault="00000000">
      <w:pPr>
        <w:pStyle w:val="Heading3"/>
      </w:pPr>
      <w:bookmarkStart w:id="29" w:name="c.-glossary"/>
      <w:bookmarkEnd w:id="28"/>
      <w:r>
        <w:t>C. Glossary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37"/>
        <w:gridCol w:w="8539"/>
      </w:tblGrid>
      <w:tr w:rsidR="008C2F14" w14:paraId="4F3E8CB4" w14:textId="77777777" w:rsidTr="002D6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C95B936" w14:textId="77777777" w:rsidR="008C2F14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EF23D5" w14:textId="77777777" w:rsidR="008C2F14" w:rsidRDefault="00000000">
            <w:pPr>
              <w:pStyle w:val="Compact"/>
            </w:pPr>
            <w:r>
              <w:t>Definition</w:t>
            </w:r>
          </w:p>
        </w:tc>
      </w:tr>
      <w:tr w:rsidR="008C2F14" w14:paraId="7974BF31" w14:textId="77777777" w:rsidTr="002D6D8D">
        <w:tc>
          <w:tcPr>
            <w:tcW w:w="0" w:type="auto"/>
          </w:tcPr>
          <w:p w14:paraId="2DA8A5A4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BET</w:t>
            </w:r>
          </w:p>
        </w:tc>
        <w:tc>
          <w:tcPr>
            <w:tcW w:w="0" w:type="auto"/>
          </w:tcPr>
          <w:p w14:paraId="39E74CA9" w14:textId="77777777" w:rsidR="008C2F14" w:rsidRDefault="00000000">
            <w:pPr>
              <w:pStyle w:val="Compact"/>
            </w:pPr>
            <w:r>
              <w:t>Bromodomain and Extra-Terminal motif — epigenetic reader proteins (BRD2, BRD3, BRD4)</w:t>
            </w:r>
          </w:p>
        </w:tc>
      </w:tr>
      <w:tr w:rsidR="008C2F14" w14:paraId="652E0E99" w14:textId="77777777" w:rsidTr="002D6D8D">
        <w:tc>
          <w:tcPr>
            <w:tcW w:w="0" w:type="auto"/>
          </w:tcPr>
          <w:p w14:paraId="0ED7A5CD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BTK</w:t>
            </w:r>
          </w:p>
        </w:tc>
        <w:tc>
          <w:tcPr>
            <w:tcW w:w="0" w:type="auto"/>
          </w:tcPr>
          <w:p w14:paraId="02006BA3" w14:textId="77777777" w:rsidR="008C2F14" w:rsidRDefault="00000000">
            <w:pPr>
              <w:pStyle w:val="Compact"/>
            </w:pPr>
            <w:r>
              <w:t>Bruton’s Tyrosine Kinase — non-receptor tyrosine kinase in B-cell and mast cell signalling</w:t>
            </w:r>
          </w:p>
        </w:tc>
      </w:tr>
      <w:tr w:rsidR="008C2F14" w14:paraId="5E7D52B4" w14:textId="77777777" w:rsidTr="002D6D8D">
        <w:tc>
          <w:tcPr>
            <w:tcW w:w="0" w:type="auto"/>
          </w:tcPr>
          <w:p w14:paraId="32F3013E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PfPI4K</w:t>
            </w:r>
          </w:p>
        </w:tc>
        <w:tc>
          <w:tcPr>
            <w:tcW w:w="0" w:type="auto"/>
          </w:tcPr>
          <w:p w14:paraId="2F836318" w14:textId="77777777" w:rsidR="008C2F14" w:rsidRDefault="00000000">
            <w:pPr>
              <w:pStyle w:val="Compact"/>
            </w:pPr>
            <w:r>
              <w:rPr>
                <w:i/>
                <w:iCs/>
              </w:rPr>
              <w:t>Plasmodium falciparum</w:t>
            </w:r>
            <w:r>
              <w:t xml:space="preserve"> phosphatidylinositol 4-kinase — parasite-specific drug target</w:t>
            </w:r>
          </w:p>
        </w:tc>
      </w:tr>
      <w:tr w:rsidR="008C2F14" w14:paraId="7009758C" w14:textId="77777777" w:rsidTr="002D6D8D">
        <w:tc>
          <w:tcPr>
            <w:tcW w:w="0" w:type="auto"/>
          </w:tcPr>
          <w:p w14:paraId="08DAAC12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BAFF-R</w:t>
            </w:r>
          </w:p>
        </w:tc>
        <w:tc>
          <w:tcPr>
            <w:tcW w:w="0" w:type="auto"/>
          </w:tcPr>
          <w:p w14:paraId="4807D880" w14:textId="77777777" w:rsidR="008C2F14" w:rsidRDefault="00000000">
            <w:pPr>
              <w:pStyle w:val="Compact"/>
            </w:pPr>
            <w:r>
              <w:t>B-cell Activating Factor Receptor — TNF receptor family member on B-cell surface</w:t>
            </w:r>
          </w:p>
        </w:tc>
      </w:tr>
      <w:tr w:rsidR="008C2F14" w14:paraId="736E57D7" w14:textId="77777777" w:rsidTr="002D6D8D">
        <w:tc>
          <w:tcPr>
            <w:tcW w:w="0" w:type="auto"/>
          </w:tcPr>
          <w:p w14:paraId="35EF6DE7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pIC50</w:t>
            </w:r>
          </w:p>
        </w:tc>
        <w:tc>
          <w:tcPr>
            <w:tcW w:w="0" w:type="auto"/>
          </w:tcPr>
          <w:p w14:paraId="3D57FC14" w14:textId="77777777" w:rsidR="008C2F14" w:rsidRDefault="00000000">
            <w:pPr>
              <w:pStyle w:val="Compact"/>
            </w:pPr>
            <w:r>
              <w:t>Negative log of IC50 — higher = more potent binder</w:t>
            </w:r>
          </w:p>
        </w:tc>
      </w:tr>
      <w:tr w:rsidR="008C2F14" w14:paraId="27D2B92F" w14:textId="77777777" w:rsidTr="002D6D8D">
        <w:tc>
          <w:tcPr>
            <w:tcW w:w="0" w:type="auto"/>
          </w:tcPr>
          <w:p w14:paraId="6B2CC55E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ΔG</w:t>
            </w:r>
          </w:p>
        </w:tc>
        <w:tc>
          <w:tcPr>
            <w:tcW w:w="0" w:type="auto"/>
          </w:tcPr>
          <w:p w14:paraId="2F9CA780" w14:textId="77777777" w:rsidR="008C2F14" w:rsidRDefault="00000000">
            <w:pPr>
              <w:pStyle w:val="Compact"/>
            </w:pPr>
            <w:r>
              <w:t>Gibbs free energy of binding (kcal/mol) — more negative = stronger binding</w:t>
            </w:r>
          </w:p>
        </w:tc>
      </w:tr>
      <w:tr w:rsidR="008C2F14" w14:paraId="1F5C241E" w14:textId="77777777" w:rsidTr="002D6D8D">
        <w:tc>
          <w:tcPr>
            <w:tcW w:w="0" w:type="auto"/>
          </w:tcPr>
          <w:p w14:paraId="5A171830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ADMET</w:t>
            </w:r>
          </w:p>
        </w:tc>
        <w:tc>
          <w:tcPr>
            <w:tcW w:w="0" w:type="auto"/>
          </w:tcPr>
          <w:p w14:paraId="4307DAA7" w14:textId="77777777" w:rsidR="008C2F14" w:rsidRDefault="00000000">
            <w:pPr>
              <w:pStyle w:val="Compact"/>
            </w:pPr>
            <w:r>
              <w:t>Absorption, Distribution, Metabolism, Excretion, Toxicity</w:t>
            </w:r>
          </w:p>
        </w:tc>
      </w:tr>
      <w:tr w:rsidR="008C2F14" w14:paraId="41A2C7CA" w14:textId="77777777" w:rsidTr="002D6D8D">
        <w:tc>
          <w:tcPr>
            <w:tcW w:w="0" w:type="auto"/>
          </w:tcPr>
          <w:p w14:paraId="2CE25882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PPI</w:t>
            </w:r>
          </w:p>
        </w:tc>
        <w:tc>
          <w:tcPr>
            <w:tcW w:w="0" w:type="auto"/>
          </w:tcPr>
          <w:p w14:paraId="026A4341" w14:textId="77777777" w:rsidR="008C2F14" w:rsidRDefault="00000000">
            <w:pPr>
              <w:pStyle w:val="Compact"/>
            </w:pPr>
            <w:r>
              <w:t>Protein-Protein Interaction — interface targetable by small molecules</w:t>
            </w:r>
          </w:p>
        </w:tc>
      </w:tr>
      <w:tr w:rsidR="008C2F14" w14:paraId="3FE35389" w14:textId="77777777" w:rsidTr="002D6D8D">
        <w:tc>
          <w:tcPr>
            <w:tcW w:w="0" w:type="auto"/>
          </w:tcPr>
          <w:p w14:paraId="1CD76C8D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mAb</w:t>
            </w:r>
          </w:p>
        </w:tc>
        <w:tc>
          <w:tcPr>
            <w:tcW w:w="0" w:type="auto"/>
          </w:tcPr>
          <w:p w14:paraId="0F6C1160" w14:textId="77777777" w:rsidR="008C2F14" w:rsidRDefault="00000000">
            <w:pPr>
              <w:pStyle w:val="Compact"/>
            </w:pPr>
            <w:r>
              <w:t>Monoclonal Antibody — biologic modality outside current platform scope</w:t>
            </w:r>
          </w:p>
        </w:tc>
      </w:tr>
      <w:tr w:rsidR="008C2F14" w14:paraId="25CD8828" w14:textId="77777777" w:rsidTr="002D6D8D">
        <w:tc>
          <w:tcPr>
            <w:tcW w:w="0" w:type="auto"/>
          </w:tcPr>
          <w:p w14:paraId="0F088970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ASO</w:t>
            </w:r>
          </w:p>
        </w:tc>
        <w:tc>
          <w:tcPr>
            <w:tcW w:w="0" w:type="auto"/>
          </w:tcPr>
          <w:p w14:paraId="558D38EC" w14:textId="77777777" w:rsidR="008C2F14" w:rsidRDefault="00000000">
            <w:pPr>
              <w:pStyle w:val="Compact"/>
            </w:pPr>
            <w:r>
              <w:t>Antisense Oligonucleotide — nucleic acid therapeutic outside current platform scope</w:t>
            </w:r>
          </w:p>
        </w:tc>
      </w:tr>
      <w:tr w:rsidR="008C2F14" w14:paraId="1F01DD66" w14:textId="77777777" w:rsidTr="002D6D8D">
        <w:tc>
          <w:tcPr>
            <w:tcW w:w="0" w:type="auto"/>
          </w:tcPr>
          <w:p w14:paraId="58ED38E0" w14:textId="77777777" w:rsidR="008C2F14" w:rsidRDefault="00000000">
            <w:pPr>
              <w:pStyle w:val="Compact"/>
            </w:pPr>
            <w:r>
              <w:rPr>
                <w:b/>
                <w:bCs/>
              </w:rPr>
              <w:t>SAR</w:t>
            </w:r>
          </w:p>
        </w:tc>
        <w:tc>
          <w:tcPr>
            <w:tcW w:w="0" w:type="auto"/>
          </w:tcPr>
          <w:p w14:paraId="1FABDB1E" w14:textId="77777777" w:rsidR="008C2F14" w:rsidRDefault="00000000">
            <w:pPr>
              <w:pStyle w:val="Compact"/>
            </w:pPr>
            <w:r>
              <w:t>Structure-Activity Relationship</w:t>
            </w:r>
          </w:p>
        </w:tc>
      </w:tr>
    </w:tbl>
    <w:p w14:paraId="2597612E" w14:textId="77777777" w:rsidR="008C2F14" w:rsidRDefault="00000000">
      <w:r>
        <w:pict w14:anchorId="46EBD346">
          <v:rect id="_x0000_i1040" style="width:0;height:1.5pt" o:hralign="center" o:hrstd="t" o:hr="t"/>
        </w:pict>
      </w:r>
    </w:p>
    <w:p w14:paraId="3B77F45C" w14:textId="77777777" w:rsidR="008C2F14" w:rsidRDefault="00000000">
      <w:pPr>
        <w:pStyle w:val="FirstParagraph"/>
      </w:pPr>
      <w:r>
        <w:rPr>
          <w:i/>
          <w:iCs/>
        </w:rPr>
        <w:t>Document prepared by Zerokost Healthcare Pvt Ltd — Confidential</w:t>
      </w:r>
      <w:r>
        <w:br/>
      </w:r>
      <w:r>
        <w:rPr>
          <w:i/>
          <w:iCs/>
        </w:rPr>
        <w:t>Platform: Genesys Quantis Biologics Discovery Platform</w:t>
      </w:r>
      <w:r>
        <w:br/>
      </w:r>
      <w:r>
        <w:rPr>
          <w:i/>
          <w:iCs/>
        </w:rPr>
        <w:t>Contact: Ashwin Kumar T S | Founder | Zerokost Healthcare Pvt Ltd</w:t>
      </w:r>
      <w:r>
        <w:br/>
      </w:r>
      <w:r>
        <w:rPr>
          <w:i/>
          <w:iCs/>
        </w:rPr>
        <w:t>Date: March 26, 2026</w:t>
      </w:r>
      <w:bookmarkEnd w:id="0"/>
      <w:bookmarkEnd w:id="26"/>
      <w:bookmarkEnd w:id="29"/>
    </w:p>
    <w:sectPr w:rsidR="008C2F14">
      <w:head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B426F" w14:textId="77777777" w:rsidR="00146B32" w:rsidRDefault="00146B32">
      <w:pPr>
        <w:spacing w:after="0"/>
      </w:pPr>
      <w:r>
        <w:separator/>
      </w:r>
    </w:p>
  </w:endnote>
  <w:endnote w:type="continuationSeparator" w:id="0">
    <w:p w14:paraId="272EE526" w14:textId="77777777" w:rsidR="00146B32" w:rsidRDefault="00146B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EB1E9" w14:textId="77777777" w:rsidR="00146B32" w:rsidRDefault="00146B32">
      <w:r>
        <w:separator/>
      </w:r>
    </w:p>
  </w:footnote>
  <w:footnote w:type="continuationSeparator" w:id="0">
    <w:p w14:paraId="7275B2C1" w14:textId="77777777" w:rsidR="00146B32" w:rsidRDefault="00146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E5450" w14:textId="4F1511C1" w:rsidR="002D6D8D" w:rsidRDefault="002D6D8D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6570B27" wp14:editId="29A19823">
          <wp:simplePos x="0" y="0"/>
          <wp:positionH relativeFrom="page">
            <wp:posOffset>800101</wp:posOffset>
          </wp:positionH>
          <wp:positionV relativeFrom="page">
            <wp:posOffset>22861</wp:posOffset>
          </wp:positionV>
          <wp:extent cx="2164080" cy="874880"/>
          <wp:effectExtent l="0" t="0" r="0" b="0"/>
          <wp:wrapTopAndBottom/>
          <wp:docPr id="46235498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354983" name="Picture 4623549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1217" cy="8818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BB2E3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A08E01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81018630">
    <w:abstractNumId w:val="0"/>
  </w:num>
  <w:num w:numId="2" w16cid:durableId="20547710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F14"/>
    <w:rsid w:val="00146B32"/>
    <w:rsid w:val="002D6D8D"/>
    <w:rsid w:val="008C2F14"/>
    <w:rsid w:val="00DC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10EFD"/>
  <w15:docId w15:val="{4DA85A0F-6F4E-4D18-BC66-8D4C2CD3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2D6D8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D6D8D"/>
  </w:style>
  <w:style w:type="paragraph" w:styleId="Footer">
    <w:name w:val="footer"/>
    <w:basedOn w:val="Normal"/>
    <w:link w:val="FooterChar"/>
    <w:unhideWhenUsed/>
    <w:rsid w:val="002D6D8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D6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2141</Words>
  <Characters>12204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 Mange</dc:creator>
  <cp:keywords/>
  <cp:lastModifiedBy>Raj Mange</cp:lastModifiedBy>
  <cp:revision>3</cp:revision>
  <cp:lastPrinted>2026-03-26T11:44:00Z</cp:lastPrinted>
  <dcterms:created xsi:type="dcterms:W3CDTF">2026-03-26T11:33:00Z</dcterms:created>
  <dcterms:modified xsi:type="dcterms:W3CDTF">2026-03-26T12:43:00Z</dcterms:modified>
</cp:coreProperties>
</file>