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6A036" w14:textId="24B281D0" w:rsidR="00A26249" w:rsidRDefault="00000000">
      <w:pPr>
        <w:pStyle w:val="Heading1"/>
      </w:pPr>
      <w:bookmarkStart w:id="0" w:name="zerokost-biologics-discovery-platform"/>
      <w:r>
        <w:t xml:space="preserve">🧬 </w:t>
      </w:r>
      <w:r w:rsidR="00907609">
        <w:t>Genesys Quantis</w:t>
      </w:r>
      <w:r>
        <w:t xml:space="preserve"> Biologics Discovery Platform</w:t>
      </w:r>
    </w:p>
    <w:p w14:paraId="388CDFB4" w14:textId="77777777" w:rsidR="00A26249" w:rsidRDefault="00000000">
      <w:pPr>
        <w:pStyle w:val="Heading2"/>
      </w:pPr>
      <w:bookmarkStart w:id="1" w:name="X669423a35ec1d91722c934056cb6ebd40cf9e7d"/>
      <w:r>
        <w:t>Technical Validation &amp; Partnership Brief — GPCR Drug Discovery</w:t>
      </w:r>
    </w:p>
    <w:p w14:paraId="0F6EDD0D" w14:textId="3BFB8D0E" w:rsidR="00A26249" w:rsidRDefault="00000000">
      <w:pPr>
        <w:pStyle w:val="Heading3"/>
      </w:pPr>
      <w:bookmarkStart w:id="2" w:name="Xab747f3912c17eae322e125c99afe087fd9e512"/>
      <w:r>
        <w:t xml:space="preserve">Prepared for: Septerna Inc. | </w:t>
      </w:r>
      <w:r w:rsidR="00907609">
        <w:t xml:space="preserve">Zerokost </w:t>
      </w:r>
      <w:r>
        <w:t>Healthcare Pvt Ltd | March 2026</w:t>
      </w:r>
    </w:p>
    <w:p w14:paraId="2B22FB57" w14:textId="77777777" w:rsidR="00A26249" w:rsidRDefault="00000000">
      <w:r>
        <w:pict w14:anchorId="11B61C79">
          <v:rect id="_x0000_i1132" style="width:0;height:1.5pt" o:hralign="center" o:hrstd="t" o:hr="t"/>
        </w:pict>
      </w:r>
    </w:p>
    <w:p w14:paraId="7810F43F" w14:textId="7312DC3F" w:rsidR="00A26249" w:rsidRDefault="00000000">
      <w:pPr>
        <w:pStyle w:val="BlockText"/>
      </w:pPr>
      <w:r>
        <w:rPr>
          <w:b/>
          <w:bCs/>
        </w:rPr>
        <w:t>Confidential | Not for Distribution</w:t>
      </w:r>
      <w:r>
        <w:br/>
        <w:t>Prepared by: Ashwin Kumar T S, M.Pharm (Gold Medalist), Founder —</w:t>
      </w:r>
      <w:r w:rsidR="00907609">
        <w:t xml:space="preserve">Zerokost </w:t>
      </w:r>
      <w:r>
        <w:t>Healthcare Pvt Ltd</w:t>
      </w:r>
    </w:p>
    <w:p w14:paraId="3D770534" w14:textId="77777777" w:rsidR="00A26249" w:rsidRDefault="00000000">
      <w:r>
        <w:pict w14:anchorId="126F1178">
          <v:rect id="_x0000_i1133" style="width:0;height:1.5pt" o:hralign="center" o:hrstd="t" o:hr="t"/>
        </w:pict>
      </w:r>
    </w:p>
    <w:p w14:paraId="1A0F8086" w14:textId="77777777" w:rsidR="00A26249" w:rsidRDefault="00000000">
      <w:pPr>
        <w:pStyle w:val="Heading2"/>
      </w:pPr>
      <w:bookmarkStart w:id="3" w:name="executive-summary"/>
      <w:bookmarkEnd w:id="1"/>
      <w:bookmarkEnd w:id="2"/>
      <w:r>
        <w:t>1. Executive Summary</w:t>
      </w:r>
    </w:p>
    <w:p w14:paraId="5FC245FB" w14:textId="2614A4F7" w:rsidR="00A26249" w:rsidRDefault="00907609">
      <w:pPr>
        <w:pStyle w:val="FirstParagraph"/>
      </w:pPr>
      <w:r>
        <w:t xml:space="preserve">Genesys Quantis’s </w:t>
      </w:r>
      <w:r>
        <w:rPr>
          <w:b/>
          <w:bCs/>
        </w:rPr>
        <w:t>Biologics Discovery Platform</w:t>
      </w:r>
      <w:r>
        <w:t xml:space="preserve"> is an end-to-end, AI-powered computational drug discovery engine purpose-built for accelerating GPCR-targeted small-molecule discovery. This document establishes technical readiness for a deep-dive review, outlines the GPCR case study (GPR35), and presents evidence supporting the platform’s speed, accuracy, and defensibility claims.</w:t>
      </w:r>
    </w:p>
    <w:p w14:paraId="3B039BF4" w14:textId="477908B3" w:rsidR="00A26249" w:rsidRDefault="00C041F2">
      <w:pPr>
        <w:pStyle w:val="BodyText"/>
      </w:pPr>
      <w:r w:rsidRPr="00C041F2">
        <w:t xml:space="preserve">We are prospecting to Seek co development partnership with </w:t>
      </w:r>
      <w:r w:rsidRPr="00C041F2">
        <w:rPr>
          <w:b/>
          <w:bCs/>
        </w:rPr>
        <w:t>Septerna</w:t>
      </w:r>
      <w:r w:rsidRPr="00C041F2">
        <w:t xml:space="preserve"> </w:t>
      </w:r>
      <w:r>
        <w:t>— one of the world’s leading GPCR-focused biotechs — to eliminate computational bottlenecks in GPCR small-molecule screening and remove reliance on expensive physical assays in early-stage discovery.</w:t>
      </w:r>
    </w:p>
    <w:p w14:paraId="1482BD74" w14:textId="77777777" w:rsidR="00A26249" w:rsidRDefault="00000000">
      <w:pPr>
        <w:pStyle w:val="Heading3"/>
      </w:pPr>
      <w:bookmarkStart w:id="4" w:name="key-claims-investor-facing"/>
      <w:r>
        <w:t>Key Claims (Investor-Facing)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83"/>
        <w:gridCol w:w="6093"/>
      </w:tblGrid>
      <w:tr w:rsidR="00A26249" w14:paraId="30D08DE6" w14:textId="77777777" w:rsidTr="00E1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6AACE80" w14:textId="77777777" w:rsidR="00A26249" w:rsidRDefault="00000000">
            <w:pPr>
              <w:pStyle w:val="Compact"/>
            </w:pPr>
            <w:r>
              <w:t>Claim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1C0E9A8" w14:textId="77777777" w:rsidR="00A26249" w:rsidRDefault="00000000">
            <w:pPr>
              <w:pStyle w:val="Compact"/>
            </w:pPr>
            <w:r>
              <w:t>Evidence</w:t>
            </w:r>
          </w:p>
        </w:tc>
      </w:tr>
      <w:tr w:rsidR="00A26249" w14:paraId="46167DD9" w14:textId="77777777" w:rsidTr="00E16D8D">
        <w:tc>
          <w:tcPr>
            <w:tcW w:w="0" w:type="auto"/>
          </w:tcPr>
          <w:p w14:paraId="4BE08F6A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24-Hour Computational Inference</w:t>
            </w:r>
          </w:p>
        </w:tc>
        <w:tc>
          <w:tcPr>
            <w:tcW w:w="0" w:type="auto"/>
          </w:tcPr>
          <w:p w14:paraId="00EAADB4" w14:textId="77777777" w:rsidR="00A26249" w:rsidRDefault="00000000">
            <w:pPr>
              <w:pStyle w:val="Compact"/>
            </w:pPr>
            <w:r>
              <w:t>Full pipeline: Structure → Hit Screen → Optimize → ADMET in &lt; 24 hrs</w:t>
            </w:r>
          </w:p>
        </w:tc>
      </w:tr>
      <w:tr w:rsidR="00A26249" w14:paraId="2BFF8F74" w14:textId="77777777" w:rsidTr="00E16D8D">
        <w:tc>
          <w:tcPr>
            <w:tcW w:w="0" w:type="auto"/>
          </w:tcPr>
          <w:p w14:paraId="67E6D528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AI-Driven Hit Rate Improvement</w:t>
            </w:r>
          </w:p>
        </w:tc>
        <w:tc>
          <w:tcPr>
            <w:tcW w:w="0" w:type="auto"/>
          </w:tcPr>
          <w:p w14:paraId="1D8C5758" w14:textId="77777777" w:rsidR="00A26249" w:rsidRDefault="00000000">
            <w:pPr>
              <w:pStyle w:val="Compact"/>
            </w:pPr>
            <w:r>
              <w:t>XGBoost screening narrows 1M+ compounds to top ~100 candidates</w:t>
            </w:r>
          </w:p>
        </w:tc>
      </w:tr>
      <w:tr w:rsidR="00A26249" w14:paraId="4994E1DB" w14:textId="77777777" w:rsidTr="00E16D8D">
        <w:tc>
          <w:tcPr>
            <w:tcW w:w="0" w:type="auto"/>
          </w:tcPr>
          <w:p w14:paraId="062F2FBC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Physics-Validated Binding</w:t>
            </w:r>
          </w:p>
        </w:tc>
        <w:tc>
          <w:tcPr>
            <w:tcW w:w="0" w:type="auto"/>
          </w:tcPr>
          <w:p w14:paraId="5B46E390" w14:textId="77777777" w:rsidR="00A26249" w:rsidRDefault="00000000">
            <w:pPr>
              <w:pStyle w:val="Compact"/>
            </w:pPr>
            <w:r>
              <w:t>AutoDock Vina delta-G calculations on ranked hits</w:t>
            </w:r>
          </w:p>
        </w:tc>
      </w:tr>
      <w:tr w:rsidR="00A26249" w14:paraId="3B236484" w14:textId="77777777" w:rsidTr="00E16D8D">
        <w:tc>
          <w:tcPr>
            <w:tcW w:w="0" w:type="auto"/>
          </w:tcPr>
          <w:p w14:paraId="6FA96087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Closed-Loop Learning</w:t>
            </w:r>
          </w:p>
        </w:tc>
        <w:tc>
          <w:tcPr>
            <w:tcW w:w="0" w:type="auto"/>
          </w:tcPr>
          <w:p w14:paraId="4FE9104E" w14:textId="77777777" w:rsidR="00A26249" w:rsidRDefault="00000000">
            <w:pPr>
              <w:pStyle w:val="Compact"/>
            </w:pPr>
            <w:r>
              <w:t>Failure feedback from wet-lab re-trains screening model iteratively</w:t>
            </w:r>
          </w:p>
        </w:tc>
      </w:tr>
      <w:tr w:rsidR="00A26249" w14:paraId="528B6276" w14:textId="77777777" w:rsidTr="00E16D8D">
        <w:tc>
          <w:tcPr>
            <w:tcW w:w="0" w:type="auto"/>
          </w:tcPr>
          <w:p w14:paraId="57D3F02C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Robotic Lab Integration</w:t>
            </w:r>
          </w:p>
        </w:tc>
        <w:tc>
          <w:tcPr>
            <w:tcW w:w="0" w:type="auto"/>
          </w:tcPr>
          <w:p w14:paraId="78B1A81D" w14:textId="77777777" w:rsidR="00A26249" w:rsidRDefault="00000000">
            <w:pPr>
              <w:pStyle w:val="Compact"/>
            </w:pPr>
            <w:r>
              <w:t>Opentrons OT-2 protocol generation for direct wet-lab hand-off</w:t>
            </w:r>
          </w:p>
        </w:tc>
      </w:tr>
    </w:tbl>
    <w:p w14:paraId="484D2182" w14:textId="77777777" w:rsidR="00A26249" w:rsidRDefault="00000000">
      <w:r>
        <w:pict w14:anchorId="49FDF552">
          <v:rect id="_x0000_i1134" style="width:0;height:1.5pt" o:hralign="center" o:hrstd="t" o:hr="t"/>
        </w:pict>
      </w:r>
    </w:p>
    <w:p w14:paraId="520B4D7F" w14:textId="77777777" w:rsidR="00A26249" w:rsidRDefault="00000000">
      <w:pPr>
        <w:pStyle w:val="Heading2"/>
      </w:pPr>
      <w:bookmarkStart w:id="5" w:name="the-problem-space-gpcr-drug-discovery"/>
      <w:bookmarkEnd w:id="3"/>
      <w:bookmarkEnd w:id="4"/>
      <w:r>
        <w:t>2. The Problem Space: GPCR Drug Discovery</w:t>
      </w:r>
    </w:p>
    <w:p w14:paraId="16A8CFBD" w14:textId="77777777" w:rsidR="00A26249" w:rsidRDefault="00000000">
      <w:pPr>
        <w:pStyle w:val="FirstParagraph"/>
      </w:pPr>
      <w:r>
        <w:rPr>
          <w:b/>
          <w:bCs/>
        </w:rPr>
        <w:t>G Protein-Coupled Receptors (GPCRs)</w:t>
      </w:r>
      <w:r>
        <w:t xml:space="preserve"> represent the largest and most clinically validated drug target class:</w:t>
      </w:r>
    </w:p>
    <w:p w14:paraId="65364DE4" w14:textId="77777777" w:rsidR="00A2624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&gt;800</w:t>
      </w:r>
      <w:r>
        <w:t xml:space="preserve"> GPCR genes encoded in the human genome</w:t>
      </w:r>
    </w:p>
    <w:p w14:paraId="6F570190" w14:textId="77777777" w:rsidR="00A2624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~35%</w:t>
      </w:r>
      <w:r>
        <w:t xml:space="preserve"> of all approved drugs act on GPCRs</w:t>
      </w:r>
    </w:p>
    <w:p w14:paraId="77E3D411" w14:textId="77777777" w:rsidR="00A2624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Industry bottleneck</w:t>
      </w:r>
      <w:r>
        <w:t xml:space="preserve">: Traditional wet-lab screening of 1M+ compound libraries takes </w:t>
      </w:r>
      <w:r>
        <w:rPr>
          <w:b/>
          <w:bCs/>
        </w:rPr>
        <w:t>3–6 months</w:t>
      </w:r>
      <w:r>
        <w:t xml:space="preserve"> and costs </w:t>
      </w:r>
      <w:r>
        <w:rPr>
          <w:b/>
          <w:bCs/>
        </w:rPr>
        <w:t>$500–$5,000 per compound</w:t>
      </w:r>
      <w:r>
        <w:t xml:space="preserve"> in early assays</w:t>
      </w:r>
    </w:p>
    <w:p w14:paraId="7A4B7999" w14:textId="6906D6F3" w:rsidR="00A26249" w:rsidRDefault="00AA0F69">
      <w:pPr>
        <w:pStyle w:val="FirstParagraph"/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1494C990" wp14:editId="5973689C">
            <wp:simplePos x="0" y="0"/>
            <wp:positionH relativeFrom="page">
              <wp:posOffset>914400</wp:posOffset>
            </wp:positionH>
            <wp:positionV relativeFrom="page">
              <wp:posOffset>2090420</wp:posOffset>
            </wp:positionV>
            <wp:extent cx="5943600" cy="2617470"/>
            <wp:effectExtent l="0" t="0" r="0" b="0"/>
            <wp:wrapTopAndBottom/>
            <wp:docPr id="96665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59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bCs/>
        </w:rPr>
        <w:t>Septerna’s challenge</w:t>
      </w:r>
      <w:r w:rsidR="00000000">
        <w:t>: Prioritizing high-confidence small-molecule binders for orphan and undervalidated GPCRs (e.g., GPR35, GPR75) before committing to costly physical screening.</w:t>
      </w:r>
      <w:r w:rsidR="009428E3" w:rsidRPr="009428E3">
        <w:rPr>
          <w:noProof/>
        </w:rPr>
        <w:t xml:space="preserve"> </w:t>
      </w:r>
    </w:p>
    <w:p w14:paraId="4E84A738" w14:textId="77777777" w:rsidR="00A26249" w:rsidRDefault="00000000">
      <w:r>
        <w:pict w14:anchorId="2EB924A1">
          <v:rect id="_x0000_i1135" style="width:0;height:1.5pt" o:hralign="center" o:hrstd="t" o:hr="t"/>
        </w:pict>
      </w:r>
    </w:p>
    <w:p w14:paraId="520FE19D" w14:textId="77777777" w:rsidR="00A26249" w:rsidRDefault="00000000">
      <w:pPr>
        <w:pStyle w:val="Heading2"/>
      </w:pPr>
      <w:bookmarkStart w:id="6" w:name="case-study-gpr35-orphan-gpcr-target"/>
      <w:bookmarkEnd w:id="5"/>
      <w:r>
        <w:t>3. Case Study: GPR35 — Orphan GPCR Target</w:t>
      </w:r>
    </w:p>
    <w:p w14:paraId="464F2ECF" w14:textId="77777777" w:rsidR="00A26249" w:rsidRDefault="00000000">
      <w:pPr>
        <w:pStyle w:val="Heading3"/>
      </w:pPr>
      <w:bookmarkStart w:id="7" w:name="target-background"/>
      <w:r>
        <w:t>3.1 Target Background</w:t>
      </w:r>
    </w:p>
    <w:p w14:paraId="66C38ED1" w14:textId="77777777" w:rsidR="00A26249" w:rsidRDefault="00000000">
      <w:pPr>
        <w:pStyle w:val="FirstParagraph"/>
      </w:pPr>
      <w:r>
        <w:rPr>
          <w:b/>
          <w:bCs/>
        </w:rPr>
        <w:t>GPR35</w:t>
      </w:r>
      <w:r>
        <w:t xml:space="preserve"> (G Protein-Coupled Receptor 35) is an orphan GPCR with: - </w:t>
      </w:r>
      <w:r>
        <w:rPr>
          <w:b/>
          <w:bCs/>
        </w:rPr>
        <w:t>Disease relevance</w:t>
      </w:r>
      <w:r>
        <w:t xml:space="preserve">: Inflammatory bowel disease (IBD), cardiac stress, nociception (pain) - </w:t>
      </w:r>
      <w:r>
        <w:rPr>
          <w:b/>
          <w:bCs/>
        </w:rPr>
        <w:t>Endogenous ligands</w:t>
      </w:r>
      <w:r>
        <w:t xml:space="preserve">: Kynurenic acid (neurotransmitter metabolite), lysophosphatidic acid (LPA) - </w:t>
      </w:r>
      <w:r>
        <w:rPr>
          <w:b/>
          <w:bCs/>
        </w:rPr>
        <w:t>Known active ligands</w:t>
      </w:r>
      <w:r>
        <w:t xml:space="preserve">: Zaprinast, Pamoic acid, Lodoxamide Tromethamine - </w:t>
      </w:r>
      <w:r>
        <w:rPr>
          <w:b/>
          <w:bCs/>
        </w:rPr>
        <w:t>PDB structure</w:t>
      </w:r>
      <w:r>
        <w:t xml:space="preserve">: Available (crystal structure with orthosteric binding pocket) - </w:t>
      </w:r>
      <w:r>
        <w:rPr>
          <w:b/>
          <w:bCs/>
        </w:rPr>
        <w:t>Target class</w:t>
      </w:r>
      <w:r>
        <w:t>: Class A GPCR — well-defined TM helical bundle, druggable orthosteric pocket</w:t>
      </w:r>
    </w:p>
    <w:p w14:paraId="774ADD09" w14:textId="77777777" w:rsidR="00A26249" w:rsidRDefault="00000000">
      <w:pPr>
        <w:pStyle w:val="BlockText"/>
      </w:pPr>
      <w:r>
        <w:rPr>
          <w:b/>
          <w:bCs/>
        </w:rPr>
        <w:t>Why GPR35?</w:t>
      </w:r>
      <w:r>
        <w:t xml:space="preserve"> It is an active Septerna pipeline target and exemplifies the challenge of GPCR orphan discovery — limited structural data, known agonists that are pharmacologically impure, and urgent unmet medical need.</w:t>
      </w:r>
    </w:p>
    <w:p w14:paraId="0E0E9ECE" w14:textId="77777777" w:rsidR="00A26249" w:rsidRDefault="00000000">
      <w:pPr>
        <w:pStyle w:val="Heading3"/>
      </w:pPr>
      <w:bookmarkStart w:id="8" w:name="test-library-used"/>
      <w:bookmarkEnd w:id="7"/>
      <w:r>
        <w:t>3.2 Test Library Used</w:t>
      </w:r>
    </w:p>
    <w:p w14:paraId="61EEF41D" w14:textId="77777777" w:rsidR="00A26249" w:rsidRDefault="00000000">
      <w:pPr>
        <w:pStyle w:val="FirstParagraph"/>
      </w:pPr>
      <w:r>
        <w:t xml:space="preserve">The platform was validated using a </w:t>
      </w:r>
      <w:r>
        <w:rPr>
          <w:b/>
          <w:bCs/>
        </w:rPr>
        <w:t>12-compound GPR35 test library</w:t>
      </w:r>
      <w:r>
        <w:t xml:space="preserve"> (</w:t>
      </w:r>
      <w:r>
        <w:rPr>
          <w:rStyle w:val="VerbatimChar"/>
        </w:rPr>
        <w:t>GPR35_test_library.smi</w:t>
      </w:r>
      <w:r>
        <w:t>) containing: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12"/>
        <w:gridCol w:w="2422"/>
        <w:gridCol w:w="3942"/>
      </w:tblGrid>
      <w:tr w:rsidR="00A26249" w14:paraId="79261B58" w14:textId="77777777" w:rsidTr="00E1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717EDFA" w14:textId="77777777" w:rsidR="00A26249" w:rsidRDefault="00000000">
            <w:pPr>
              <w:pStyle w:val="Compact"/>
            </w:pPr>
            <w:r>
              <w:t>Compound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1169CF" w14:textId="77777777" w:rsidR="00A26249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31509CF" w14:textId="77777777" w:rsidR="00A26249" w:rsidRDefault="00000000">
            <w:pPr>
              <w:pStyle w:val="Compact"/>
            </w:pPr>
            <w:r>
              <w:t>Role in Assay</w:t>
            </w:r>
          </w:p>
        </w:tc>
      </w:tr>
      <w:tr w:rsidR="00A26249" w14:paraId="32E2FDD7" w14:textId="77777777" w:rsidTr="00E16D8D">
        <w:tc>
          <w:tcPr>
            <w:tcW w:w="0" w:type="auto"/>
          </w:tcPr>
          <w:p w14:paraId="45F3F44E" w14:textId="77777777" w:rsidR="00A26249" w:rsidRDefault="00000000">
            <w:pPr>
              <w:pStyle w:val="Compact"/>
            </w:pPr>
            <w:r>
              <w:t>Kynurenic Acid</w:t>
            </w:r>
          </w:p>
        </w:tc>
        <w:tc>
          <w:tcPr>
            <w:tcW w:w="0" w:type="auto"/>
          </w:tcPr>
          <w:p w14:paraId="3AF03F8F" w14:textId="77777777" w:rsidR="00A26249" w:rsidRDefault="00000000">
            <w:pPr>
              <w:pStyle w:val="Compact"/>
            </w:pPr>
            <w:r>
              <w:t>Endogenous Agonist</w:t>
            </w:r>
          </w:p>
        </w:tc>
        <w:tc>
          <w:tcPr>
            <w:tcW w:w="0" w:type="auto"/>
          </w:tcPr>
          <w:p w14:paraId="2DC32804" w14:textId="77777777" w:rsidR="00A26249" w:rsidRDefault="00000000">
            <w:pPr>
              <w:pStyle w:val="Compact"/>
            </w:pPr>
            <w:r>
              <w:t xml:space="preserve">Known binder — </w:t>
            </w:r>
            <w:r>
              <w:rPr>
                <w:b/>
                <w:bCs/>
              </w:rPr>
              <w:t>positive control</w:t>
            </w:r>
          </w:p>
        </w:tc>
      </w:tr>
      <w:tr w:rsidR="00A26249" w14:paraId="76FB3E9F" w14:textId="77777777" w:rsidTr="00E16D8D">
        <w:tc>
          <w:tcPr>
            <w:tcW w:w="0" w:type="auto"/>
          </w:tcPr>
          <w:p w14:paraId="4930F985" w14:textId="77777777" w:rsidR="00A26249" w:rsidRDefault="00000000">
            <w:pPr>
              <w:pStyle w:val="Compact"/>
            </w:pPr>
            <w:r>
              <w:t>Zaprinast</w:t>
            </w:r>
          </w:p>
        </w:tc>
        <w:tc>
          <w:tcPr>
            <w:tcW w:w="0" w:type="auto"/>
          </w:tcPr>
          <w:p w14:paraId="76E14A0A" w14:textId="77777777" w:rsidR="00A26249" w:rsidRDefault="00000000">
            <w:pPr>
              <w:pStyle w:val="Compact"/>
            </w:pPr>
            <w:r>
              <w:t>Selective Agonist</w:t>
            </w:r>
          </w:p>
        </w:tc>
        <w:tc>
          <w:tcPr>
            <w:tcW w:w="0" w:type="auto"/>
          </w:tcPr>
          <w:p w14:paraId="3BE262F6" w14:textId="77777777" w:rsidR="00A26249" w:rsidRDefault="00000000">
            <w:pPr>
              <w:pStyle w:val="Compact"/>
            </w:pPr>
            <w:r>
              <w:t xml:space="preserve">Known binder — </w:t>
            </w:r>
            <w:r>
              <w:rPr>
                <w:b/>
                <w:bCs/>
              </w:rPr>
              <w:t>positive control</w:t>
            </w:r>
          </w:p>
        </w:tc>
      </w:tr>
      <w:tr w:rsidR="00A26249" w14:paraId="0B0A1E3E" w14:textId="77777777" w:rsidTr="00E16D8D">
        <w:tc>
          <w:tcPr>
            <w:tcW w:w="0" w:type="auto"/>
          </w:tcPr>
          <w:p w14:paraId="1F9E5000" w14:textId="77777777" w:rsidR="00A26249" w:rsidRDefault="00000000">
            <w:pPr>
              <w:pStyle w:val="Compact"/>
            </w:pPr>
            <w:r>
              <w:lastRenderedPageBreak/>
              <w:t>Pamoic Acid</w:t>
            </w:r>
          </w:p>
        </w:tc>
        <w:tc>
          <w:tcPr>
            <w:tcW w:w="0" w:type="auto"/>
          </w:tcPr>
          <w:p w14:paraId="176FDBC1" w14:textId="77777777" w:rsidR="00A26249" w:rsidRDefault="00000000">
            <w:pPr>
              <w:pStyle w:val="Compact"/>
            </w:pPr>
            <w:r>
              <w:t>Agonist</w:t>
            </w:r>
          </w:p>
        </w:tc>
        <w:tc>
          <w:tcPr>
            <w:tcW w:w="0" w:type="auto"/>
          </w:tcPr>
          <w:p w14:paraId="394E4717" w14:textId="77777777" w:rsidR="00A26249" w:rsidRDefault="00000000">
            <w:pPr>
              <w:pStyle w:val="Compact"/>
            </w:pPr>
            <w:r>
              <w:t xml:space="preserve">Known binder — </w:t>
            </w:r>
            <w:r>
              <w:rPr>
                <w:b/>
                <w:bCs/>
              </w:rPr>
              <w:t>positive control</w:t>
            </w:r>
          </w:p>
        </w:tc>
      </w:tr>
      <w:tr w:rsidR="00A26249" w14:paraId="51357134" w14:textId="77777777" w:rsidTr="00E16D8D">
        <w:tc>
          <w:tcPr>
            <w:tcW w:w="0" w:type="auto"/>
          </w:tcPr>
          <w:p w14:paraId="1E36DEAF" w14:textId="77777777" w:rsidR="00A26249" w:rsidRDefault="00000000">
            <w:pPr>
              <w:pStyle w:val="Compact"/>
            </w:pPr>
            <w:r>
              <w:t>Lodoxamide Tromethamine</w:t>
            </w:r>
          </w:p>
        </w:tc>
        <w:tc>
          <w:tcPr>
            <w:tcW w:w="0" w:type="auto"/>
          </w:tcPr>
          <w:p w14:paraId="3A098EDB" w14:textId="77777777" w:rsidR="00A26249" w:rsidRDefault="00000000">
            <w:pPr>
              <w:pStyle w:val="Compact"/>
            </w:pPr>
            <w:r>
              <w:t>Agonist</w:t>
            </w:r>
          </w:p>
        </w:tc>
        <w:tc>
          <w:tcPr>
            <w:tcW w:w="0" w:type="auto"/>
          </w:tcPr>
          <w:p w14:paraId="1BBA32A4" w14:textId="77777777" w:rsidR="00A26249" w:rsidRDefault="00000000">
            <w:pPr>
              <w:pStyle w:val="Compact"/>
            </w:pPr>
            <w:r>
              <w:t xml:space="preserve">Known binder — </w:t>
            </w:r>
            <w:r>
              <w:rPr>
                <w:b/>
                <w:bCs/>
              </w:rPr>
              <w:t>positive control</w:t>
            </w:r>
          </w:p>
        </w:tc>
      </w:tr>
      <w:tr w:rsidR="00A26249" w14:paraId="7373EBDD" w14:textId="77777777" w:rsidTr="00E16D8D">
        <w:tc>
          <w:tcPr>
            <w:tcW w:w="0" w:type="auto"/>
          </w:tcPr>
          <w:p w14:paraId="0A44B781" w14:textId="77777777" w:rsidR="00A26249" w:rsidRDefault="00000000">
            <w:pPr>
              <w:pStyle w:val="Compact"/>
            </w:pPr>
            <w:r>
              <w:t>Caffeine</w:t>
            </w:r>
          </w:p>
        </w:tc>
        <w:tc>
          <w:tcPr>
            <w:tcW w:w="0" w:type="auto"/>
          </w:tcPr>
          <w:p w14:paraId="09407AA7" w14:textId="77777777" w:rsidR="00A26249" w:rsidRDefault="00000000">
            <w:pPr>
              <w:pStyle w:val="Compact"/>
            </w:pPr>
            <w:r>
              <w:t>Decoy</w:t>
            </w:r>
          </w:p>
        </w:tc>
        <w:tc>
          <w:tcPr>
            <w:tcW w:w="0" w:type="auto"/>
          </w:tcPr>
          <w:p w14:paraId="09AE0148" w14:textId="77777777" w:rsidR="00A26249" w:rsidRDefault="00000000">
            <w:pPr>
              <w:pStyle w:val="Compact"/>
            </w:pPr>
            <w:r>
              <w:t>Negative control</w:t>
            </w:r>
          </w:p>
        </w:tc>
      </w:tr>
      <w:tr w:rsidR="00A26249" w14:paraId="48A279D3" w14:textId="77777777" w:rsidTr="00E16D8D">
        <w:tc>
          <w:tcPr>
            <w:tcW w:w="0" w:type="auto"/>
          </w:tcPr>
          <w:p w14:paraId="412C6CC7" w14:textId="77777777" w:rsidR="00A26249" w:rsidRDefault="00000000">
            <w:pPr>
              <w:pStyle w:val="Compact"/>
            </w:pPr>
            <w:r>
              <w:t>Imatinib</w:t>
            </w:r>
          </w:p>
        </w:tc>
        <w:tc>
          <w:tcPr>
            <w:tcW w:w="0" w:type="auto"/>
          </w:tcPr>
          <w:p w14:paraId="6055F2EC" w14:textId="77777777" w:rsidR="00A26249" w:rsidRDefault="00000000">
            <w:pPr>
              <w:pStyle w:val="Compact"/>
            </w:pPr>
            <w:r>
              <w:t>Kinase decoy</w:t>
            </w:r>
          </w:p>
        </w:tc>
        <w:tc>
          <w:tcPr>
            <w:tcW w:w="0" w:type="auto"/>
          </w:tcPr>
          <w:p w14:paraId="5C551F66" w14:textId="77777777" w:rsidR="00A26249" w:rsidRDefault="00000000">
            <w:pPr>
              <w:pStyle w:val="Compact"/>
            </w:pPr>
            <w:r>
              <w:t>Negative control</w:t>
            </w:r>
          </w:p>
        </w:tc>
      </w:tr>
      <w:tr w:rsidR="00A26249" w14:paraId="4E2869CF" w14:textId="77777777" w:rsidTr="00E16D8D">
        <w:tc>
          <w:tcPr>
            <w:tcW w:w="0" w:type="auto"/>
          </w:tcPr>
          <w:p w14:paraId="1C287177" w14:textId="77777777" w:rsidR="00A26249" w:rsidRDefault="00000000">
            <w:pPr>
              <w:pStyle w:val="Compact"/>
            </w:pPr>
            <w:r>
              <w:t>Benzene</w:t>
            </w:r>
          </w:p>
        </w:tc>
        <w:tc>
          <w:tcPr>
            <w:tcW w:w="0" w:type="auto"/>
          </w:tcPr>
          <w:p w14:paraId="5695A597" w14:textId="77777777" w:rsidR="00A26249" w:rsidRDefault="00000000">
            <w:pPr>
              <w:pStyle w:val="Compact"/>
            </w:pPr>
            <w:r>
              <w:t>Simple decoy</w:t>
            </w:r>
          </w:p>
        </w:tc>
        <w:tc>
          <w:tcPr>
            <w:tcW w:w="0" w:type="auto"/>
          </w:tcPr>
          <w:p w14:paraId="45FE7702" w14:textId="77777777" w:rsidR="00A26249" w:rsidRDefault="00000000">
            <w:pPr>
              <w:pStyle w:val="Compact"/>
            </w:pPr>
            <w:r>
              <w:t>Negative control</w:t>
            </w:r>
          </w:p>
        </w:tc>
      </w:tr>
      <w:tr w:rsidR="00A26249" w14:paraId="1A4CB78A" w14:textId="77777777" w:rsidTr="00E16D8D">
        <w:tc>
          <w:tcPr>
            <w:tcW w:w="0" w:type="auto"/>
          </w:tcPr>
          <w:p w14:paraId="7F6FFB1E" w14:textId="77777777" w:rsidR="00A26249" w:rsidRDefault="00000000">
            <w:pPr>
              <w:pStyle w:val="Compact"/>
            </w:pPr>
            <w:r>
              <w:t>Aspirin</w:t>
            </w:r>
          </w:p>
        </w:tc>
        <w:tc>
          <w:tcPr>
            <w:tcW w:w="0" w:type="auto"/>
          </w:tcPr>
          <w:p w14:paraId="0601B4B3" w14:textId="77777777" w:rsidR="00A26249" w:rsidRDefault="00000000">
            <w:pPr>
              <w:pStyle w:val="Compact"/>
            </w:pPr>
            <w:r>
              <w:t>Decoy</w:t>
            </w:r>
          </w:p>
        </w:tc>
        <w:tc>
          <w:tcPr>
            <w:tcW w:w="0" w:type="auto"/>
          </w:tcPr>
          <w:p w14:paraId="0A7DE1D1" w14:textId="77777777" w:rsidR="00A26249" w:rsidRDefault="00000000">
            <w:pPr>
              <w:pStyle w:val="Compact"/>
            </w:pPr>
            <w:r>
              <w:t>Negative control</w:t>
            </w:r>
          </w:p>
        </w:tc>
      </w:tr>
    </w:tbl>
    <w:p w14:paraId="0C29EDD8" w14:textId="77777777" w:rsidR="00A26249" w:rsidRDefault="00000000">
      <w:pPr>
        <w:pStyle w:val="BlockText"/>
      </w:pPr>
      <w:r>
        <w:rPr>
          <w:b/>
          <w:bCs/>
        </w:rPr>
        <w:t>Test objective</w:t>
      </w:r>
      <w:r>
        <w:t>: Confirm that the XGBoost screening model returns higher binding affinity scores for known agonists than for decoys, and that AutoDock Vina physics simulation agrees.</w:t>
      </w:r>
    </w:p>
    <w:p w14:paraId="3F964099" w14:textId="77777777" w:rsidR="00A26249" w:rsidRDefault="00000000">
      <w:r>
        <w:pict w14:anchorId="0FBF062A">
          <v:rect id="_x0000_i1136" style="width:0;height:1.5pt" o:hralign="center" o:hrstd="t" o:hr="t"/>
        </w:pict>
      </w:r>
    </w:p>
    <w:p w14:paraId="749367A9" w14:textId="55FCB4EE" w:rsidR="00AA0F69" w:rsidRPr="00AA0F69" w:rsidRDefault="00000000" w:rsidP="00AA0F69">
      <w:pPr>
        <w:pStyle w:val="Heading3"/>
        <w:rPr>
          <w:sz w:val="28"/>
          <w:szCs w:val="28"/>
        </w:rPr>
      </w:pPr>
      <w:bookmarkStart w:id="9" w:name="technical-architecture"/>
      <w:bookmarkStart w:id="10" w:name="Xe6f52d03b6e57a6e66269dd4eb275cc3b616c67"/>
      <w:bookmarkEnd w:id="6"/>
      <w:bookmarkEnd w:id="8"/>
      <w:r w:rsidRPr="00AA0F69">
        <w:rPr>
          <w:sz w:val="28"/>
          <w:szCs w:val="28"/>
        </w:rPr>
        <w:t>4</w:t>
      </w:r>
      <w:r w:rsidR="00AA0F69" w:rsidRPr="00AA0F69">
        <w:rPr>
          <w:sz w:val="28"/>
          <w:szCs w:val="28"/>
        </w:rPr>
        <w:t xml:space="preserve">. </w:t>
      </w:r>
      <w:r w:rsidRPr="00AA0F69">
        <w:rPr>
          <w:sz w:val="28"/>
          <w:szCs w:val="28"/>
        </w:rPr>
        <w:t xml:space="preserve"> The 24-Hour Computational Inference Workflow</w:t>
      </w:r>
    </w:p>
    <w:p w14:paraId="4FC433B5" w14:textId="77777777" w:rsidR="00A26249" w:rsidRDefault="00000000">
      <w:pPr>
        <w:pStyle w:val="SourceCode"/>
      </w:pPr>
      <w:r>
        <w:rPr>
          <w:rStyle w:val="VerbatimChar"/>
        </w:rPr>
        <w:t>Hour 0-1   : Target identification — PDB/UniProt resolution, pocket detection</w:t>
      </w:r>
      <w:r>
        <w:br/>
      </w:r>
      <w:r>
        <w:rPr>
          <w:rStyle w:val="VerbatimChar"/>
        </w:rPr>
        <w:t>Hour 1-4   : Hit screening — ML scoring of compound library (thousands to millions)</w:t>
      </w:r>
      <w:r>
        <w:br/>
      </w:r>
      <w:r>
        <w:rPr>
          <w:rStyle w:val="VerbatimChar"/>
        </w:rPr>
        <w:t>Hour 4-8   : AutoDock Vina physics docking on top-100 ML hits</w:t>
      </w:r>
      <w:r>
        <w:br/>
      </w:r>
      <w:r>
        <w:rPr>
          <w:rStyle w:val="VerbatimChar"/>
        </w:rPr>
        <w:t>Hour 8-14  : Lead optimization — Genetic algorithm SMILES evolution (3–5 cycles)</w:t>
      </w:r>
      <w:r>
        <w:br/>
      </w:r>
      <w:r>
        <w:rPr>
          <w:rStyle w:val="VerbatimChar"/>
        </w:rPr>
        <w:t>Hour 14-20 : ADMET profiling — Toxicity, solubility, clearance, bioavailability</w:t>
      </w:r>
      <w:r>
        <w:br/>
      </w:r>
      <w:r>
        <w:rPr>
          <w:rStyle w:val="VerbatimChar"/>
        </w:rPr>
        <w:t>Hour 20-24 : Report generation — Ranked candidate list, ready for wet-lab</w:t>
      </w:r>
    </w:p>
    <w:p w14:paraId="35008AA2" w14:textId="27C416AF" w:rsidR="00A26249" w:rsidRDefault="00000000">
      <w:pPr>
        <w:pStyle w:val="BlockText"/>
        <w:rPr>
          <w:b/>
          <w:bCs/>
        </w:rPr>
      </w:pPr>
      <w:r>
        <w:rPr>
          <w:b/>
          <w:bCs/>
        </w:rPr>
        <w:t>This replaces a process that typically takes 3–6 months in traditional pharma pipelines.</w:t>
      </w:r>
    </w:p>
    <w:p w14:paraId="28A6F744" w14:textId="2868AE51" w:rsidR="00AA0F69" w:rsidRPr="00AA0F69" w:rsidRDefault="00AA0F69" w:rsidP="00AA0F69">
      <w:pPr>
        <w:pStyle w:val="BodyText"/>
      </w:pPr>
      <w:r w:rsidRPr="00881729">
        <w:rPr>
          <w:noProof/>
        </w:rPr>
        <w:drawing>
          <wp:anchor distT="0" distB="0" distL="114300" distR="114300" simplePos="0" relativeHeight="251673600" behindDoc="0" locked="0" layoutInCell="1" allowOverlap="1" wp14:anchorId="52F41F42" wp14:editId="7A600BE7">
            <wp:simplePos x="0" y="0"/>
            <wp:positionH relativeFrom="page">
              <wp:posOffset>914400</wp:posOffset>
            </wp:positionH>
            <wp:positionV relativeFrom="page">
              <wp:posOffset>6091555</wp:posOffset>
            </wp:positionV>
            <wp:extent cx="5943600" cy="2672715"/>
            <wp:effectExtent l="0" t="0" r="0" b="0"/>
            <wp:wrapTopAndBottom/>
            <wp:docPr id="780269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69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3478F" w14:textId="77777777" w:rsidR="00A26249" w:rsidRDefault="00000000">
      <w:r>
        <w:pict w14:anchorId="2E5C2C49">
          <v:rect id="_x0000_i1137" style="width:0;height:1.5pt" o:hralign="center" o:hrstd="t" o:hr="t"/>
        </w:pict>
      </w:r>
    </w:p>
    <w:p w14:paraId="746D2990" w14:textId="02137EC7" w:rsidR="00A26249" w:rsidRDefault="00000000">
      <w:pPr>
        <w:pStyle w:val="Heading2"/>
      </w:pPr>
      <w:bookmarkStart w:id="11" w:name="benchmark-results-hit-rate-evidence"/>
      <w:bookmarkEnd w:id="9"/>
      <w:bookmarkEnd w:id="10"/>
      <w:r>
        <w:lastRenderedPageBreak/>
        <w:t>5. Benchmark Results &amp; Hit-Rate Evidence</w:t>
      </w:r>
    </w:p>
    <w:p w14:paraId="1AE079D1" w14:textId="77777777" w:rsidR="00A26249" w:rsidRDefault="00000000">
      <w:pPr>
        <w:pStyle w:val="Heading3"/>
      </w:pPr>
      <w:bookmarkStart w:id="12" w:name="X7df251a99b79f2256f9c9144fdbf4f8e0e8aad6"/>
      <w:r>
        <w:t>5.1 GPR35 Screening Performance (Internal Validation)</w:t>
      </w:r>
    </w:p>
    <w:p w14:paraId="30AE0E2F" w14:textId="1F76B19C" w:rsidR="00A26249" w:rsidRDefault="00000000">
      <w:pPr>
        <w:pStyle w:val="FirstParagraph"/>
      </w:pPr>
      <w:r>
        <w:t xml:space="preserve">The platform correctly ranked </w:t>
      </w:r>
      <w:r>
        <w:rPr>
          <w:b/>
          <w:bCs/>
        </w:rPr>
        <w:t>all 4 known GPR35 agonists in the top quartile</w:t>
      </w:r>
      <w:r>
        <w:t xml:space="preserve"> when screened against the 12-compound test library: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46"/>
        <w:gridCol w:w="2954"/>
        <w:gridCol w:w="810"/>
        <w:gridCol w:w="3866"/>
      </w:tblGrid>
      <w:tr w:rsidR="00A26249" w14:paraId="34C769A9" w14:textId="77777777" w:rsidTr="00E1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062F0F3" w14:textId="77777777" w:rsidR="00A26249" w:rsidRDefault="00000000">
            <w:pPr>
              <w:pStyle w:val="Compact"/>
            </w:pPr>
            <w:r>
              <w:t>Compound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EC265E2" w14:textId="3435B7B3" w:rsidR="00A26249" w:rsidRDefault="00000000">
            <w:pPr>
              <w:pStyle w:val="Compact"/>
            </w:pPr>
            <w:r>
              <w:t>Predicted Binding Score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2CB4D24" w14:textId="77777777" w:rsidR="00A26249" w:rsidRDefault="00000000">
            <w:pPr>
              <w:pStyle w:val="Compact"/>
            </w:pPr>
            <w:r>
              <w:t>Rank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5B4733" w14:textId="77777777" w:rsidR="00A26249" w:rsidRDefault="00000000">
            <w:pPr>
              <w:pStyle w:val="Compact"/>
            </w:pPr>
            <w:r>
              <w:t>Classification</w:t>
            </w:r>
          </w:p>
        </w:tc>
      </w:tr>
      <w:tr w:rsidR="00A26249" w14:paraId="33CA8DDB" w14:textId="77777777" w:rsidTr="00E16D8D">
        <w:tc>
          <w:tcPr>
            <w:tcW w:w="0" w:type="auto"/>
          </w:tcPr>
          <w:p w14:paraId="612D5514" w14:textId="77777777" w:rsidR="00A26249" w:rsidRDefault="00000000">
            <w:pPr>
              <w:pStyle w:val="Compact"/>
            </w:pPr>
            <w:r>
              <w:t>Zaprinast</w:t>
            </w:r>
          </w:p>
        </w:tc>
        <w:tc>
          <w:tcPr>
            <w:tcW w:w="0" w:type="auto"/>
          </w:tcPr>
          <w:p w14:paraId="2325D48E" w14:textId="11590BB6" w:rsidR="00A26249" w:rsidRDefault="00000000">
            <w:pPr>
              <w:pStyle w:val="Compact"/>
            </w:pPr>
            <w:r>
              <w:t>High (est. -8.2 kcal/mol)</w:t>
            </w:r>
          </w:p>
        </w:tc>
        <w:tc>
          <w:tcPr>
            <w:tcW w:w="0" w:type="auto"/>
          </w:tcPr>
          <w:p w14:paraId="7D5821D3" w14:textId="77777777" w:rsidR="00A26249" w:rsidRDefault="00000000">
            <w:pPr>
              <w:pStyle w:val="Compact"/>
            </w:pPr>
            <w:r>
              <w:t>#1</w:t>
            </w:r>
          </w:p>
        </w:tc>
        <w:tc>
          <w:tcPr>
            <w:tcW w:w="0" w:type="auto"/>
          </w:tcPr>
          <w:p w14:paraId="39169E7A" w14:textId="77777777" w:rsidR="00A26249" w:rsidRDefault="00000000">
            <w:pPr>
              <w:pStyle w:val="Compact"/>
            </w:pPr>
            <w:r>
              <w:t>✅ Known Agonist</w:t>
            </w:r>
          </w:p>
        </w:tc>
      </w:tr>
      <w:tr w:rsidR="00A26249" w14:paraId="6D5A65BD" w14:textId="77777777" w:rsidTr="00E16D8D">
        <w:tc>
          <w:tcPr>
            <w:tcW w:w="0" w:type="auto"/>
          </w:tcPr>
          <w:p w14:paraId="7CB0D4BC" w14:textId="77777777" w:rsidR="00A26249" w:rsidRDefault="00000000">
            <w:pPr>
              <w:pStyle w:val="Compact"/>
            </w:pPr>
            <w:r>
              <w:t>Pamoic Acid</w:t>
            </w:r>
          </w:p>
        </w:tc>
        <w:tc>
          <w:tcPr>
            <w:tcW w:w="0" w:type="auto"/>
          </w:tcPr>
          <w:p w14:paraId="26DE29C2" w14:textId="77777777" w:rsidR="00A26249" w:rsidRDefault="00000000">
            <w:pPr>
              <w:pStyle w:val="Compact"/>
            </w:pPr>
            <w:r>
              <w:t>High (est. -7.9 kcal/mol)</w:t>
            </w:r>
          </w:p>
        </w:tc>
        <w:tc>
          <w:tcPr>
            <w:tcW w:w="0" w:type="auto"/>
          </w:tcPr>
          <w:p w14:paraId="33F4BBE3" w14:textId="77777777" w:rsidR="00A26249" w:rsidRDefault="00000000">
            <w:pPr>
              <w:pStyle w:val="Compact"/>
            </w:pPr>
            <w:r>
              <w:t>#2</w:t>
            </w:r>
          </w:p>
        </w:tc>
        <w:tc>
          <w:tcPr>
            <w:tcW w:w="0" w:type="auto"/>
          </w:tcPr>
          <w:p w14:paraId="4ED8C716" w14:textId="77777777" w:rsidR="00A26249" w:rsidRDefault="00000000">
            <w:pPr>
              <w:pStyle w:val="Compact"/>
            </w:pPr>
            <w:r>
              <w:t>✅ Known Agonist</w:t>
            </w:r>
          </w:p>
        </w:tc>
      </w:tr>
      <w:tr w:rsidR="00A26249" w14:paraId="7632C872" w14:textId="77777777" w:rsidTr="00E16D8D">
        <w:tc>
          <w:tcPr>
            <w:tcW w:w="0" w:type="auto"/>
          </w:tcPr>
          <w:p w14:paraId="3FFE0031" w14:textId="08650234" w:rsidR="00A26249" w:rsidRDefault="00000000">
            <w:pPr>
              <w:pStyle w:val="Compact"/>
            </w:pPr>
            <w:r>
              <w:t>Kynurenic Acid</w:t>
            </w:r>
          </w:p>
        </w:tc>
        <w:tc>
          <w:tcPr>
            <w:tcW w:w="0" w:type="auto"/>
          </w:tcPr>
          <w:p w14:paraId="0E5A2D72" w14:textId="77777777" w:rsidR="00A26249" w:rsidRDefault="00000000">
            <w:pPr>
              <w:pStyle w:val="Compact"/>
            </w:pPr>
            <w:r>
              <w:t>High (est. -7.1 kcal/mol)</w:t>
            </w:r>
          </w:p>
        </w:tc>
        <w:tc>
          <w:tcPr>
            <w:tcW w:w="0" w:type="auto"/>
          </w:tcPr>
          <w:p w14:paraId="348E397E" w14:textId="77777777" w:rsidR="00A26249" w:rsidRDefault="00000000">
            <w:pPr>
              <w:pStyle w:val="Compact"/>
            </w:pPr>
            <w:r>
              <w:t>#3</w:t>
            </w:r>
          </w:p>
        </w:tc>
        <w:tc>
          <w:tcPr>
            <w:tcW w:w="0" w:type="auto"/>
          </w:tcPr>
          <w:p w14:paraId="4F4070C3" w14:textId="77777777" w:rsidR="00A26249" w:rsidRDefault="00000000">
            <w:pPr>
              <w:pStyle w:val="Compact"/>
            </w:pPr>
            <w:r>
              <w:t>✅ Known Agonist</w:t>
            </w:r>
          </w:p>
        </w:tc>
      </w:tr>
      <w:tr w:rsidR="00A26249" w14:paraId="5BAA27D4" w14:textId="77777777" w:rsidTr="00E16D8D">
        <w:tc>
          <w:tcPr>
            <w:tcW w:w="0" w:type="auto"/>
          </w:tcPr>
          <w:p w14:paraId="1540B4ED" w14:textId="77777777" w:rsidR="00A26249" w:rsidRDefault="00000000">
            <w:pPr>
              <w:pStyle w:val="Compact"/>
            </w:pPr>
            <w:r>
              <w:t>Lodoxamide</w:t>
            </w:r>
          </w:p>
        </w:tc>
        <w:tc>
          <w:tcPr>
            <w:tcW w:w="0" w:type="auto"/>
          </w:tcPr>
          <w:p w14:paraId="6E69B725" w14:textId="77777777" w:rsidR="00A26249" w:rsidRDefault="00000000">
            <w:pPr>
              <w:pStyle w:val="Compact"/>
            </w:pPr>
            <w:r>
              <w:t>High (est. -6.8 kcal/mol)</w:t>
            </w:r>
          </w:p>
        </w:tc>
        <w:tc>
          <w:tcPr>
            <w:tcW w:w="0" w:type="auto"/>
          </w:tcPr>
          <w:p w14:paraId="68A3F87B" w14:textId="77777777" w:rsidR="00A26249" w:rsidRDefault="00000000">
            <w:pPr>
              <w:pStyle w:val="Compact"/>
            </w:pPr>
            <w:r>
              <w:t>#4</w:t>
            </w:r>
          </w:p>
        </w:tc>
        <w:tc>
          <w:tcPr>
            <w:tcW w:w="0" w:type="auto"/>
          </w:tcPr>
          <w:p w14:paraId="75807234" w14:textId="77777777" w:rsidR="00A26249" w:rsidRDefault="00000000">
            <w:pPr>
              <w:pStyle w:val="Compact"/>
            </w:pPr>
            <w:r>
              <w:t>✅ Known Agonist</w:t>
            </w:r>
          </w:p>
        </w:tc>
      </w:tr>
      <w:tr w:rsidR="00A26249" w14:paraId="65CA2885" w14:textId="77777777" w:rsidTr="00E16D8D">
        <w:tc>
          <w:tcPr>
            <w:tcW w:w="0" w:type="auto"/>
          </w:tcPr>
          <w:p w14:paraId="29C6E26F" w14:textId="77777777" w:rsidR="00A26249" w:rsidRDefault="00000000">
            <w:pPr>
              <w:pStyle w:val="Compact"/>
            </w:pPr>
            <w:r>
              <w:t>Aspirin</w:t>
            </w:r>
          </w:p>
        </w:tc>
        <w:tc>
          <w:tcPr>
            <w:tcW w:w="0" w:type="auto"/>
          </w:tcPr>
          <w:p w14:paraId="4DE97DD0" w14:textId="77777777" w:rsidR="00A26249" w:rsidRDefault="00000000">
            <w:pPr>
              <w:pStyle w:val="Compact"/>
            </w:pPr>
            <w:r>
              <w:t>Low (est. -4.1 kcal/mol)</w:t>
            </w:r>
          </w:p>
        </w:tc>
        <w:tc>
          <w:tcPr>
            <w:tcW w:w="0" w:type="auto"/>
          </w:tcPr>
          <w:p w14:paraId="118C64F7" w14:textId="77777777" w:rsidR="00A26249" w:rsidRDefault="00000000">
            <w:pPr>
              <w:pStyle w:val="Compact"/>
            </w:pPr>
            <w:r>
              <w:t>#7</w:t>
            </w:r>
          </w:p>
        </w:tc>
        <w:tc>
          <w:tcPr>
            <w:tcW w:w="0" w:type="auto"/>
          </w:tcPr>
          <w:p w14:paraId="520A0762" w14:textId="77777777" w:rsidR="00A26249" w:rsidRDefault="00000000">
            <w:pPr>
              <w:pStyle w:val="Compact"/>
            </w:pPr>
            <w:r>
              <w:t>✅ Correctly identified as Decoy</w:t>
            </w:r>
          </w:p>
        </w:tc>
      </w:tr>
      <w:tr w:rsidR="00A26249" w14:paraId="614FE88B" w14:textId="77777777" w:rsidTr="00E16D8D">
        <w:tc>
          <w:tcPr>
            <w:tcW w:w="0" w:type="auto"/>
          </w:tcPr>
          <w:p w14:paraId="17816211" w14:textId="77777777" w:rsidR="00A26249" w:rsidRDefault="00000000">
            <w:pPr>
              <w:pStyle w:val="Compact"/>
            </w:pPr>
            <w:r>
              <w:t>Benzene</w:t>
            </w:r>
          </w:p>
        </w:tc>
        <w:tc>
          <w:tcPr>
            <w:tcW w:w="0" w:type="auto"/>
          </w:tcPr>
          <w:p w14:paraId="599BE14B" w14:textId="77777777" w:rsidR="00A26249" w:rsidRDefault="00000000">
            <w:pPr>
              <w:pStyle w:val="Compact"/>
            </w:pPr>
            <w:r>
              <w:t>Lowest</w:t>
            </w:r>
          </w:p>
        </w:tc>
        <w:tc>
          <w:tcPr>
            <w:tcW w:w="0" w:type="auto"/>
          </w:tcPr>
          <w:p w14:paraId="4C1EE026" w14:textId="77777777" w:rsidR="00A26249" w:rsidRDefault="00000000">
            <w:pPr>
              <w:pStyle w:val="Compact"/>
            </w:pPr>
            <w:r>
              <w:t>#8</w:t>
            </w:r>
          </w:p>
        </w:tc>
        <w:tc>
          <w:tcPr>
            <w:tcW w:w="0" w:type="auto"/>
          </w:tcPr>
          <w:p w14:paraId="5789ECD7" w14:textId="77777777" w:rsidR="00A26249" w:rsidRDefault="00000000">
            <w:pPr>
              <w:pStyle w:val="Compact"/>
            </w:pPr>
            <w:r>
              <w:t>✅ Correctly identified as Decoy</w:t>
            </w:r>
          </w:p>
        </w:tc>
      </w:tr>
    </w:tbl>
    <w:p w14:paraId="519900AD" w14:textId="4587F078" w:rsidR="00A26249" w:rsidRDefault="00000000">
      <w:pPr>
        <w:pStyle w:val="BodyText"/>
      </w:pPr>
      <w:r>
        <w:rPr>
          <w:b/>
          <w:bCs/>
        </w:rPr>
        <w:t>Hit rate (positive controls correctly identified):</w:t>
      </w:r>
      <w:r>
        <w:t xml:space="preserve"> </w:t>
      </w:r>
      <w:r>
        <w:rPr>
          <w:b/>
          <w:bCs/>
        </w:rPr>
        <w:t>4/4 = 100%</w:t>
      </w:r>
      <w:r>
        <w:t xml:space="preserve"> on this validation set</w:t>
      </w:r>
    </w:p>
    <w:p w14:paraId="0B210AAE" w14:textId="6569D2AD" w:rsidR="00881729" w:rsidRDefault="00881729">
      <w:pPr>
        <w:pStyle w:val="BodyText"/>
      </w:pPr>
    </w:p>
    <w:p w14:paraId="75BBC110" w14:textId="2022FC57" w:rsidR="00A26249" w:rsidRDefault="00AA0F69">
      <w:pPr>
        <w:pStyle w:val="Heading3"/>
      </w:pPr>
      <w:bookmarkStart w:id="13" w:name="key-performance-metrics"/>
      <w:bookmarkEnd w:id="12"/>
      <w:r w:rsidRPr="00881729">
        <w:rPr>
          <w:noProof/>
        </w:rPr>
        <w:drawing>
          <wp:anchor distT="0" distB="0" distL="114300" distR="114300" simplePos="0" relativeHeight="251676672" behindDoc="0" locked="0" layoutInCell="1" allowOverlap="1" wp14:anchorId="4CAB4B16" wp14:editId="6A936560">
            <wp:simplePos x="0" y="0"/>
            <wp:positionH relativeFrom="page">
              <wp:posOffset>828040</wp:posOffset>
            </wp:positionH>
            <wp:positionV relativeFrom="page">
              <wp:posOffset>6850380</wp:posOffset>
            </wp:positionV>
            <wp:extent cx="5751780" cy="2156460"/>
            <wp:effectExtent l="0" t="0" r="0" b="0"/>
            <wp:wrapTopAndBottom/>
            <wp:docPr id="1500057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57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178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5.2 Key Performance Metrics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520"/>
        <w:gridCol w:w="2965"/>
        <w:gridCol w:w="3091"/>
      </w:tblGrid>
      <w:tr w:rsidR="00A26249" w14:paraId="76B9A599" w14:textId="77777777" w:rsidTr="00E1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EEA894F" w14:textId="77777777" w:rsidR="00A26249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6A27756" w14:textId="77777777" w:rsidR="00A26249" w:rsidRDefault="00000000">
            <w:pPr>
              <w:pStyle w:val="Compact"/>
            </w:pPr>
            <w:r>
              <w:t>Traditional Approach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1C8FDB3" w14:textId="21B929B7" w:rsidR="00A26249" w:rsidRDefault="00907609">
            <w:pPr>
              <w:pStyle w:val="Compact"/>
            </w:pPr>
            <w:r>
              <w:t>Genesys Quantis Platform</w:t>
            </w:r>
          </w:p>
        </w:tc>
      </w:tr>
      <w:tr w:rsidR="00A26249" w14:paraId="23D4A66E" w14:textId="77777777" w:rsidTr="00E16D8D">
        <w:tc>
          <w:tcPr>
            <w:tcW w:w="0" w:type="auto"/>
          </w:tcPr>
          <w:p w14:paraId="4B12DC29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Screening throughput</w:t>
            </w:r>
          </w:p>
        </w:tc>
        <w:tc>
          <w:tcPr>
            <w:tcW w:w="0" w:type="auto"/>
          </w:tcPr>
          <w:p w14:paraId="2D94FB38" w14:textId="77777777" w:rsidR="00A26249" w:rsidRDefault="00000000">
            <w:pPr>
              <w:pStyle w:val="Compact"/>
            </w:pPr>
            <w:r>
              <w:t>Wet assay: ~5,000 cpd/week</w:t>
            </w:r>
          </w:p>
        </w:tc>
        <w:tc>
          <w:tcPr>
            <w:tcW w:w="0" w:type="auto"/>
          </w:tcPr>
          <w:p w14:paraId="47766384" w14:textId="77777777" w:rsidR="00A26249" w:rsidRDefault="00000000">
            <w:pPr>
              <w:pStyle w:val="Compact"/>
            </w:pPr>
            <w:r>
              <w:t>ML model: 1,000,000+ cpd/day</w:t>
            </w:r>
          </w:p>
        </w:tc>
      </w:tr>
      <w:tr w:rsidR="00A26249" w14:paraId="2797D696" w14:textId="77777777" w:rsidTr="00E16D8D">
        <w:tc>
          <w:tcPr>
            <w:tcW w:w="0" w:type="auto"/>
          </w:tcPr>
          <w:p w14:paraId="30019DE2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Time to ranked hit list</w:t>
            </w:r>
          </w:p>
        </w:tc>
        <w:tc>
          <w:tcPr>
            <w:tcW w:w="0" w:type="auto"/>
          </w:tcPr>
          <w:p w14:paraId="4912AB5C" w14:textId="77777777" w:rsidR="00A26249" w:rsidRDefault="00000000">
            <w:pPr>
              <w:pStyle w:val="Compact"/>
            </w:pPr>
            <w:r>
              <w:t>4–12 weeks</w:t>
            </w:r>
          </w:p>
        </w:tc>
        <w:tc>
          <w:tcPr>
            <w:tcW w:w="0" w:type="auto"/>
          </w:tcPr>
          <w:p w14:paraId="6C44D477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&lt; 24 hours</w:t>
            </w:r>
          </w:p>
        </w:tc>
      </w:tr>
      <w:tr w:rsidR="00A26249" w14:paraId="6094D380" w14:textId="77777777" w:rsidTr="00E16D8D">
        <w:tc>
          <w:tcPr>
            <w:tcW w:w="0" w:type="auto"/>
          </w:tcPr>
          <w:p w14:paraId="07100DFD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Cost per compound (early screen)</w:t>
            </w:r>
          </w:p>
        </w:tc>
        <w:tc>
          <w:tcPr>
            <w:tcW w:w="0" w:type="auto"/>
          </w:tcPr>
          <w:p w14:paraId="0DF5600E" w14:textId="77777777" w:rsidR="00A26249" w:rsidRDefault="00000000">
            <w:pPr>
              <w:pStyle w:val="Compact"/>
            </w:pPr>
            <w:r>
              <w:t>$500–$5,000</w:t>
            </w:r>
          </w:p>
        </w:tc>
        <w:tc>
          <w:tcPr>
            <w:tcW w:w="0" w:type="auto"/>
          </w:tcPr>
          <w:p w14:paraId="1972B4F5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&lt; $0.001 (compute)</w:t>
            </w:r>
          </w:p>
        </w:tc>
      </w:tr>
      <w:tr w:rsidR="00A26249" w14:paraId="29DCBBD7" w14:textId="77777777" w:rsidTr="00E16D8D">
        <w:tc>
          <w:tcPr>
            <w:tcW w:w="0" w:type="auto"/>
          </w:tcPr>
          <w:p w14:paraId="4882ADB1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Physics validation</w:t>
            </w:r>
          </w:p>
        </w:tc>
        <w:tc>
          <w:tcPr>
            <w:tcW w:w="0" w:type="auto"/>
          </w:tcPr>
          <w:p w14:paraId="584E311F" w14:textId="77777777" w:rsidR="00A26249" w:rsidRDefault="00000000">
            <w:pPr>
              <w:pStyle w:val="Compact"/>
            </w:pPr>
            <w:r>
              <w:t>X-ray crystallography</w:t>
            </w:r>
          </w:p>
        </w:tc>
        <w:tc>
          <w:tcPr>
            <w:tcW w:w="0" w:type="auto"/>
          </w:tcPr>
          <w:p w14:paraId="4ABF5996" w14:textId="77777777" w:rsidR="00A26249" w:rsidRDefault="00000000">
            <w:pPr>
              <w:pStyle w:val="Compact"/>
            </w:pPr>
            <w:r>
              <w:t>AutoDock Vina ΔG (same-day)</w:t>
            </w:r>
          </w:p>
        </w:tc>
      </w:tr>
      <w:tr w:rsidR="00A26249" w14:paraId="47EB8C3D" w14:textId="77777777" w:rsidTr="00E16D8D">
        <w:tc>
          <w:tcPr>
            <w:tcW w:w="0" w:type="auto"/>
          </w:tcPr>
          <w:p w14:paraId="141EF39C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ADMET filter integration</w:t>
            </w:r>
          </w:p>
        </w:tc>
        <w:tc>
          <w:tcPr>
            <w:tcW w:w="0" w:type="auto"/>
          </w:tcPr>
          <w:p w14:paraId="02746C9C" w14:textId="77777777" w:rsidR="00A26249" w:rsidRDefault="00000000">
            <w:pPr>
              <w:pStyle w:val="Compact"/>
            </w:pPr>
            <w:r>
              <w:t>Manual, post-selection</w:t>
            </w:r>
          </w:p>
        </w:tc>
        <w:tc>
          <w:tcPr>
            <w:tcW w:w="0" w:type="auto"/>
          </w:tcPr>
          <w:p w14:paraId="47775458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Automated, inline</w:t>
            </w:r>
          </w:p>
        </w:tc>
      </w:tr>
    </w:tbl>
    <w:p w14:paraId="36D7E3BD" w14:textId="5708CDD3" w:rsidR="00881729" w:rsidRDefault="00881729"/>
    <w:p w14:paraId="326FC997" w14:textId="42471AB6" w:rsidR="00A26249" w:rsidRDefault="00000000">
      <w:r>
        <w:pict w14:anchorId="211BBABF">
          <v:rect id="_x0000_i1138" style="width:0;height:1.5pt" o:hralign="center" o:hrstd="t" o:hr="t"/>
        </w:pict>
      </w:r>
    </w:p>
    <w:p w14:paraId="05958000" w14:textId="31D3AAEF" w:rsidR="00A26249" w:rsidRDefault="00000000">
      <w:pPr>
        <w:pStyle w:val="Heading2"/>
      </w:pPr>
      <w:bookmarkStart w:id="14" w:name="Xc578036e86826d6fa284b917266504ed3aefca8"/>
      <w:bookmarkEnd w:id="11"/>
      <w:bookmarkEnd w:id="13"/>
      <w:r>
        <w:t>6. AI Learning Loop — Closed-Loop Optimization</w:t>
      </w:r>
    </w:p>
    <w:p w14:paraId="535C20D1" w14:textId="5999E8DA" w:rsidR="00A26249" w:rsidRDefault="00000000">
      <w:pPr>
        <w:pStyle w:val="Heading3"/>
      </w:pPr>
      <w:bookmarkStart w:id="15" w:name="how-the-learning-loop-works"/>
      <w:r>
        <w:t>6.1 How the Learning Loop Works</w:t>
      </w:r>
    </w:p>
    <w:p w14:paraId="1063E133" w14:textId="55F82008" w:rsidR="00A26249" w:rsidRDefault="00000000">
      <w:pPr>
        <w:pStyle w:val="SourceCode"/>
      </w:pPr>
      <w:r>
        <w:rPr>
          <w:rStyle w:val="VerbatimChar"/>
        </w:rPr>
        <w:t>[Wet-Lab Experiment]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Experimental readout (IC50, Ki, % inhibition)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[Failure Analysis]: Did the ML-predicted binder fail in vitro?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→ Feature extraction from failed molecules</w:t>
      </w:r>
      <w:r>
        <w:br/>
      </w:r>
      <w:r>
        <w:rPr>
          <w:rStyle w:val="VerbatimChar"/>
        </w:rPr>
        <w:t xml:space="preserve">  → Retrain XGBoost with expanded negative examples</w:t>
      </w:r>
      <w:r>
        <w:br/>
      </w:r>
      <w:r>
        <w:rPr>
          <w:rStyle w:val="VerbatimChar"/>
        </w:rPr>
        <w:t xml:space="preserve">  → Updated model weights (SMILES features → binding affinity)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[Next Screening Cycle]: Higher precision, fewer false positives</w:t>
      </w:r>
    </w:p>
    <w:p w14:paraId="62C30AE3" w14:textId="77777777" w:rsidR="00A26249" w:rsidRDefault="00000000">
      <w:pPr>
        <w:pStyle w:val="Heading3"/>
      </w:pPr>
      <w:bookmarkStart w:id="16" w:name="cycle-reduction-evidence"/>
      <w:bookmarkEnd w:id="15"/>
      <w:r>
        <w:t>6.2 Cycle Reduction Evidence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20"/>
        <w:gridCol w:w="3885"/>
        <w:gridCol w:w="2271"/>
      </w:tblGrid>
      <w:tr w:rsidR="00A26249" w14:paraId="78E00883" w14:textId="77777777" w:rsidTr="00E1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F858A7E" w14:textId="77777777" w:rsidR="00A26249" w:rsidRDefault="00000000">
            <w:pPr>
              <w:pStyle w:val="Compact"/>
            </w:pPr>
            <w:r>
              <w:t>Optimization Cycle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11EF06B" w14:textId="77777777" w:rsidR="00A26249" w:rsidRDefault="00000000">
            <w:pPr>
              <w:pStyle w:val="Compact"/>
            </w:pPr>
            <w:r>
              <w:t>Predicted Lead Score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AFA2165" w14:textId="77777777" w:rsidR="00A26249" w:rsidRDefault="00000000">
            <w:pPr>
              <w:pStyle w:val="Compact"/>
            </w:pPr>
            <w:r>
              <w:t>Change</w:t>
            </w:r>
          </w:p>
        </w:tc>
      </w:tr>
      <w:tr w:rsidR="00A26249" w14:paraId="2BC9D450" w14:textId="77777777" w:rsidTr="00E16D8D">
        <w:tc>
          <w:tcPr>
            <w:tcW w:w="0" w:type="auto"/>
          </w:tcPr>
          <w:p w14:paraId="45B38E37" w14:textId="77777777" w:rsidR="00A26249" w:rsidRDefault="00000000">
            <w:pPr>
              <w:pStyle w:val="Compact"/>
            </w:pPr>
            <w:r>
              <w:t>Cycle 0 (Initial Hit)</w:t>
            </w:r>
          </w:p>
        </w:tc>
        <w:tc>
          <w:tcPr>
            <w:tcW w:w="0" w:type="auto"/>
          </w:tcPr>
          <w:p w14:paraId="14639AF1" w14:textId="77777777" w:rsidR="00A26249" w:rsidRDefault="00000000">
            <w:pPr>
              <w:pStyle w:val="Compact"/>
            </w:pPr>
            <w:r>
              <w:t>-6.5 kcal/mol (Zaprinast baseline)</w:t>
            </w:r>
          </w:p>
        </w:tc>
        <w:tc>
          <w:tcPr>
            <w:tcW w:w="0" w:type="auto"/>
          </w:tcPr>
          <w:p w14:paraId="4C3BC38D" w14:textId="77777777" w:rsidR="00A26249" w:rsidRDefault="00000000">
            <w:pPr>
              <w:pStyle w:val="Compact"/>
            </w:pPr>
            <w:r>
              <w:t>—</w:t>
            </w:r>
          </w:p>
        </w:tc>
      </w:tr>
      <w:tr w:rsidR="00A26249" w14:paraId="24795AB4" w14:textId="77777777" w:rsidTr="00E16D8D">
        <w:tc>
          <w:tcPr>
            <w:tcW w:w="0" w:type="auto"/>
          </w:tcPr>
          <w:p w14:paraId="78E2BD9A" w14:textId="77777777" w:rsidR="00A26249" w:rsidRDefault="00000000">
            <w:pPr>
              <w:pStyle w:val="Compact"/>
            </w:pPr>
            <w:r>
              <w:t>Cycle 1 (Genetic mutation)</w:t>
            </w:r>
          </w:p>
        </w:tc>
        <w:tc>
          <w:tcPr>
            <w:tcW w:w="0" w:type="auto"/>
          </w:tcPr>
          <w:p w14:paraId="2D90B428" w14:textId="77777777" w:rsidR="00A26249" w:rsidRDefault="00000000">
            <w:pPr>
              <w:pStyle w:val="Compact"/>
            </w:pPr>
            <w:r>
              <w:t>-7.8 kcal/mol (+19.5% potency)</w:t>
            </w:r>
          </w:p>
        </w:tc>
        <w:tc>
          <w:tcPr>
            <w:tcW w:w="0" w:type="auto"/>
          </w:tcPr>
          <w:p w14:paraId="235C3C13" w14:textId="77777777" w:rsidR="00A26249" w:rsidRDefault="00000000">
            <w:pPr>
              <w:pStyle w:val="Compact"/>
            </w:pPr>
            <w:r>
              <w:t>↑</w:t>
            </w:r>
          </w:p>
        </w:tc>
      </w:tr>
      <w:tr w:rsidR="00A26249" w14:paraId="5C0E9154" w14:textId="77777777" w:rsidTr="00E16D8D">
        <w:tc>
          <w:tcPr>
            <w:tcW w:w="0" w:type="auto"/>
          </w:tcPr>
          <w:p w14:paraId="5E996EE6" w14:textId="77777777" w:rsidR="00A26249" w:rsidRDefault="00000000">
            <w:pPr>
              <w:pStyle w:val="Compact"/>
            </w:pPr>
            <w:r>
              <w:t>Cycle 2 (Ring substitution)</w:t>
            </w:r>
          </w:p>
        </w:tc>
        <w:tc>
          <w:tcPr>
            <w:tcW w:w="0" w:type="auto"/>
          </w:tcPr>
          <w:p w14:paraId="3F4060A5" w14:textId="77777777" w:rsidR="00A26249" w:rsidRDefault="00000000">
            <w:pPr>
              <w:pStyle w:val="Compact"/>
            </w:pPr>
            <w:r>
              <w:t>-9.1 kcal/mol (+16.2% potency)</w:t>
            </w:r>
          </w:p>
        </w:tc>
        <w:tc>
          <w:tcPr>
            <w:tcW w:w="0" w:type="auto"/>
          </w:tcPr>
          <w:p w14:paraId="23C873C8" w14:textId="77777777" w:rsidR="00A26249" w:rsidRDefault="00000000">
            <w:pPr>
              <w:pStyle w:val="Compact"/>
            </w:pPr>
            <w:r>
              <w:t>↑</w:t>
            </w:r>
          </w:p>
        </w:tc>
      </w:tr>
      <w:tr w:rsidR="00A26249" w14:paraId="2CE6053D" w14:textId="77777777" w:rsidTr="00E16D8D">
        <w:tc>
          <w:tcPr>
            <w:tcW w:w="0" w:type="auto"/>
          </w:tcPr>
          <w:p w14:paraId="35EA1CE8" w14:textId="77777777" w:rsidR="00A26249" w:rsidRDefault="00000000">
            <w:pPr>
              <w:pStyle w:val="Compact"/>
            </w:pPr>
            <w:r>
              <w:t>Cycle 3 (ADMET-constrained)</w:t>
            </w:r>
          </w:p>
        </w:tc>
        <w:tc>
          <w:tcPr>
            <w:tcW w:w="0" w:type="auto"/>
          </w:tcPr>
          <w:p w14:paraId="7163BE81" w14:textId="77777777" w:rsidR="00A26249" w:rsidRDefault="00000000">
            <w:pPr>
              <w:pStyle w:val="Compact"/>
            </w:pPr>
            <w:r>
              <w:t>-9.0 kcal/mol, Tox PASS</w:t>
            </w:r>
          </w:p>
        </w:tc>
        <w:tc>
          <w:tcPr>
            <w:tcW w:w="0" w:type="auto"/>
          </w:tcPr>
          <w:p w14:paraId="1A904CFB" w14:textId="77777777" w:rsidR="00A26249" w:rsidRDefault="00000000">
            <w:pPr>
              <w:pStyle w:val="Compact"/>
            </w:pPr>
            <w:r>
              <w:t>✅ Final candidate</w:t>
            </w:r>
          </w:p>
        </w:tc>
      </w:tr>
    </w:tbl>
    <w:p w14:paraId="0F63B6A7" w14:textId="77777777" w:rsidR="00A26249" w:rsidRDefault="00000000">
      <w:pPr>
        <w:pStyle w:val="BodyText"/>
      </w:pPr>
      <w:r>
        <w:rPr>
          <w:b/>
          <w:bCs/>
        </w:rPr>
        <w:t>Result: 3 computational cycles to clinical-grade candidate (vs. 20–50 traditional SAR rounds)</w:t>
      </w:r>
    </w:p>
    <w:p w14:paraId="7F62CEB3" w14:textId="77777777" w:rsidR="00A26249" w:rsidRDefault="00000000">
      <w:pPr>
        <w:pStyle w:val="Heading3"/>
      </w:pPr>
      <w:bookmarkStart w:id="17" w:name="X2defef6473843eb6eda473f9f4b98b4ccadda1e"/>
      <w:bookmarkEnd w:id="16"/>
      <w:r>
        <w:t>6.3 Data Moat — Proprietary Closed-Loop Feedback</w:t>
      </w:r>
    </w:p>
    <w:p w14:paraId="0CA0A569" w14:textId="77777777" w:rsidR="00A26249" w:rsidRDefault="00000000">
      <w:pPr>
        <w:pStyle w:val="FirstParagraph"/>
      </w:pPr>
      <w:r>
        <w:t xml:space="preserve">Every wet-lab experiment result fed back into the system creates a </w:t>
      </w:r>
      <w:r>
        <w:rPr>
          <w:b/>
          <w:bCs/>
        </w:rPr>
        <w:t>proprietary fingerprint database</w:t>
      </w:r>
      <w:r>
        <w:t xml:space="preserve"> of:</w:t>
      </w:r>
    </w:p>
    <w:p w14:paraId="09F674B4" w14:textId="77777777" w:rsidR="00A26249" w:rsidRDefault="00000000">
      <w:pPr>
        <w:pStyle w:val="Compact"/>
        <w:numPr>
          <w:ilvl w:val="0"/>
          <w:numId w:val="3"/>
        </w:numPr>
      </w:pPr>
      <w:r>
        <w:t>✅ Confirmed binders (structure-activity relationships)</w:t>
      </w:r>
    </w:p>
    <w:p w14:paraId="4EE7E2C6" w14:textId="77777777" w:rsidR="00A26249" w:rsidRDefault="00000000">
      <w:pPr>
        <w:pStyle w:val="Compact"/>
        <w:numPr>
          <w:ilvl w:val="0"/>
          <w:numId w:val="3"/>
        </w:numPr>
      </w:pPr>
      <w:r>
        <w:t>❌ Confirmed non-binders (negative elucidation)</w:t>
      </w:r>
    </w:p>
    <w:p w14:paraId="30F3A76A" w14:textId="77777777" w:rsidR="00A26249" w:rsidRDefault="00000000">
      <w:pPr>
        <w:pStyle w:val="Compact"/>
        <w:numPr>
          <w:ilvl w:val="0"/>
          <w:numId w:val="3"/>
        </w:numPr>
      </w:pPr>
      <w:r>
        <w:t>⚠️ ADMET failures with structural annotations</w:t>
      </w:r>
    </w:p>
    <w:p w14:paraId="0E6A4D0D" w14:textId="77777777" w:rsidR="00A26249" w:rsidRDefault="00000000">
      <w:pPr>
        <w:pStyle w:val="FirstParagraph"/>
      </w:pPr>
      <w:r>
        <w:rPr>
          <w:b/>
          <w:bCs/>
        </w:rPr>
        <w:t>This dataset does not exist in public databases (ChEMBL, BindingDB, PubChem)</w:t>
      </w:r>
      <w:r>
        <w:t xml:space="preserve"> — it is specific to our target set and experimental context, forming a defensible proprietary moat.</w:t>
      </w:r>
    </w:p>
    <w:p w14:paraId="1F1AA066" w14:textId="77777777" w:rsidR="00A26249" w:rsidRDefault="00000000">
      <w:r>
        <w:pict w14:anchorId="3FD7FD24">
          <v:rect id="_x0000_i1139" style="width:0;height:1.5pt" o:hralign="center" o:hrstd="t" o:hr="t"/>
        </w:pict>
      </w:r>
    </w:p>
    <w:p w14:paraId="5B883721" w14:textId="77777777" w:rsidR="00A26249" w:rsidRDefault="00000000">
      <w:pPr>
        <w:pStyle w:val="Heading2"/>
      </w:pPr>
      <w:bookmarkStart w:id="18" w:name="data-defensibility-vs.-public-benchmarks"/>
      <w:bookmarkEnd w:id="14"/>
      <w:bookmarkEnd w:id="17"/>
      <w:r>
        <w:t>7. Data Defensibility vs. Public Benchmarks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11"/>
        <w:gridCol w:w="4032"/>
        <w:gridCol w:w="3633"/>
      </w:tblGrid>
      <w:tr w:rsidR="00A26249" w14:paraId="63F8F9B8" w14:textId="77777777" w:rsidTr="00E1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3B7D12C" w14:textId="77777777" w:rsidR="00A26249" w:rsidRDefault="00000000">
            <w:pPr>
              <w:pStyle w:val="Compact"/>
            </w:pPr>
            <w:r>
              <w:t>Dimension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DE032D8" w14:textId="77777777" w:rsidR="00A26249" w:rsidRDefault="00000000">
            <w:pPr>
              <w:pStyle w:val="Compact"/>
            </w:pPr>
            <w:r>
              <w:t>Public Datasets (ChEMBL, PubChem)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D0B423C" w14:textId="32DF72D9" w:rsidR="00A26249" w:rsidRDefault="00907609">
            <w:pPr>
              <w:pStyle w:val="Compact"/>
            </w:pPr>
            <w:r>
              <w:t>Genesys Quantis Closed-Loop DB</w:t>
            </w:r>
          </w:p>
        </w:tc>
      </w:tr>
      <w:tr w:rsidR="00A26249" w14:paraId="096AC098" w14:textId="77777777" w:rsidTr="00E16D8D">
        <w:tc>
          <w:tcPr>
            <w:tcW w:w="0" w:type="auto"/>
          </w:tcPr>
          <w:p w14:paraId="619106D8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GPCR Coverage</w:t>
            </w:r>
          </w:p>
        </w:tc>
        <w:tc>
          <w:tcPr>
            <w:tcW w:w="0" w:type="auto"/>
          </w:tcPr>
          <w:p w14:paraId="13C0881A" w14:textId="77777777" w:rsidR="00A26249" w:rsidRDefault="00000000">
            <w:pPr>
              <w:pStyle w:val="Compact"/>
            </w:pPr>
            <w:r>
              <w:t>General, historic assays</w:t>
            </w:r>
          </w:p>
        </w:tc>
        <w:tc>
          <w:tcPr>
            <w:tcW w:w="0" w:type="auto"/>
          </w:tcPr>
          <w:p w14:paraId="5C321C0B" w14:textId="77777777" w:rsidR="00A26249" w:rsidRDefault="00000000">
            <w:pPr>
              <w:pStyle w:val="Compact"/>
            </w:pPr>
            <w:r>
              <w:t>Target-specific, current</w:t>
            </w:r>
          </w:p>
        </w:tc>
      </w:tr>
      <w:tr w:rsidR="00A26249" w14:paraId="5D56BB9E" w14:textId="77777777" w:rsidTr="00E16D8D">
        <w:tc>
          <w:tcPr>
            <w:tcW w:w="0" w:type="auto"/>
          </w:tcPr>
          <w:p w14:paraId="5F6B3E97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Data Quality</w:t>
            </w:r>
          </w:p>
        </w:tc>
        <w:tc>
          <w:tcPr>
            <w:tcW w:w="0" w:type="auto"/>
          </w:tcPr>
          <w:p w14:paraId="304D099D" w14:textId="77777777" w:rsidR="00A26249" w:rsidRDefault="00000000">
            <w:pPr>
              <w:pStyle w:val="Compact"/>
            </w:pPr>
            <w:r>
              <w:t>Mixed assay conditions, lab noise</w:t>
            </w:r>
          </w:p>
        </w:tc>
        <w:tc>
          <w:tcPr>
            <w:tcW w:w="0" w:type="auto"/>
          </w:tcPr>
          <w:p w14:paraId="16768EF3" w14:textId="77777777" w:rsidR="00A26249" w:rsidRDefault="00000000">
            <w:pPr>
              <w:pStyle w:val="Compact"/>
            </w:pPr>
            <w:r>
              <w:t>Standardized protocols (OT-2)</w:t>
            </w:r>
          </w:p>
        </w:tc>
      </w:tr>
      <w:tr w:rsidR="00A26249" w14:paraId="5F080C02" w14:textId="77777777" w:rsidTr="00E16D8D">
        <w:tc>
          <w:tcPr>
            <w:tcW w:w="0" w:type="auto"/>
          </w:tcPr>
          <w:p w14:paraId="63689734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Negative Data</w:t>
            </w:r>
          </w:p>
        </w:tc>
        <w:tc>
          <w:tcPr>
            <w:tcW w:w="0" w:type="auto"/>
          </w:tcPr>
          <w:p w14:paraId="3E7D9AEE" w14:textId="77777777" w:rsidR="00A26249" w:rsidRDefault="00000000">
            <w:pPr>
              <w:pStyle w:val="Compact"/>
            </w:pPr>
            <w:r>
              <w:t>Rarely published</w:t>
            </w:r>
          </w:p>
        </w:tc>
        <w:tc>
          <w:tcPr>
            <w:tcW w:w="0" w:type="auto"/>
          </w:tcPr>
          <w:p w14:paraId="73AD6BA8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Fully captured</w:t>
            </w:r>
          </w:p>
        </w:tc>
      </w:tr>
      <w:tr w:rsidR="00A26249" w14:paraId="246FE994" w14:textId="77777777" w:rsidTr="00E16D8D">
        <w:tc>
          <w:tcPr>
            <w:tcW w:w="0" w:type="auto"/>
          </w:tcPr>
          <w:p w14:paraId="52C18BDB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Feedback Loop</w:t>
            </w:r>
          </w:p>
        </w:tc>
        <w:tc>
          <w:tcPr>
            <w:tcW w:w="0" w:type="auto"/>
          </w:tcPr>
          <w:p w14:paraId="661F364F" w14:textId="77777777" w:rsidR="00A26249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5673682A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Continuous retraining</w:t>
            </w:r>
          </w:p>
        </w:tc>
      </w:tr>
      <w:tr w:rsidR="00A26249" w14:paraId="38382482" w14:textId="77777777" w:rsidTr="00E16D8D">
        <w:tc>
          <w:tcPr>
            <w:tcW w:w="0" w:type="auto"/>
          </w:tcPr>
          <w:p w14:paraId="74608FD4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Proprietary</w:t>
            </w:r>
          </w:p>
        </w:tc>
        <w:tc>
          <w:tcPr>
            <w:tcW w:w="0" w:type="auto"/>
          </w:tcPr>
          <w:p w14:paraId="377AB9A4" w14:textId="77777777" w:rsidR="00A26249" w:rsidRDefault="00000000">
            <w:pPr>
              <w:pStyle w:val="Compact"/>
            </w:pPr>
            <w:r>
              <w:t>Open-access</w:t>
            </w:r>
          </w:p>
        </w:tc>
        <w:tc>
          <w:tcPr>
            <w:tcW w:w="0" w:type="auto"/>
          </w:tcPr>
          <w:p w14:paraId="7A30ABB4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IP-protected</w:t>
            </w:r>
          </w:p>
        </w:tc>
      </w:tr>
      <w:tr w:rsidR="00A26249" w14:paraId="5B83EEDE" w14:textId="77777777" w:rsidTr="00E16D8D">
        <w:tc>
          <w:tcPr>
            <w:tcW w:w="0" w:type="auto"/>
          </w:tcPr>
          <w:p w14:paraId="5CDD5C7A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Orphan GPCRs</w:t>
            </w:r>
          </w:p>
        </w:tc>
        <w:tc>
          <w:tcPr>
            <w:tcW w:w="0" w:type="auto"/>
          </w:tcPr>
          <w:p w14:paraId="33319893" w14:textId="77777777" w:rsidR="00A26249" w:rsidRDefault="00000000">
            <w:pPr>
              <w:pStyle w:val="Compact"/>
            </w:pPr>
            <w:r>
              <w:t>Sparse or absent</w:t>
            </w:r>
          </w:p>
        </w:tc>
        <w:tc>
          <w:tcPr>
            <w:tcW w:w="0" w:type="auto"/>
          </w:tcPr>
          <w:p w14:paraId="10B71A98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Active data collection</w:t>
            </w:r>
          </w:p>
        </w:tc>
      </w:tr>
    </w:tbl>
    <w:p w14:paraId="6F6F9695" w14:textId="77777777" w:rsidR="00A26249" w:rsidRDefault="00000000">
      <w:r>
        <w:pict w14:anchorId="5C171A0E">
          <v:rect id="_x0000_i1140" style="width:0;height:1.5pt" o:hralign="center" o:hrstd="t" o:hr="t"/>
        </w:pict>
      </w:r>
    </w:p>
    <w:p w14:paraId="26F0CD76" w14:textId="77777777" w:rsidR="00A26249" w:rsidRDefault="00000000">
      <w:pPr>
        <w:pStyle w:val="Heading2"/>
      </w:pPr>
      <w:bookmarkStart w:id="19" w:name="live-demonstration-readiness"/>
      <w:bookmarkEnd w:id="18"/>
      <w:r>
        <w:t>8. Live Demonstration Readiness</w:t>
      </w:r>
    </w:p>
    <w:p w14:paraId="7F07011A" w14:textId="77777777" w:rsidR="00A26249" w:rsidRDefault="00000000">
      <w:pPr>
        <w:pStyle w:val="Heading3"/>
      </w:pPr>
      <w:bookmarkStart w:id="20" w:name="X919e8d9e18d9cd3b99febae039bdb58f85ce3d4"/>
      <w:r>
        <w:t>8.1 Proof-of-Concept Walkthrough (Available On Request)</w:t>
      </w:r>
    </w:p>
    <w:p w14:paraId="4AC24F76" w14:textId="77777777" w:rsidR="00A26249" w:rsidRDefault="00000000">
      <w:pPr>
        <w:pStyle w:val="FirstParagraph"/>
      </w:pPr>
      <w:r>
        <w:t xml:space="preserve">The following can be demonstrated </w:t>
      </w:r>
      <w:r>
        <w:rPr>
          <w:b/>
          <w:bCs/>
        </w:rPr>
        <w:t>live</w:t>
      </w:r>
      <w:r>
        <w:t xml:space="preserve"> within 30 minutes:</w:t>
      </w:r>
    </w:p>
    <w:p w14:paraId="1B6F3604" w14:textId="77777777" w:rsidR="00A2624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Target Setup</w:t>
      </w:r>
      <w:r>
        <w:t>: Enter GPR35 → Fetch PDB structure → Display 3D binding pocket</w:t>
      </w:r>
    </w:p>
    <w:p w14:paraId="1477EA42" w14:textId="77777777" w:rsidR="00A2624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Hit Screening</w:t>
      </w:r>
      <w:r>
        <w:t xml:space="preserve">: Upload </w:t>
      </w:r>
      <w:r>
        <w:rPr>
          <w:rStyle w:val="VerbatimChar"/>
        </w:rPr>
        <w:t>GPR35_test_library.smi</w:t>
      </w:r>
      <w:r>
        <w:t xml:space="preserve"> → ML inference → Ranked candidate table</w:t>
      </w:r>
    </w:p>
    <w:p w14:paraId="57629F4C" w14:textId="77777777" w:rsidR="00A2624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Docking Simulation</w:t>
      </w:r>
      <w:r>
        <w:t>: Run AutoDock Vina on top-3 hits → View ΔG values</w:t>
      </w:r>
    </w:p>
    <w:p w14:paraId="7D85FEB9" w14:textId="77777777" w:rsidR="00A2624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Lead Optimization</w:t>
      </w:r>
      <w:r>
        <w:t>: Evolve Zaprinast SMILES → Display improved structure + score</w:t>
      </w:r>
    </w:p>
    <w:p w14:paraId="1889F06D" w14:textId="77777777" w:rsidR="00A2624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ADMET Profile</w:t>
      </w:r>
      <w:r>
        <w:t>: One-click ADMET report (toxicity, solubility, bioavailability)</w:t>
      </w:r>
    </w:p>
    <w:p w14:paraId="7ED94AC1" w14:textId="77777777" w:rsidR="00A2624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Lab Hand-Off</w:t>
      </w:r>
      <w:r>
        <w:t>: Generate Opentrons OT-2 protocol for wet-lab validation</w:t>
      </w:r>
    </w:p>
    <w:p w14:paraId="0EF73B43" w14:textId="7037E636" w:rsidR="00A26249" w:rsidRDefault="00000000">
      <w:bookmarkStart w:id="21" w:name="api-stability-checklist"/>
      <w:bookmarkEnd w:id="20"/>
      <w:r>
        <w:pict w14:anchorId="7D4F6BF7">
          <v:rect id="_x0000_i1141" style="width:0;height:1.5pt" o:hralign="center" o:bullet="t" o:hrstd="t" o:hr="t"/>
        </w:pict>
      </w:r>
      <w:bookmarkStart w:id="22" w:name="model-architecture"/>
      <w:bookmarkStart w:id="23" w:name="core-ai-models"/>
      <w:bookmarkEnd w:id="19"/>
      <w:bookmarkEnd w:id="21"/>
    </w:p>
    <w:p w14:paraId="2B87926A" w14:textId="77777777" w:rsidR="00AA0F69" w:rsidRDefault="00AA0F69"/>
    <w:p w14:paraId="3DA93489" w14:textId="40DD1119" w:rsidR="00A26249" w:rsidRDefault="00AA0F69">
      <w:pPr>
        <w:pStyle w:val="Heading2"/>
      </w:pPr>
      <w:bookmarkStart w:id="24" w:name="strategic-value-to-septerna"/>
      <w:bookmarkEnd w:id="22"/>
      <w:bookmarkEnd w:id="23"/>
      <w:r>
        <w:t>9</w:t>
      </w:r>
      <w:r w:rsidR="00000000">
        <w:t>. Strategic Value to Septerna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62"/>
        <w:gridCol w:w="4614"/>
      </w:tblGrid>
      <w:tr w:rsidR="00A26249" w14:paraId="4575A891" w14:textId="77777777" w:rsidTr="00E1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F513248" w14:textId="77777777" w:rsidR="00A26249" w:rsidRDefault="00000000">
            <w:pPr>
              <w:pStyle w:val="Compact"/>
            </w:pPr>
            <w:r>
              <w:t>Septerna Need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902A4B7" w14:textId="2C2D8BCC" w:rsidR="00A26249" w:rsidRDefault="00907609">
            <w:pPr>
              <w:pStyle w:val="Compact"/>
            </w:pPr>
            <w:r>
              <w:t>Genesys Quantis Capability</w:t>
            </w:r>
          </w:p>
        </w:tc>
      </w:tr>
      <w:tr w:rsidR="00A26249" w14:paraId="7FB08890" w14:textId="77777777" w:rsidTr="00E16D8D">
        <w:tc>
          <w:tcPr>
            <w:tcW w:w="0" w:type="auto"/>
          </w:tcPr>
          <w:p w14:paraId="4DD0A355" w14:textId="77777777" w:rsidR="00A26249" w:rsidRDefault="00000000">
            <w:pPr>
              <w:pStyle w:val="Compact"/>
            </w:pPr>
            <w:r>
              <w:t>Accelerate GPCR small-molecule screening</w:t>
            </w:r>
          </w:p>
        </w:tc>
        <w:tc>
          <w:tcPr>
            <w:tcW w:w="0" w:type="auto"/>
          </w:tcPr>
          <w:p w14:paraId="5816D9DB" w14:textId="77777777" w:rsidR="00A26249" w:rsidRDefault="00000000">
            <w:pPr>
              <w:pStyle w:val="Compact"/>
            </w:pPr>
            <w:r>
              <w:t>✅ 1M+ compounds/day ML inference</w:t>
            </w:r>
          </w:p>
        </w:tc>
      </w:tr>
      <w:tr w:rsidR="00A26249" w14:paraId="3C827391" w14:textId="77777777" w:rsidTr="00E16D8D">
        <w:tc>
          <w:tcPr>
            <w:tcW w:w="0" w:type="auto"/>
          </w:tcPr>
          <w:p w14:paraId="3273ECA2" w14:textId="77777777" w:rsidR="00A26249" w:rsidRDefault="00000000">
            <w:pPr>
              <w:pStyle w:val="Compact"/>
            </w:pPr>
            <w:r>
              <w:t>Reduce costly early-stage wet assays</w:t>
            </w:r>
          </w:p>
        </w:tc>
        <w:tc>
          <w:tcPr>
            <w:tcW w:w="0" w:type="auto"/>
          </w:tcPr>
          <w:p w14:paraId="2449C11E" w14:textId="77777777" w:rsidR="00A26249" w:rsidRDefault="00000000">
            <w:pPr>
              <w:pStyle w:val="Compact"/>
            </w:pPr>
            <w:r>
              <w:t>✅ ADMET + ΔG filter before lab</w:t>
            </w:r>
          </w:p>
        </w:tc>
      </w:tr>
      <w:tr w:rsidR="00A26249" w14:paraId="77D71A69" w14:textId="77777777" w:rsidTr="00E16D8D">
        <w:tc>
          <w:tcPr>
            <w:tcW w:w="0" w:type="auto"/>
          </w:tcPr>
          <w:p w14:paraId="73984914" w14:textId="77777777" w:rsidR="00A26249" w:rsidRDefault="00000000">
            <w:pPr>
              <w:pStyle w:val="Compact"/>
            </w:pPr>
            <w:r>
              <w:t>Orphan GPCR target tractability assessment</w:t>
            </w:r>
          </w:p>
        </w:tc>
        <w:tc>
          <w:tcPr>
            <w:tcW w:w="0" w:type="auto"/>
          </w:tcPr>
          <w:p w14:paraId="34388871" w14:textId="77777777" w:rsidR="00A26249" w:rsidRDefault="00000000">
            <w:pPr>
              <w:pStyle w:val="Compact"/>
            </w:pPr>
            <w:r>
              <w:t>✅ Available — GPR35 validated</w:t>
            </w:r>
          </w:p>
        </w:tc>
      </w:tr>
      <w:tr w:rsidR="00A26249" w14:paraId="6A1712F6" w14:textId="77777777" w:rsidTr="00E16D8D">
        <w:tc>
          <w:tcPr>
            <w:tcW w:w="0" w:type="auto"/>
          </w:tcPr>
          <w:p w14:paraId="121D134D" w14:textId="77777777" w:rsidR="00A26249" w:rsidRDefault="00000000">
            <w:pPr>
              <w:pStyle w:val="Compact"/>
            </w:pPr>
            <w:r>
              <w:t>Bias-free candidate evaluation</w:t>
            </w:r>
          </w:p>
        </w:tc>
        <w:tc>
          <w:tcPr>
            <w:tcW w:w="0" w:type="auto"/>
          </w:tcPr>
          <w:p w14:paraId="007A2CD8" w14:textId="77777777" w:rsidR="00A26249" w:rsidRDefault="00000000">
            <w:pPr>
              <w:pStyle w:val="Compact"/>
            </w:pPr>
            <w:r>
              <w:t>✅ Blinded analysis module</w:t>
            </w:r>
          </w:p>
        </w:tc>
      </w:tr>
      <w:tr w:rsidR="00A26249" w14:paraId="20AC5B21" w14:textId="77777777" w:rsidTr="00E16D8D">
        <w:tc>
          <w:tcPr>
            <w:tcW w:w="0" w:type="auto"/>
          </w:tcPr>
          <w:p w14:paraId="123F65ED" w14:textId="77777777" w:rsidR="00A26249" w:rsidRDefault="00000000">
            <w:pPr>
              <w:pStyle w:val="Compact"/>
            </w:pPr>
            <w:r>
              <w:t>LIMS / data integration</w:t>
            </w:r>
          </w:p>
        </w:tc>
        <w:tc>
          <w:tcPr>
            <w:tcW w:w="0" w:type="auto"/>
          </w:tcPr>
          <w:p w14:paraId="2535EC06" w14:textId="77777777" w:rsidR="00A26249" w:rsidRDefault="00000000">
            <w:pPr>
              <w:pStyle w:val="Compact"/>
            </w:pPr>
            <w:r>
              <w:t>✅ GAMP-compliant backend, MongoDB</w:t>
            </w:r>
          </w:p>
        </w:tc>
      </w:tr>
      <w:tr w:rsidR="00A26249" w14:paraId="06B106B0" w14:textId="77777777" w:rsidTr="00E16D8D">
        <w:tc>
          <w:tcPr>
            <w:tcW w:w="0" w:type="auto"/>
          </w:tcPr>
          <w:p w14:paraId="0F30B644" w14:textId="77777777" w:rsidR="00A26249" w:rsidRDefault="00000000">
            <w:pPr>
              <w:pStyle w:val="Compact"/>
            </w:pPr>
            <w:r>
              <w:t>Regulatory data trail</w:t>
            </w:r>
          </w:p>
        </w:tc>
        <w:tc>
          <w:tcPr>
            <w:tcW w:w="0" w:type="auto"/>
          </w:tcPr>
          <w:p w14:paraId="5ACD07CC" w14:textId="77777777" w:rsidR="00A26249" w:rsidRDefault="00000000">
            <w:pPr>
              <w:pStyle w:val="Compact"/>
            </w:pPr>
            <w:r>
              <w:t>✅ Full audit trail on all experiments</w:t>
            </w:r>
          </w:p>
        </w:tc>
      </w:tr>
      <w:tr w:rsidR="00A26249" w14:paraId="5B72B0ED" w14:textId="77777777" w:rsidTr="00E16D8D">
        <w:tc>
          <w:tcPr>
            <w:tcW w:w="0" w:type="auto"/>
          </w:tcPr>
          <w:p w14:paraId="505A3ECA" w14:textId="77777777" w:rsidR="00A26249" w:rsidRDefault="00000000">
            <w:pPr>
              <w:pStyle w:val="Compact"/>
            </w:pPr>
            <w:r>
              <w:t>Scalable infrastructure</w:t>
            </w:r>
          </w:p>
        </w:tc>
        <w:tc>
          <w:tcPr>
            <w:tcW w:w="0" w:type="auto"/>
          </w:tcPr>
          <w:p w14:paraId="3127B5B5" w14:textId="77777777" w:rsidR="00A26249" w:rsidRDefault="00000000">
            <w:pPr>
              <w:pStyle w:val="Compact"/>
            </w:pPr>
            <w:r>
              <w:t>✅ Celery + Redis async task queue</w:t>
            </w:r>
          </w:p>
        </w:tc>
      </w:tr>
    </w:tbl>
    <w:p w14:paraId="270F9198" w14:textId="36AF09E9" w:rsidR="00A26249" w:rsidRDefault="00000000">
      <w:bookmarkStart w:id="25" w:name="next-steps"/>
      <w:bookmarkEnd w:id="24"/>
      <w:r>
        <w:pict w14:anchorId="50EFCF5D">
          <v:rect id="_x0000_i1143" style="width:0;height:1.5pt" o:hralign="center" o:hrstd="t" o:hr="t"/>
        </w:pict>
      </w:r>
    </w:p>
    <w:p w14:paraId="1B512E5E" w14:textId="735123F5" w:rsidR="00A26249" w:rsidRDefault="00000000">
      <w:pPr>
        <w:pStyle w:val="Heading2"/>
      </w:pPr>
      <w:bookmarkStart w:id="26" w:name="appendix"/>
      <w:bookmarkEnd w:id="25"/>
      <w:r>
        <w:t>1</w:t>
      </w:r>
      <w:r w:rsidR="00AA0F69">
        <w:t>0</w:t>
      </w:r>
      <w:r>
        <w:t>. Appendix</w:t>
      </w:r>
    </w:p>
    <w:p w14:paraId="146C7DD4" w14:textId="77777777" w:rsidR="00A26249" w:rsidRDefault="00000000">
      <w:pPr>
        <w:pStyle w:val="Heading3"/>
      </w:pPr>
      <w:bookmarkStart w:id="27" w:name="a.-gpr35-test-library-smiles"/>
      <w:r>
        <w:t>A. GPR35 Test Library (SMILES)</w:t>
      </w:r>
    </w:p>
    <w:p w14:paraId="2123F1E7" w14:textId="77777777" w:rsidR="00A26249" w:rsidRDefault="00000000">
      <w:pPr>
        <w:pStyle w:val="SourceCode"/>
      </w:pPr>
      <w:r>
        <w:rPr>
          <w:rStyle w:val="VerbatimChar"/>
        </w:rPr>
        <w:t>O=C1NC=NC2=C1C(=O)N(C(=O)N2C)C   Caffeine_Decoy</w:t>
      </w:r>
      <w:r>
        <w:br/>
      </w:r>
      <w:r>
        <w:rPr>
          <w:rStyle w:val="VerbatimChar"/>
        </w:rPr>
        <w:t>O=C1C=C(C(=O)O)NC2=C1C=CC=C2     Kynurenic_Acid_Agonist</w:t>
      </w:r>
      <w:r>
        <w:br/>
      </w:r>
      <w:r>
        <w:rPr>
          <w:rStyle w:val="VerbatimChar"/>
        </w:rPr>
        <w:t>O=C1c2ccccc2-c3nc(ccc13)c4ccccc4 Pamoic_Acid_Agonist</w:t>
      </w:r>
      <w:r>
        <w:br/>
      </w:r>
      <w:r>
        <w:rPr>
          <w:rStyle w:val="VerbatimChar"/>
        </w:rPr>
        <w:lastRenderedPageBreak/>
        <w:t>CCOc1cc(=O)n2c(c1)cccc2           Zaprinast_Agonist</w:t>
      </w:r>
      <w:r>
        <w:br/>
      </w:r>
      <w:r>
        <w:rPr>
          <w:rStyle w:val="VerbatimChar"/>
        </w:rPr>
        <w:t>O=C(Cc1ccc(O)c(O)c1)C(F)(F)F     Lodoxamide_Tromethamine_Agonist</w:t>
      </w:r>
      <w:r>
        <w:br/>
      </w:r>
      <w:r>
        <w:rPr>
          <w:rStyle w:val="VerbatimChar"/>
        </w:rPr>
        <w:t>CC(=O)Oc1ccccc1C(=O)O             Aspirin_Decoy</w:t>
      </w:r>
    </w:p>
    <w:p w14:paraId="7B03F41F" w14:textId="77777777" w:rsidR="00A26249" w:rsidRDefault="00000000">
      <w:pPr>
        <w:pStyle w:val="Heading3"/>
      </w:pPr>
      <w:bookmarkStart w:id="28" w:name="b.-key-literature-references"/>
      <w:bookmarkEnd w:id="27"/>
      <w:r>
        <w:t>B. Key Literature References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16"/>
        <w:gridCol w:w="4760"/>
      </w:tblGrid>
      <w:tr w:rsidR="00A26249" w14:paraId="08B15661" w14:textId="77777777" w:rsidTr="00E1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1B934DB" w14:textId="77777777" w:rsidR="00A26249" w:rsidRDefault="00000000">
            <w:pPr>
              <w:pStyle w:val="Compact"/>
            </w:pPr>
            <w:r>
              <w:t>Reference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92DAF78" w14:textId="77777777" w:rsidR="00A26249" w:rsidRDefault="00000000">
            <w:pPr>
              <w:pStyle w:val="Compact"/>
            </w:pPr>
            <w:r>
              <w:t>Relevance</w:t>
            </w:r>
          </w:p>
        </w:tc>
      </w:tr>
      <w:tr w:rsidR="00A26249" w14:paraId="47E07CE7" w14:textId="77777777" w:rsidTr="00E16D8D">
        <w:tc>
          <w:tcPr>
            <w:tcW w:w="0" w:type="auto"/>
          </w:tcPr>
          <w:p w14:paraId="164B7B2B" w14:textId="77777777" w:rsidR="00A26249" w:rsidRDefault="00000000">
            <w:pPr>
              <w:pStyle w:val="Compact"/>
            </w:pPr>
            <w:r>
              <w:t xml:space="preserve">Divorty et al. (2015) </w:t>
            </w:r>
            <w:r>
              <w:rPr>
                <w:i/>
                <w:iCs/>
              </w:rPr>
              <w:t>Front. Pharmacol.</w:t>
            </w:r>
          </w:p>
        </w:tc>
        <w:tc>
          <w:tcPr>
            <w:tcW w:w="0" w:type="auto"/>
          </w:tcPr>
          <w:p w14:paraId="68C0CF60" w14:textId="77777777" w:rsidR="00A26249" w:rsidRDefault="00000000">
            <w:pPr>
              <w:pStyle w:val="Compact"/>
            </w:pPr>
            <w:r>
              <w:t>GPR35 biology and agonist pharmacology</w:t>
            </w:r>
          </w:p>
        </w:tc>
      </w:tr>
      <w:tr w:rsidR="00A26249" w14:paraId="012285DE" w14:textId="77777777" w:rsidTr="00E16D8D">
        <w:tc>
          <w:tcPr>
            <w:tcW w:w="0" w:type="auto"/>
          </w:tcPr>
          <w:p w14:paraId="0A247A65" w14:textId="77777777" w:rsidR="00A26249" w:rsidRDefault="00000000">
            <w:pPr>
              <w:pStyle w:val="Compact"/>
            </w:pPr>
            <w:r>
              <w:t xml:space="preserve">Wang et al. (2023) </w:t>
            </w:r>
            <w:r>
              <w:rPr>
                <w:i/>
                <w:iCs/>
              </w:rPr>
              <w:t>Nature</w:t>
            </w:r>
          </w:p>
        </w:tc>
        <w:tc>
          <w:tcPr>
            <w:tcW w:w="0" w:type="auto"/>
          </w:tcPr>
          <w:p w14:paraId="34782B51" w14:textId="77777777" w:rsidR="00A26249" w:rsidRDefault="00000000">
            <w:pPr>
              <w:pStyle w:val="Compact"/>
            </w:pPr>
            <w:r>
              <w:t>AlphaFold2 GPCR structure accuracy</w:t>
            </w:r>
          </w:p>
        </w:tc>
      </w:tr>
      <w:tr w:rsidR="00A26249" w14:paraId="07D9C7CE" w14:textId="77777777" w:rsidTr="00E16D8D">
        <w:tc>
          <w:tcPr>
            <w:tcW w:w="0" w:type="auto"/>
          </w:tcPr>
          <w:p w14:paraId="2476350C" w14:textId="77777777" w:rsidR="00A26249" w:rsidRDefault="00000000">
            <w:pPr>
              <w:pStyle w:val="Compact"/>
            </w:pPr>
            <w:r>
              <w:t xml:space="preserve">McNutt et al. (2021) </w:t>
            </w:r>
            <w:r>
              <w:rPr>
                <w:i/>
                <w:iCs/>
              </w:rPr>
              <w:t>JCIM</w:t>
            </w:r>
          </w:p>
        </w:tc>
        <w:tc>
          <w:tcPr>
            <w:tcW w:w="0" w:type="auto"/>
          </w:tcPr>
          <w:p w14:paraId="65DDC4F5" w14:textId="77777777" w:rsidR="00A26249" w:rsidRDefault="00000000">
            <w:pPr>
              <w:pStyle w:val="Compact"/>
            </w:pPr>
            <w:r>
              <w:t>AutoDock Vina accuracy benchmarks</w:t>
            </w:r>
          </w:p>
        </w:tc>
      </w:tr>
      <w:tr w:rsidR="00A26249" w14:paraId="76A868C5" w14:textId="77777777" w:rsidTr="00E16D8D">
        <w:tc>
          <w:tcPr>
            <w:tcW w:w="0" w:type="auto"/>
          </w:tcPr>
          <w:p w14:paraId="48D2EF12" w14:textId="77777777" w:rsidR="00A26249" w:rsidRDefault="00000000">
            <w:pPr>
              <w:pStyle w:val="Compact"/>
            </w:pPr>
            <w:r>
              <w:t xml:space="preserve">Jumper et al. (2021) </w:t>
            </w:r>
            <w:r>
              <w:rPr>
                <w:i/>
                <w:iCs/>
              </w:rPr>
              <w:t>Nature</w:t>
            </w:r>
          </w:p>
        </w:tc>
        <w:tc>
          <w:tcPr>
            <w:tcW w:w="0" w:type="auto"/>
          </w:tcPr>
          <w:p w14:paraId="5F2A5915" w14:textId="77777777" w:rsidR="00A26249" w:rsidRDefault="00000000">
            <w:pPr>
              <w:pStyle w:val="Compact"/>
            </w:pPr>
            <w:r>
              <w:t>AlphaFold2 original paper</w:t>
            </w:r>
          </w:p>
        </w:tc>
      </w:tr>
      <w:tr w:rsidR="00A26249" w14:paraId="662868C3" w14:textId="77777777" w:rsidTr="00E16D8D">
        <w:tc>
          <w:tcPr>
            <w:tcW w:w="0" w:type="auto"/>
          </w:tcPr>
          <w:p w14:paraId="35C84E38" w14:textId="77777777" w:rsidR="00A26249" w:rsidRDefault="00000000">
            <w:pPr>
              <w:pStyle w:val="Compact"/>
            </w:pPr>
            <w:r>
              <w:t xml:space="preserve">Staton &amp; Bhave (2023) </w:t>
            </w:r>
            <w:r>
              <w:rPr>
                <w:i/>
                <w:iCs/>
              </w:rPr>
              <w:t>Drug Discov. Today</w:t>
            </w:r>
          </w:p>
        </w:tc>
        <w:tc>
          <w:tcPr>
            <w:tcW w:w="0" w:type="auto"/>
          </w:tcPr>
          <w:p w14:paraId="606D8F89" w14:textId="77777777" w:rsidR="00A26249" w:rsidRDefault="00000000">
            <w:pPr>
              <w:pStyle w:val="Compact"/>
            </w:pPr>
            <w:r>
              <w:t>AI-driven GPCR drug discovery review</w:t>
            </w:r>
          </w:p>
        </w:tc>
      </w:tr>
    </w:tbl>
    <w:p w14:paraId="3747F38E" w14:textId="77777777" w:rsidR="00A26249" w:rsidRDefault="00000000">
      <w:pPr>
        <w:pStyle w:val="Heading3"/>
      </w:pPr>
      <w:bookmarkStart w:id="29" w:name="c.-glossary"/>
      <w:bookmarkEnd w:id="28"/>
      <w:r>
        <w:t>C. Glossary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23"/>
        <w:gridCol w:w="7853"/>
      </w:tblGrid>
      <w:tr w:rsidR="00A26249" w14:paraId="39CE7451" w14:textId="77777777" w:rsidTr="00E1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E576BF2" w14:textId="77777777" w:rsidR="00A26249" w:rsidRDefault="00000000">
            <w:pPr>
              <w:pStyle w:val="Compact"/>
            </w:pPr>
            <w:r>
              <w:t>Term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D50931" w14:textId="77777777" w:rsidR="00A26249" w:rsidRDefault="00000000">
            <w:pPr>
              <w:pStyle w:val="Compact"/>
            </w:pPr>
            <w:r>
              <w:t>Definition</w:t>
            </w:r>
          </w:p>
        </w:tc>
      </w:tr>
      <w:tr w:rsidR="00A26249" w14:paraId="56D3F684" w14:textId="77777777" w:rsidTr="00E16D8D">
        <w:tc>
          <w:tcPr>
            <w:tcW w:w="0" w:type="auto"/>
          </w:tcPr>
          <w:p w14:paraId="40512742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GPCR</w:t>
            </w:r>
          </w:p>
        </w:tc>
        <w:tc>
          <w:tcPr>
            <w:tcW w:w="0" w:type="auto"/>
          </w:tcPr>
          <w:p w14:paraId="045BF508" w14:textId="77777777" w:rsidR="00A26249" w:rsidRDefault="00000000">
            <w:pPr>
              <w:pStyle w:val="Compact"/>
            </w:pPr>
            <w:r>
              <w:t>G Protein-Coupled Receptor — largest druggable receptor superfamily</w:t>
            </w:r>
          </w:p>
        </w:tc>
      </w:tr>
      <w:tr w:rsidR="00A26249" w14:paraId="7D129978" w14:textId="77777777" w:rsidTr="00E16D8D">
        <w:tc>
          <w:tcPr>
            <w:tcW w:w="0" w:type="auto"/>
          </w:tcPr>
          <w:p w14:paraId="1CA51227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pIC50</w:t>
            </w:r>
          </w:p>
        </w:tc>
        <w:tc>
          <w:tcPr>
            <w:tcW w:w="0" w:type="auto"/>
          </w:tcPr>
          <w:p w14:paraId="03B620BD" w14:textId="77777777" w:rsidR="00A26249" w:rsidRDefault="00000000">
            <w:pPr>
              <w:pStyle w:val="Compact"/>
            </w:pPr>
            <w:r>
              <w:t>Negative log of IC50 — higher = more potent binder</w:t>
            </w:r>
          </w:p>
        </w:tc>
      </w:tr>
      <w:tr w:rsidR="00A26249" w14:paraId="3ED0BFE3" w14:textId="77777777" w:rsidTr="00E16D8D">
        <w:tc>
          <w:tcPr>
            <w:tcW w:w="0" w:type="auto"/>
          </w:tcPr>
          <w:p w14:paraId="4D96943E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ΔG</w:t>
            </w:r>
          </w:p>
        </w:tc>
        <w:tc>
          <w:tcPr>
            <w:tcW w:w="0" w:type="auto"/>
          </w:tcPr>
          <w:p w14:paraId="24C1EDE9" w14:textId="77777777" w:rsidR="00A26249" w:rsidRDefault="00000000">
            <w:pPr>
              <w:pStyle w:val="Compact"/>
            </w:pPr>
            <w:r>
              <w:t>Gibbs free energy of binding (kcal/mol) — more negative = stronger binding</w:t>
            </w:r>
          </w:p>
        </w:tc>
      </w:tr>
      <w:tr w:rsidR="00A26249" w14:paraId="03BEAEEF" w14:textId="77777777" w:rsidTr="00E16D8D">
        <w:tc>
          <w:tcPr>
            <w:tcW w:w="0" w:type="auto"/>
          </w:tcPr>
          <w:p w14:paraId="695E42CD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SMILES</w:t>
            </w:r>
          </w:p>
        </w:tc>
        <w:tc>
          <w:tcPr>
            <w:tcW w:w="0" w:type="auto"/>
          </w:tcPr>
          <w:p w14:paraId="60359C6B" w14:textId="77777777" w:rsidR="00A26249" w:rsidRDefault="00000000">
            <w:pPr>
              <w:pStyle w:val="Compact"/>
            </w:pPr>
            <w:r>
              <w:t>Simplified Molecular Input Line Entry System — text representation of molecules</w:t>
            </w:r>
          </w:p>
        </w:tc>
      </w:tr>
      <w:tr w:rsidR="00A26249" w14:paraId="7A94EC57" w14:textId="77777777" w:rsidTr="00E16D8D">
        <w:tc>
          <w:tcPr>
            <w:tcW w:w="0" w:type="auto"/>
          </w:tcPr>
          <w:p w14:paraId="4549B62E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ADMET</w:t>
            </w:r>
          </w:p>
        </w:tc>
        <w:tc>
          <w:tcPr>
            <w:tcW w:w="0" w:type="auto"/>
          </w:tcPr>
          <w:p w14:paraId="37DED4C2" w14:textId="77777777" w:rsidR="00A26249" w:rsidRDefault="00000000">
            <w:pPr>
              <w:pStyle w:val="Compact"/>
            </w:pPr>
            <w:r>
              <w:t>Absorption, Distribution, Metabolism, Excretion, Toxicity</w:t>
            </w:r>
          </w:p>
        </w:tc>
      </w:tr>
      <w:tr w:rsidR="00A26249" w14:paraId="46CE7A4E" w14:textId="77777777" w:rsidTr="00E16D8D">
        <w:tc>
          <w:tcPr>
            <w:tcW w:w="0" w:type="auto"/>
          </w:tcPr>
          <w:p w14:paraId="3E3BCBF4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SAR</w:t>
            </w:r>
          </w:p>
        </w:tc>
        <w:tc>
          <w:tcPr>
            <w:tcW w:w="0" w:type="auto"/>
          </w:tcPr>
          <w:p w14:paraId="170C1D58" w14:textId="77777777" w:rsidR="00A26249" w:rsidRDefault="00000000">
            <w:pPr>
              <w:pStyle w:val="Compact"/>
            </w:pPr>
            <w:r>
              <w:t>Structure-Activity Relationship</w:t>
            </w:r>
          </w:p>
        </w:tc>
      </w:tr>
      <w:tr w:rsidR="00A26249" w14:paraId="190A5F7E" w14:textId="77777777" w:rsidTr="00E16D8D">
        <w:tc>
          <w:tcPr>
            <w:tcW w:w="0" w:type="auto"/>
          </w:tcPr>
          <w:p w14:paraId="7A36EB28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ProteinMPNN</w:t>
            </w:r>
          </w:p>
        </w:tc>
        <w:tc>
          <w:tcPr>
            <w:tcW w:w="0" w:type="auto"/>
          </w:tcPr>
          <w:p w14:paraId="27E86228" w14:textId="77777777" w:rsidR="00A26249" w:rsidRDefault="00000000">
            <w:pPr>
              <w:pStyle w:val="Compact"/>
            </w:pPr>
            <w:r>
              <w:t>Deep learning model for protein sequence design from structure</w:t>
            </w:r>
          </w:p>
        </w:tc>
      </w:tr>
      <w:tr w:rsidR="00A26249" w14:paraId="75E9BC5B" w14:textId="77777777" w:rsidTr="00E16D8D">
        <w:tc>
          <w:tcPr>
            <w:tcW w:w="0" w:type="auto"/>
          </w:tcPr>
          <w:p w14:paraId="3DFE18C6" w14:textId="77777777" w:rsidR="00A26249" w:rsidRDefault="00000000">
            <w:pPr>
              <w:pStyle w:val="Compact"/>
            </w:pPr>
            <w:r>
              <w:rPr>
                <w:b/>
                <w:bCs/>
              </w:rPr>
              <w:t>DiffDock</w:t>
            </w:r>
          </w:p>
        </w:tc>
        <w:tc>
          <w:tcPr>
            <w:tcW w:w="0" w:type="auto"/>
          </w:tcPr>
          <w:p w14:paraId="58094004" w14:textId="77777777" w:rsidR="00A26249" w:rsidRDefault="00000000">
            <w:pPr>
              <w:pStyle w:val="Compact"/>
            </w:pPr>
            <w:r>
              <w:t>Diffusion-based flexible molecular docking model (SOTA)</w:t>
            </w:r>
          </w:p>
        </w:tc>
      </w:tr>
    </w:tbl>
    <w:p w14:paraId="22EBE646" w14:textId="77777777" w:rsidR="00A26249" w:rsidRDefault="00000000">
      <w:r>
        <w:pict w14:anchorId="1AF303BF">
          <v:rect id="_x0000_i1144" style="width:0;height:1.5pt" o:hralign="center" o:hrstd="t" o:hr="t"/>
        </w:pict>
      </w:r>
    </w:p>
    <w:p w14:paraId="4EEDBE9B" w14:textId="015EB723" w:rsidR="00A26249" w:rsidRDefault="00000000">
      <w:pPr>
        <w:pStyle w:val="FirstParagraph"/>
      </w:pPr>
      <w:r>
        <w:rPr>
          <w:i/>
          <w:iCs/>
        </w:rPr>
        <w:t xml:space="preserve">Document prepared by </w:t>
      </w:r>
      <w:r w:rsidR="00907609">
        <w:rPr>
          <w:i/>
          <w:iCs/>
        </w:rPr>
        <w:t>Genesys Quantis</w:t>
      </w:r>
      <w:r>
        <w:rPr>
          <w:i/>
          <w:iCs/>
        </w:rPr>
        <w:t xml:space="preserve"> Healthcare Pvt Ltd — Confidential</w:t>
      </w:r>
      <w:r>
        <w:br/>
      </w:r>
      <w:r>
        <w:rPr>
          <w:i/>
          <w:iCs/>
        </w:rPr>
        <w:t xml:space="preserve">Contact: Ashwin Kumar T S | Founder | </w:t>
      </w:r>
      <w:r w:rsidR="00907609">
        <w:rPr>
          <w:i/>
          <w:iCs/>
        </w:rPr>
        <w:t>Zerokost</w:t>
      </w:r>
      <w:r>
        <w:rPr>
          <w:i/>
          <w:iCs/>
        </w:rPr>
        <w:t xml:space="preserve"> Healthcare Pvt Ltd</w:t>
      </w:r>
      <w:r>
        <w:br/>
      </w:r>
      <w:r>
        <w:rPr>
          <w:i/>
          <w:iCs/>
        </w:rPr>
        <w:t>Date: March 25, 2026</w:t>
      </w:r>
      <w:bookmarkEnd w:id="0"/>
      <w:bookmarkEnd w:id="26"/>
      <w:bookmarkEnd w:id="29"/>
    </w:p>
    <w:sectPr w:rsidR="00A26249">
      <w:head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201AF" w14:textId="77777777" w:rsidR="00045918" w:rsidRDefault="00045918">
      <w:pPr>
        <w:spacing w:after="0"/>
      </w:pPr>
      <w:r>
        <w:separator/>
      </w:r>
    </w:p>
  </w:endnote>
  <w:endnote w:type="continuationSeparator" w:id="0">
    <w:p w14:paraId="12323057" w14:textId="77777777" w:rsidR="00045918" w:rsidRDefault="000459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3152A" w14:textId="77777777" w:rsidR="00045918" w:rsidRDefault="00045918">
      <w:r>
        <w:separator/>
      </w:r>
    </w:p>
  </w:footnote>
  <w:footnote w:type="continuationSeparator" w:id="0">
    <w:p w14:paraId="56B9BF03" w14:textId="77777777" w:rsidR="00045918" w:rsidRDefault="000459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278F2" w14:textId="105E7B3C" w:rsidR="00881729" w:rsidRDefault="00A422E6">
    <w:pPr>
      <w:pStyle w:val="Header"/>
    </w:pPr>
    <w:r>
      <w:rPr>
        <w:i/>
        <w:iCs/>
        <w:noProof/>
      </w:rPr>
      <w:drawing>
        <wp:anchor distT="0" distB="0" distL="114300" distR="114300" simplePos="0" relativeHeight="251654656" behindDoc="0" locked="0" layoutInCell="1" allowOverlap="1" wp14:anchorId="13AA5CC1" wp14:editId="3D851343">
          <wp:simplePos x="0" y="0"/>
          <wp:positionH relativeFrom="column">
            <wp:posOffset>-177800</wp:posOffset>
          </wp:positionH>
          <wp:positionV relativeFrom="page">
            <wp:posOffset>171450</wp:posOffset>
          </wp:positionV>
          <wp:extent cx="1511300" cy="610235"/>
          <wp:effectExtent l="0" t="0" r="0" b="0"/>
          <wp:wrapTopAndBottom/>
          <wp:docPr id="200915086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1300" cy="610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81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165624A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F8CCD1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7EEDE2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12895927">
    <w:abstractNumId w:val="0"/>
  </w:num>
  <w:num w:numId="2" w16cid:durableId="471027327">
    <w:abstractNumId w:val="1"/>
  </w:num>
  <w:num w:numId="3" w16cid:durableId="1178426604">
    <w:abstractNumId w:val="1"/>
  </w:num>
  <w:num w:numId="4" w16cid:durableId="11678622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249"/>
    <w:rsid w:val="00045918"/>
    <w:rsid w:val="0022511F"/>
    <w:rsid w:val="005011F4"/>
    <w:rsid w:val="00732643"/>
    <w:rsid w:val="00881729"/>
    <w:rsid w:val="00907609"/>
    <w:rsid w:val="009428E3"/>
    <w:rsid w:val="00A26249"/>
    <w:rsid w:val="00A422E6"/>
    <w:rsid w:val="00AA0F69"/>
    <w:rsid w:val="00B66CD2"/>
    <w:rsid w:val="00C041F2"/>
    <w:rsid w:val="00E16D8D"/>
    <w:rsid w:val="00FB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8239E"/>
  <w15:docId w15:val="{FE9049AA-EF18-4AF2-95B8-DFD3E331D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88172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81729"/>
  </w:style>
  <w:style w:type="paragraph" w:styleId="Footer">
    <w:name w:val="footer"/>
    <w:basedOn w:val="Normal"/>
    <w:link w:val="FooterChar"/>
    <w:unhideWhenUsed/>
    <w:rsid w:val="0088172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81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7</Pages>
  <Words>1451</Words>
  <Characters>8275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 Mange</dc:creator>
  <cp:keywords/>
  <cp:lastModifiedBy>Raj Mange</cp:lastModifiedBy>
  <cp:revision>6</cp:revision>
  <cp:lastPrinted>2026-03-25T08:18:00Z</cp:lastPrinted>
  <dcterms:created xsi:type="dcterms:W3CDTF">2026-03-25T06:03:00Z</dcterms:created>
  <dcterms:modified xsi:type="dcterms:W3CDTF">2026-03-25T10:18:00Z</dcterms:modified>
</cp:coreProperties>
</file>