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6680" w14:textId="77777777" w:rsidR="008744F7" w:rsidRDefault="008744F7" w:rsidP="008744F7"/>
    <w:p w14:paraId="29A62C38" w14:textId="77777777" w:rsidR="008744F7" w:rsidRDefault="008744F7" w:rsidP="008744F7"/>
    <w:p w14:paraId="4A0047C7" w14:textId="77777777" w:rsidR="008744F7" w:rsidRDefault="008744F7" w:rsidP="008744F7"/>
    <w:p w14:paraId="18D0ED1A" w14:textId="77777777" w:rsidR="008744F7" w:rsidRDefault="008744F7" w:rsidP="008744F7"/>
    <w:p w14:paraId="34D43FDA" w14:textId="77777777" w:rsidR="00D042D5" w:rsidRDefault="00C0675A" w:rsidP="009652A1">
      <w:pPr>
        <w:pStyle w:val="Titel"/>
      </w:pPr>
      <w:r w:rsidRPr="00C0675A">
        <w:t xml:space="preserve">Abschlussbericht </w:t>
      </w:r>
      <w:r w:rsidR="00D042D5">
        <w:t xml:space="preserve">Konzepte des </w:t>
      </w:r>
      <w:proofErr w:type="spellStart"/>
      <w:r w:rsidR="00D042D5">
        <w:t>Machine</w:t>
      </w:r>
      <w:proofErr w:type="spellEnd"/>
      <w:r w:rsidR="00D042D5">
        <w:t xml:space="preserve"> </w:t>
      </w:r>
      <w:proofErr w:type="spellStart"/>
      <w:r w:rsidR="00D042D5">
        <w:t>Learnings</w:t>
      </w:r>
      <w:proofErr w:type="spellEnd"/>
    </w:p>
    <w:p w14:paraId="2001005C" w14:textId="77777777" w:rsidR="00D042D5" w:rsidRDefault="00D042D5" w:rsidP="009652A1">
      <w:pPr>
        <w:pStyle w:val="Titel"/>
      </w:pPr>
    </w:p>
    <w:p w14:paraId="262CB73A" w14:textId="7F687329" w:rsidR="00854823" w:rsidRPr="009652A1" w:rsidRDefault="00D042D5" w:rsidP="009652A1">
      <w:pPr>
        <w:pStyle w:val="Titel"/>
      </w:pPr>
      <w:r w:rsidRPr="00D042D5">
        <w:t>Entwicklung eines probabilistischen LSTM/RNN-Modells zur Vorhersage von Photovoltaik-Einspeisung auf Basis von SMARD-Marktdaten</w:t>
      </w:r>
    </w:p>
    <w:p w14:paraId="4D9C7C6A" w14:textId="77777777" w:rsidR="008744F7" w:rsidRPr="008744F7" w:rsidRDefault="008744F7" w:rsidP="008744F7"/>
    <w:p w14:paraId="33146088" w14:textId="34C65715" w:rsidR="008744F7" w:rsidRPr="009652A1" w:rsidRDefault="00C0675A" w:rsidP="009652A1">
      <w:pPr>
        <w:pStyle w:val="Untertitel"/>
      </w:pPr>
      <w:r>
        <w:t>Projektbericht</w:t>
      </w:r>
    </w:p>
    <w:p w14:paraId="757B1303" w14:textId="245D4BDC" w:rsidR="008744F7" w:rsidRPr="009652A1" w:rsidRDefault="008744F7" w:rsidP="00D25BC5">
      <w:pPr>
        <w:pStyle w:val="Untertitel"/>
      </w:pPr>
      <w:r w:rsidRPr="009652A1">
        <w:t xml:space="preserve">Vorgelegt von </w:t>
      </w:r>
      <w:r w:rsidR="00854823" w:rsidRPr="009652A1">
        <w:t xml:space="preserve">Valentin Bäumer </w:t>
      </w:r>
      <w:r w:rsidR="00D25BC5">
        <w:t>(</w:t>
      </w:r>
      <w:r w:rsidR="00D25BC5" w:rsidRPr="00D25BC5">
        <w:t>107055</w:t>
      </w:r>
      <w:r w:rsidR="00D25BC5">
        <w:t xml:space="preserve">) </w:t>
      </w:r>
      <w:r w:rsidR="00854823" w:rsidRPr="009652A1">
        <w:t xml:space="preserve">und </w:t>
      </w:r>
      <w:r w:rsidRPr="009652A1">
        <w:t>Jan-Christian Raabe (106980)</w:t>
      </w:r>
    </w:p>
    <w:p w14:paraId="1CF7F592" w14:textId="41CD4493" w:rsidR="008744F7" w:rsidRDefault="008744F7" w:rsidP="009652A1">
      <w:pPr>
        <w:pStyle w:val="Untertitel"/>
      </w:pPr>
      <w:r w:rsidRPr="009652A1">
        <w:t>Im Sommersemester 2026</w:t>
      </w:r>
    </w:p>
    <w:p w14:paraId="183A71C7" w14:textId="77777777" w:rsidR="008744F7" w:rsidRDefault="008744F7" w:rsidP="008744F7"/>
    <w:p w14:paraId="44459A41" w14:textId="152EDDF9" w:rsidR="008744F7" w:rsidRPr="009652A1" w:rsidRDefault="00D042D5" w:rsidP="009652A1">
      <w:pPr>
        <w:pStyle w:val="Untertitel"/>
        <w:rPr>
          <w:sz w:val="36"/>
          <w:szCs w:val="36"/>
        </w:rPr>
      </w:pPr>
      <w:r>
        <w:rPr>
          <w:sz w:val="36"/>
          <w:szCs w:val="36"/>
        </w:rPr>
        <w:t xml:space="preserve">Konzepte des </w:t>
      </w:r>
      <w:proofErr w:type="spellStart"/>
      <w:r>
        <w:rPr>
          <w:sz w:val="36"/>
          <w:szCs w:val="36"/>
        </w:rPr>
        <w:t>Machine</w:t>
      </w:r>
      <w:proofErr w:type="spellEnd"/>
      <w:r>
        <w:rPr>
          <w:sz w:val="36"/>
          <w:szCs w:val="36"/>
        </w:rPr>
        <w:t xml:space="preserve"> </w:t>
      </w:r>
      <w:proofErr w:type="spellStart"/>
      <w:r>
        <w:rPr>
          <w:sz w:val="36"/>
          <w:szCs w:val="36"/>
        </w:rPr>
        <w:t>Learnings</w:t>
      </w:r>
      <w:proofErr w:type="spellEnd"/>
      <w:r w:rsidR="008744F7" w:rsidRPr="009652A1">
        <w:rPr>
          <w:sz w:val="36"/>
          <w:szCs w:val="36"/>
        </w:rPr>
        <w:t xml:space="preserve"> [SS26]</w:t>
      </w:r>
    </w:p>
    <w:p w14:paraId="566CC6EB" w14:textId="22975572" w:rsidR="008744F7" w:rsidRDefault="008744F7" w:rsidP="009652A1">
      <w:pPr>
        <w:pStyle w:val="Untertitel"/>
        <w:sectPr w:rsidR="008744F7">
          <w:pgSz w:w="11906" w:h="16838"/>
          <w:pgMar w:top="1417" w:right="1417" w:bottom="1134" w:left="1417" w:header="708" w:footer="708" w:gutter="0"/>
          <w:cols w:space="708"/>
          <w:docGrid w:linePitch="360"/>
        </w:sectPr>
      </w:pPr>
      <w:r>
        <w:t xml:space="preserve">Betreut von </w:t>
      </w:r>
      <w:r w:rsidR="00D042D5" w:rsidRPr="00D042D5">
        <w:t>Prof. Dr. Christian-Arved Bohn</w:t>
      </w:r>
    </w:p>
    <w:p w14:paraId="6EE048B2" w14:textId="77777777" w:rsidR="008744F7" w:rsidRDefault="008744F7" w:rsidP="008744F7">
      <w:pPr>
        <w:sectPr w:rsidR="008744F7">
          <w:headerReference w:type="default" r:id="rId11"/>
          <w:footerReference w:type="default" r:id="rId12"/>
          <w:pgSz w:w="11906" w:h="16838"/>
          <w:pgMar w:top="1417" w:right="1417" w:bottom="1134" w:left="1417" w:header="708" w:footer="708" w:gutter="0"/>
          <w:cols w:space="708"/>
          <w:docGrid w:linePitch="360"/>
        </w:sectPr>
      </w:pPr>
    </w:p>
    <w:p w14:paraId="45E71E0C" w14:textId="611DD309" w:rsidR="008744F7" w:rsidRDefault="008744F7" w:rsidP="67FB7592">
      <w:pPr>
        <w:pStyle w:val="Verzeichnisse"/>
      </w:pPr>
      <w:r>
        <w:lastRenderedPageBreak/>
        <w:t>Inhaltsverzeichnis</w:t>
      </w:r>
    </w:p>
    <w:sdt>
      <w:sdtPr>
        <w:rPr>
          <w:rFonts w:cs="Times New Roman"/>
        </w:rPr>
        <w:id w:val="-919100602"/>
        <w:docPartObj>
          <w:docPartGallery w:val="Table of Contents"/>
          <w:docPartUnique/>
        </w:docPartObj>
      </w:sdtPr>
      <w:sdtEndPr>
        <w:rPr>
          <w:rFonts w:eastAsiaTheme="minorEastAsia"/>
          <w:b/>
          <w:bCs/>
        </w:rPr>
      </w:sdtEndPr>
      <w:sdtContent>
        <w:p w14:paraId="71B21E47" w14:textId="2C7C6253" w:rsidR="009E6031" w:rsidRPr="002E712D" w:rsidRDefault="009E6031" w:rsidP="009652A1">
          <w:pPr>
            <w:rPr>
              <w:rFonts w:cs="Times New Roman"/>
            </w:rPr>
          </w:pPr>
        </w:p>
        <w:p w14:paraId="357FE297" w14:textId="4D0A7A57" w:rsidR="002E712D" w:rsidRPr="002E712D" w:rsidRDefault="009E6031">
          <w:pPr>
            <w:pStyle w:val="Verzeichnis1"/>
            <w:tabs>
              <w:tab w:val="left" w:pos="480"/>
              <w:tab w:val="right" w:leader="dot" w:pos="9062"/>
            </w:tabs>
            <w:rPr>
              <w:rFonts w:ascii="Times New Roman" w:eastAsiaTheme="minorEastAsia" w:hAnsi="Times New Roman" w:cs="Times New Roman"/>
              <w:b/>
              <w:bCs/>
              <w:noProof/>
              <w:lang w:eastAsia="de-DE"/>
            </w:rPr>
          </w:pPr>
          <w:r w:rsidRPr="002E712D">
            <w:rPr>
              <w:rFonts w:ascii="Times New Roman" w:hAnsi="Times New Roman" w:cs="Times New Roman"/>
            </w:rPr>
            <w:fldChar w:fldCharType="begin"/>
          </w:r>
          <w:r w:rsidRPr="002E712D">
            <w:rPr>
              <w:rFonts w:ascii="Times New Roman" w:hAnsi="Times New Roman" w:cs="Times New Roman"/>
            </w:rPr>
            <w:instrText>TOC \o "1-3" \z \u \h</w:instrText>
          </w:r>
          <w:r w:rsidRPr="002E712D">
            <w:rPr>
              <w:rFonts w:ascii="Times New Roman" w:hAnsi="Times New Roman" w:cs="Times New Roman"/>
            </w:rPr>
            <w:fldChar w:fldCharType="separate"/>
          </w:r>
          <w:hyperlink w:anchor="_Toc236481603" w:history="1">
            <w:r w:rsidR="002E712D" w:rsidRPr="002E712D">
              <w:rPr>
                <w:rStyle w:val="Hyperlink"/>
                <w:rFonts w:ascii="Times New Roman" w:hAnsi="Times New Roman" w:cs="Times New Roman"/>
                <w:b/>
                <w:bCs/>
                <w:noProof/>
              </w:rPr>
              <w:t>1</w:t>
            </w:r>
            <w:r w:rsidR="002E712D" w:rsidRPr="002E712D">
              <w:rPr>
                <w:rFonts w:ascii="Times New Roman" w:eastAsiaTheme="minorEastAsia" w:hAnsi="Times New Roman" w:cs="Times New Roman"/>
                <w:b/>
                <w:bCs/>
                <w:noProof/>
                <w:lang w:eastAsia="de-DE"/>
              </w:rPr>
              <w:tab/>
            </w:r>
            <w:r w:rsidR="002E712D" w:rsidRPr="002E712D">
              <w:rPr>
                <w:rStyle w:val="Hyperlink"/>
                <w:rFonts w:ascii="Times New Roman" w:hAnsi="Times New Roman" w:cs="Times New Roman"/>
                <w:b/>
                <w:bCs/>
                <w:noProof/>
              </w:rPr>
              <w:t>Einleitung und Zielsetzung</w:t>
            </w:r>
            <w:r w:rsidR="002E712D" w:rsidRPr="002E712D">
              <w:rPr>
                <w:rFonts w:ascii="Times New Roman" w:hAnsi="Times New Roman" w:cs="Times New Roman"/>
                <w:b/>
                <w:bCs/>
                <w:noProof/>
                <w:webHidden/>
              </w:rPr>
              <w:tab/>
            </w:r>
            <w:r w:rsidR="002E712D" w:rsidRPr="002E712D">
              <w:rPr>
                <w:rFonts w:ascii="Times New Roman" w:hAnsi="Times New Roman" w:cs="Times New Roman"/>
                <w:b/>
                <w:bCs/>
                <w:noProof/>
                <w:webHidden/>
              </w:rPr>
              <w:fldChar w:fldCharType="begin"/>
            </w:r>
            <w:r w:rsidR="002E712D" w:rsidRPr="002E712D">
              <w:rPr>
                <w:rFonts w:ascii="Times New Roman" w:hAnsi="Times New Roman" w:cs="Times New Roman"/>
                <w:b/>
                <w:bCs/>
                <w:noProof/>
                <w:webHidden/>
              </w:rPr>
              <w:instrText xml:space="preserve"> PAGEREF _Toc236481603 \h </w:instrText>
            </w:r>
            <w:r w:rsidR="002E712D" w:rsidRPr="002E712D">
              <w:rPr>
                <w:rFonts w:ascii="Times New Roman" w:hAnsi="Times New Roman" w:cs="Times New Roman"/>
                <w:b/>
                <w:bCs/>
                <w:noProof/>
                <w:webHidden/>
              </w:rPr>
            </w:r>
            <w:r w:rsidR="002E712D" w:rsidRPr="002E712D">
              <w:rPr>
                <w:rFonts w:ascii="Times New Roman" w:hAnsi="Times New Roman" w:cs="Times New Roman"/>
                <w:b/>
                <w:bCs/>
                <w:noProof/>
                <w:webHidden/>
              </w:rPr>
              <w:fldChar w:fldCharType="separate"/>
            </w:r>
            <w:r w:rsidR="002E712D" w:rsidRPr="002E712D">
              <w:rPr>
                <w:rFonts w:ascii="Times New Roman" w:hAnsi="Times New Roman" w:cs="Times New Roman"/>
                <w:b/>
                <w:bCs/>
                <w:noProof/>
                <w:webHidden/>
              </w:rPr>
              <w:t>1</w:t>
            </w:r>
            <w:r w:rsidR="002E712D" w:rsidRPr="002E712D">
              <w:rPr>
                <w:rFonts w:ascii="Times New Roman" w:hAnsi="Times New Roman" w:cs="Times New Roman"/>
                <w:b/>
                <w:bCs/>
                <w:noProof/>
                <w:webHidden/>
              </w:rPr>
              <w:fldChar w:fldCharType="end"/>
            </w:r>
          </w:hyperlink>
        </w:p>
        <w:p w14:paraId="062492AD" w14:textId="0B635E01"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04" w:history="1">
            <w:r w:rsidRPr="002E712D">
              <w:rPr>
                <w:rStyle w:val="Hyperlink"/>
                <w:rFonts w:ascii="Times New Roman" w:hAnsi="Times New Roman" w:cs="Times New Roman"/>
                <w:noProof/>
              </w:rPr>
              <w:t>1.1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Welches Problem soll das Projekt lösen?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_Toc236481604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w:t>
            </w:r>
            <w:r w:rsidRPr="002E712D">
              <w:rPr>
                <w:rFonts w:ascii="Times New Roman" w:hAnsi="Times New Roman" w:cs="Times New Roman"/>
                <w:noProof/>
                <w:webHidden/>
              </w:rPr>
              <w:fldChar w:fldCharType="end"/>
            </w:r>
          </w:hyperlink>
        </w:p>
        <w:p w14:paraId="441BA5D4" w14:textId="4439C6A4"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05" w:history="1">
            <w:r w:rsidRPr="002E712D">
              <w:rPr>
                <w:rStyle w:val="Hyperlink"/>
                <w:rFonts w:ascii="Times New Roman" w:hAnsi="Times New Roman" w:cs="Times New Roman"/>
                <w:noProof/>
              </w:rPr>
              <w:t>1.2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Interesse und Motivation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_Toc236481605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2</w:t>
            </w:r>
            <w:r w:rsidRPr="002E712D">
              <w:rPr>
                <w:rFonts w:ascii="Times New Roman" w:hAnsi="Times New Roman" w:cs="Times New Roman"/>
                <w:noProof/>
                <w:webHidden/>
              </w:rPr>
              <w:fldChar w:fldCharType="end"/>
            </w:r>
          </w:hyperlink>
        </w:p>
        <w:p w14:paraId="73B58B95" w14:textId="7B2B49FC"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06" w:history="1">
            <w:r w:rsidRPr="002E712D">
              <w:rPr>
                <w:rStyle w:val="Hyperlink"/>
                <w:rFonts w:ascii="Times New Roman" w:hAnsi="Times New Roman" w:cs="Times New Roman"/>
                <w:noProof/>
              </w:rPr>
              <w:t>1.3</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Was soll demonstriert werden?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_Toc236481606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2</w:t>
            </w:r>
            <w:r w:rsidRPr="002E712D">
              <w:rPr>
                <w:rFonts w:ascii="Times New Roman" w:hAnsi="Times New Roman" w:cs="Times New Roman"/>
                <w:noProof/>
                <w:webHidden/>
              </w:rPr>
              <w:fldChar w:fldCharType="end"/>
            </w:r>
          </w:hyperlink>
        </w:p>
        <w:p w14:paraId="16B8BD9B" w14:textId="252BCDFC"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07" w:history="1">
            <w:r w:rsidRPr="002E712D">
              <w:rPr>
                <w:rStyle w:val="Hyperlink"/>
                <w:rFonts w:ascii="Times New Roman" w:hAnsi="Times New Roman" w:cs="Times New Roman"/>
                <w:noProof/>
              </w:rPr>
              <w:t>1.4</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Stand der Technik</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_Toc236481607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2</w:t>
            </w:r>
            <w:r w:rsidRPr="002E712D">
              <w:rPr>
                <w:rFonts w:ascii="Times New Roman" w:hAnsi="Times New Roman" w:cs="Times New Roman"/>
                <w:noProof/>
                <w:webHidden/>
              </w:rPr>
              <w:fldChar w:fldCharType="end"/>
            </w:r>
          </w:hyperlink>
        </w:p>
        <w:p w14:paraId="484E9B21" w14:textId="73F1FA87"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08" w:history="1">
            <w:r w:rsidRPr="002E712D">
              <w:rPr>
                <w:rStyle w:val="Hyperlink"/>
                <w:rFonts w:ascii="Times New Roman" w:hAnsi="Times New Roman" w:cs="Times New Roman"/>
                <w:noProof/>
              </w:rPr>
              <w:t>1.5</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Das finale Produkt</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_Toc236481608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3</w:t>
            </w:r>
            <w:r w:rsidRPr="002E712D">
              <w:rPr>
                <w:rFonts w:ascii="Times New Roman" w:hAnsi="Times New Roman" w:cs="Times New Roman"/>
                <w:noProof/>
                <w:webHidden/>
              </w:rPr>
              <w:fldChar w:fldCharType="end"/>
            </w:r>
          </w:hyperlink>
        </w:p>
        <w:p w14:paraId="0AA22732" w14:textId="1909E09B"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09" w:history="1">
            <w:r w:rsidRPr="002E712D">
              <w:rPr>
                <w:rStyle w:val="Hyperlink"/>
                <w:rFonts w:ascii="Times New Roman" w:hAnsi="Times New Roman" w:cs="Times New Roman"/>
                <w:noProof/>
              </w:rPr>
              <w:t>1.5.1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Qualitative Produktbeschreibung</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_Toc236481609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3</w:t>
            </w:r>
            <w:r w:rsidRPr="002E712D">
              <w:rPr>
                <w:rFonts w:ascii="Times New Roman" w:hAnsi="Times New Roman" w:cs="Times New Roman"/>
                <w:noProof/>
                <w:webHidden/>
              </w:rPr>
              <w:fldChar w:fldCharType="end"/>
            </w:r>
          </w:hyperlink>
        </w:p>
        <w:p w14:paraId="09C6535A" w14:textId="608C7DEC"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10" w:history="1">
            <w:r w:rsidRPr="002E712D">
              <w:rPr>
                <w:rStyle w:val="Hyperlink"/>
                <w:rFonts w:ascii="Times New Roman" w:hAnsi="Times New Roman" w:cs="Times New Roman"/>
                <w:noProof/>
              </w:rPr>
              <w:t>1.5.2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Technische Implementierung und Software-Architektur</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_Toc236481610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6</w:t>
            </w:r>
            <w:r w:rsidRPr="002E712D">
              <w:rPr>
                <w:rFonts w:ascii="Times New Roman" w:hAnsi="Times New Roman" w:cs="Times New Roman"/>
                <w:noProof/>
                <w:webHidden/>
              </w:rPr>
              <w:fldChar w:fldCharType="end"/>
            </w:r>
          </w:hyperlink>
        </w:p>
        <w:p w14:paraId="1878614A" w14:textId="6EA14AFA"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11" w:history="1">
            <w:r w:rsidRPr="002E712D">
              <w:rPr>
                <w:rStyle w:val="Hyperlink"/>
                <w:rFonts w:ascii="Times New Roman" w:hAnsi="Times New Roman" w:cs="Times New Roman"/>
                <w:b/>
                <w:bCs/>
                <w:noProof/>
              </w:rPr>
              <w:t>2</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Arbeitspakete</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_Toc236481611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8</w:t>
            </w:r>
            <w:r w:rsidRPr="002E712D">
              <w:rPr>
                <w:rFonts w:ascii="Times New Roman" w:hAnsi="Times New Roman" w:cs="Times New Roman"/>
                <w:b/>
                <w:bCs/>
                <w:noProof/>
                <w:webHidden/>
              </w:rPr>
              <w:fldChar w:fldCharType="end"/>
            </w:r>
          </w:hyperlink>
        </w:p>
        <w:p w14:paraId="5D391332" w14:textId="1C2D5CBA"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2" w:history="1">
            <w:r w:rsidRPr="002E712D">
              <w:rPr>
                <w:rStyle w:val="Hyperlink"/>
                <w:rFonts w:ascii="Times New Roman" w:hAnsi="Times New Roman" w:cs="Times New Roman"/>
                <w:noProof/>
              </w:rPr>
              <w:t>2.1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AP1: Recherche nach geeigneten Datenquellen und explorative Datenanalyse</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_Toc236481612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8</w:t>
            </w:r>
            <w:r w:rsidRPr="002E712D">
              <w:rPr>
                <w:rFonts w:ascii="Times New Roman" w:hAnsi="Times New Roman" w:cs="Times New Roman"/>
                <w:noProof/>
                <w:webHidden/>
              </w:rPr>
              <w:fldChar w:fldCharType="end"/>
            </w:r>
          </w:hyperlink>
        </w:p>
        <w:p w14:paraId="71A251A8" w14:textId="3F18E1AE"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3" w:history="1">
            <w:r w:rsidRPr="002E712D">
              <w:rPr>
                <w:rStyle w:val="Hyperlink"/>
                <w:rFonts w:ascii="Times New Roman" w:hAnsi="Times New Roman" w:cs="Times New Roman"/>
                <w:noProof/>
              </w:rPr>
              <w:t>2.2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AP2: Modellarchitektur und probabilistisches Training (LSTM vs. RNN)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_Toc236481613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8</w:t>
            </w:r>
            <w:r w:rsidRPr="002E712D">
              <w:rPr>
                <w:rFonts w:ascii="Times New Roman" w:hAnsi="Times New Roman" w:cs="Times New Roman"/>
                <w:noProof/>
                <w:webHidden/>
              </w:rPr>
              <w:fldChar w:fldCharType="end"/>
            </w:r>
          </w:hyperlink>
        </w:p>
        <w:p w14:paraId="7B239AD4" w14:textId="044C05D3"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4" w:history="1">
            <w:r w:rsidRPr="002E712D">
              <w:rPr>
                <w:rStyle w:val="Hyperlink"/>
                <w:rFonts w:ascii="Times New Roman" w:hAnsi="Times New Roman" w:cs="Times New Roman"/>
                <w:noProof/>
              </w:rPr>
              <w:t>2.3</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AP3: Evaluierung, Modellvergleich und Erklärbarkeit</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_Toc236481614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8</w:t>
            </w:r>
            <w:r w:rsidRPr="002E712D">
              <w:rPr>
                <w:rFonts w:ascii="Times New Roman" w:hAnsi="Times New Roman" w:cs="Times New Roman"/>
                <w:noProof/>
                <w:webHidden/>
              </w:rPr>
              <w:fldChar w:fldCharType="end"/>
            </w:r>
          </w:hyperlink>
        </w:p>
        <w:p w14:paraId="1FF7C083" w14:textId="493F9495"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5" w:history="1">
            <w:r w:rsidRPr="002E712D">
              <w:rPr>
                <w:rStyle w:val="Hyperlink"/>
                <w:rFonts w:ascii="Times New Roman" w:hAnsi="Times New Roman" w:cs="Times New Roman"/>
                <w:noProof/>
              </w:rPr>
              <w:t>2.4</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AP4: Containerisierung und Projektdokumentation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_Toc236481615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9</w:t>
            </w:r>
            <w:r w:rsidRPr="002E712D">
              <w:rPr>
                <w:rFonts w:ascii="Times New Roman" w:hAnsi="Times New Roman" w:cs="Times New Roman"/>
                <w:noProof/>
                <w:webHidden/>
              </w:rPr>
              <w:fldChar w:fldCharType="end"/>
            </w:r>
          </w:hyperlink>
        </w:p>
        <w:p w14:paraId="7EA1210D" w14:textId="0E804CA6"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16" w:history="1">
            <w:r w:rsidRPr="002E712D">
              <w:rPr>
                <w:rStyle w:val="Hyperlink"/>
                <w:rFonts w:ascii="Times New Roman" w:hAnsi="Times New Roman" w:cs="Times New Roman"/>
                <w:b/>
                <w:bCs/>
                <w:noProof/>
              </w:rPr>
              <w:t>3</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Vorgehensweise und Projektumsetzung</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_Toc236481616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10</w:t>
            </w:r>
            <w:r w:rsidRPr="002E712D">
              <w:rPr>
                <w:rFonts w:ascii="Times New Roman" w:hAnsi="Times New Roman" w:cs="Times New Roman"/>
                <w:b/>
                <w:bCs/>
                <w:noProof/>
                <w:webHidden/>
              </w:rPr>
              <w:fldChar w:fldCharType="end"/>
            </w:r>
          </w:hyperlink>
        </w:p>
        <w:p w14:paraId="067DEA29" w14:textId="5BB14F5C"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7" w:history="1">
            <w:r w:rsidRPr="002E712D">
              <w:rPr>
                <w:rStyle w:val="Hyperlink"/>
                <w:rFonts w:ascii="Times New Roman" w:hAnsi="Times New Roman" w:cs="Times New Roman"/>
                <w:noProof/>
              </w:rPr>
              <w:t>3.1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Kick-Off</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_Toc236481617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10</w:t>
            </w:r>
            <w:r w:rsidRPr="002E712D">
              <w:rPr>
                <w:rFonts w:ascii="Times New Roman" w:hAnsi="Times New Roman" w:cs="Times New Roman"/>
                <w:noProof/>
                <w:webHidden/>
              </w:rPr>
              <w:fldChar w:fldCharType="end"/>
            </w:r>
          </w:hyperlink>
        </w:p>
        <w:p w14:paraId="278CD2E1" w14:textId="40BF0026"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8" w:history="1">
            <w:r w:rsidRPr="002E712D">
              <w:rPr>
                <w:rStyle w:val="Hyperlink"/>
                <w:rFonts w:ascii="Times New Roman" w:hAnsi="Times New Roman" w:cs="Times New Roman"/>
                <w:noProof/>
              </w:rPr>
              <w:t>3.2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Zeitplan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_Toc236481618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10</w:t>
            </w:r>
            <w:r w:rsidRPr="002E712D">
              <w:rPr>
                <w:rFonts w:ascii="Times New Roman" w:hAnsi="Times New Roman" w:cs="Times New Roman"/>
                <w:noProof/>
                <w:webHidden/>
              </w:rPr>
              <w:fldChar w:fldCharType="end"/>
            </w:r>
          </w:hyperlink>
        </w:p>
        <w:p w14:paraId="6082CD1D" w14:textId="07A0EB77"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19" w:history="1">
            <w:r w:rsidRPr="002E712D">
              <w:rPr>
                <w:rStyle w:val="Hyperlink"/>
                <w:rFonts w:ascii="Times New Roman" w:hAnsi="Times New Roman" w:cs="Times New Roman"/>
                <w:noProof/>
              </w:rPr>
              <w:t>3.3</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Organisation im Projektteam</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_Toc236481619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12</w:t>
            </w:r>
            <w:r w:rsidRPr="002E712D">
              <w:rPr>
                <w:rFonts w:ascii="Times New Roman" w:hAnsi="Times New Roman" w:cs="Times New Roman"/>
                <w:noProof/>
                <w:webHidden/>
              </w:rPr>
              <w:fldChar w:fldCharType="end"/>
            </w:r>
          </w:hyperlink>
        </w:p>
        <w:p w14:paraId="1503C766" w14:textId="1ED94A53"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20" w:history="1">
            <w:r w:rsidRPr="002E712D">
              <w:rPr>
                <w:rStyle w:val="Hyperlink"/>
                <w:rFonts w:ascii="Times New Roman" w:hAnsi="Times New Roman" w:cs="Times New Roman"/>
                <w:b/>
                <w:bCs/>
                <w:noProof/>
              </w:rPr>
              <w:t>4</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Ergebnisse und Diskussion</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_Toc236481620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13</w:t>
            </w:r>
            <w:r w:rsidRPr="002E712D">
              <w:rPr>
                <w:rFonts w:ascii="Times New Roman" w:hAnsi="Times New Roman" w:cs="Times New Roman"/>
                <w:b/>
                <w:bCs/>
                <w:noProof/>
                <w:webHidden/>
              </w:rPr>
              <w:fldChar w:fldCharType="end"/>
            </w:r>
          </w:hyperlink>
        </w:p>
        <w:p w14:paraId="4D05632E" w14:textId="086B0687"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21" w:history="1">
            <w:r w:rsidRPr="002E712D">
              <w:rPr>
                <w:rStyle w:val="Hyperlink"/>
                <w:rFonts w:ascii="Times New Roman" w:hAnsi="Times New Roman" w:cs="Times New Roman"/>
                <w:noProof/>
              </w:rPr>
              <w:t>4.1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Explorative Datenanalyse</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_Toc236481621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13</w:t>
            </w:r>
            <w:r w:rsidRPr="002E712D">
              <w:rPr>
                <w:rFonts w:ascii="Times New Roman" w:hAnsi="Times New Roman" w:cs="Times New Roman"/>
                <w:noProof/>
                <w:webHidden/>
              </w:rPr>
              <w:fldChar w:fldCharType="end"/>
            </w:r>
          </w:hyperlink>
        </w:p>
        <w:p w14:paraId="62BAAE5B" w14:textId="719EFA78"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22" w:history="1">
            <w:r w:rsidRPr="002E712D">
              <w:rPr>
                <w:rStyle w:val="Hyperlink"/>
                <w:rFonts w:ascii="Times New Roman" w:hAnsi="Times New Roman" w:cs="Times New Roman"/>
                <w:noProof/>
              </w:rPr>
              <w:t>4.1.1</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Datensatzstruktur und Vollständigkeit</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_Toc236481622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13</w:t>
            </w:r>
            <w:r w:rsidRPr="002E712D">
              <w:rPr>
                <w:rFonts w:ascii="Times New Roman" w:hAnsi="Times New Roman" w:cs="Times New Roman"/>
                <w:noProof/>
                <w:webHidden/>
              </w:rPr>
              <w:fldChar w:fldCharType="end"/>
            </w:r>
          </w:hyperlink>
        </w:p>
        <w:p w14:paraId="2EBFC050" w14:textId="292F9B91"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23" w:history="1">
            <w:r w:rsidRPr="002E712D">
              <w:rPr>
                <w:rStyle w:val="Hyperlink"/>
                <w:rFonts w:ascii="Times New Roman" w:hAnsi="Times New Roman" w:cs="Times New Roman"/>
                <w:noProof/>
              </w:rPr>
              <w:t>4.1.2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Deskriptive Analyse der Kernkomponenten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_Toc236481623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14</w:t>
            </w:r>
            <w:r w:rsidRPr="002E712D">
              <w:rPr>
                <w:rFonts w:ascii="Times New Roman" w:hAnsi="Times New Roman" w:cs="Times New Roman"/>
                <w:noProof/>
                <w:webHidden/>
              </w:rPr>
              <w:fldChar w:fldCharType="end"/>
            </w:r>
          </w:hyperlink>
        </w:p>
        <w:p w14:paraId="0D417C15" w14:textId="34480C60"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24" w:history="1">
            <w:r w:rsidRPr="002E712D">
              <w:rPr>
                <w:rStyle w:val="Hyperlink"/>
                <w:rFonts w:ascii="Times New Roman" w:hAnsi="Times New Roman" w:cs="Times New Roman"/>
                <w:noProof/>
              </w:rPr>
              <w:t>4.1.3</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Mathematische Stationaritätsprüfung</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_Toc236481624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16</w:t>
            </w:r>
            <w:r w:rsidRPr="002E712D">
              <w:rPr>
                <w:rFonts w:ascii="Times New Roman" w:hAnsi="Times New Roman" w:cs="Times New Roman"/>
                <w:noProof/>
                <w:webHidden/>
              </w:rPr>
              <w:fldChar w:fldCharType="end"/>
            </w:r>
          </w:hyperlink>
        </w:p>
        <w:p w14:paraId="2441DBE4" w14:textId="2E2F0F80" w:rsidR="002E712D" w:rsidRPr="002E712D" w:rsidRDefault="002E712D">
          <w:pPr>
            <w:pStyle w:val="Verzeichnis3"/>
            <w:tabs>
              <w:tab w:val="left" w:pos="1440"/>
              <w:tab w:val="right" w:leader="dot" w:pos="9062"/>
            </w:tabs>
            <w:rPr>
              <w:rFonts w:ascii="Times New Roman" w:eastAsiaTheme="minorEastAsia" w:hAnsi="Times New Roman" w:cs="Times New Roman"/>
              <w:noProof/>
              <w:lang w:eastAsia="de-DE"/>
            </w:rPr>
          </w:pPr>
          <w:hyperlink w:anchor="_Toc236481625" w:history="1">
            <w:r w:rsidRPr="002E712D">
              <w:rPr>
                <w:rStyle w:val="Hyperlink"/>
                <w:rFonts w:ascii="Times New Roman" w:hAnsi="Times New Roman" w:cs="Times New Roman"/>
                <w:noProof/>
              </w:rPr>
              <w:t>4.1.4</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Tensor-Transformation für das überwachte Lernen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_Toc236481625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16</w:t>
            </w:r>
            <w:r w:rsidRPr="002E712D">
              <w:rPr>
                <w:rFonts w:ascii="Times New Roman" w:hAnsi="Times New Roman" w:cs="Times New Roman"/>
                <w:noProof/>
                <w:webHidden/>
              </w:rPr>
              <w:fldChar w:fldCharType="end"/>
            </w:r>
          </w:hyperlink>
        </w:p>
        <w:p w14:paraId="0D9D7E64" w14:textId="6931C76E" w:rsidR="002E712D" w:rsidRPr="002E712D" w:rsidRDefault="002E712D">
          <w:pPr>
            <w:pStyle w:val="Verzeichnis2"/>
            <w:tabs>
              <w:tab w:val="left" w:pos="960"/>
              <w:tab w:val="right" w:leader="dot" w:pos="9062"/>
            </w:tabs>
            <w:rPr>
              <w:rFonts w:ascii="Times New Roman" w:eastAsiaTheme="minorEastAsia" w:hAnsi="Times New Roman" w:cs="Times New Roman"/>
              <w:noProof/>
              <w:lang w:eastAsia="de-DE"/>
            </w:rPr>
          </w:pPr>
          <w:hyperlink w:anchor="_Toc236481626" w:history="1">
            <w:r w:rsidRPr="002E712D">
              <w:rPr>
                <w:rStyle w:val="Hyperlink"/>
                <w:rFonts w:ascii="Times New Roman" w:hAnsi="Times New Roman" w:cs="Times New Roman"/>
                <w:noProof/>
              </w:rPr>
              <w:t>4.2</w:t>
            </w:r>
            <w:r w:rsidRPr="002E712D">
              <w:rPr>
                <w:rFonts w:ascii="Times New Roman" w:eastAsiaTheme="minorEastAsia" w:hAnsi="Times New Roman" w:cs="Times New Roman"/>
                <w:noProof/>
                <w:lang w:eastAsia="de-DE"/>
              </w:rPr>
              <w:tab/>
            </w:r>
            <w:r w:rsidRPr="002E712D">
              <w:rPr>
                <w:rStyle w:val="Hyperlink"/>
                <w:rFonts w:ascii="Times New Roman" w:hAnsi="Times New Roman" w:cs="Times New Roman"/>
                <w:noProof/>
              </w:rPr>
              <w:t>Qualitativer und quantitativer Vergleich der Architekturen</w:t>
            </w:r>
            <w:r w:rsidRPr="002E712D">
              <w:rPr>
                <w:rFonts w:ascii="Times New Roman" w:hAnsi="Times New Roman" w:cs="Times New Roman"/>
                <w:noProof/>
                <w:webHidden/>
              </w:rPr>
              <w:tab/>
            </w:r>
            <w:r w:rsidRPr="002E712D">
              <w:rPr>
                <w:rFonts w:ascii="Times New Roman" w:hAnsi="Times New Roman" w:cs="Times New Roman"/>
                <w:noProof/>
                <w:webHidden/>
              </w:rPr>
              <w:fldChar w:fldCharType="begin"/>
            </w:r>
            <w:r w:rsidRPr="002E712D">
              <w:rPr>
                <w:rFonts w:ascii="Times New Roman" w:hAnsi="Times New Roman" w:cs="Times New Roman"/>
                <w:noProof/>
                <w:webHidden/>
              </w:rPr>
              <w:instrText xml:space="preserve"> PAGEREF _Toc236481626 \h </w:instrText>
            </w:r>
            <w:r w:rsidRPr="002E712D">
              <w:rPr>
                <w:rFonts w:ascii="Times New Roman" w:hAnsi="Times New Roman" w:cs="Times New Roman"/>
                <w:noProof/>
                <w:webHidden/>
              </w:rPr>
            </w:r>
            <w:r w:rsidRPr="002E712D">
              <w:rPr>
                <w:rFonts w:ascii="Times New Roman" w:hAnsi="Times New Roman" w:cs="Times New Roman"/>
                <w:noProof/>
                <w:webHidden/>
              </w:rPr>
              <w:fldChar w:fldCharType="separate"/>
            </w:r>
            <w:r w:rsidRPr="002E712D">
              <w:rPr>
                <w:rFonts w:ascii="Times New Roman" w:hAnsi="Times New Roman" w:cs="Times New Roman"/>
                <w:noProof/>
                <w:webHidden/>
              </w:rPr>
              <w:t>17</w:t>
            </w:r>
            <w:r w:rsidRPr="002E712D">
              <w:rPr>
                <w:rFonts w:ascii="Times New Roman" w:hAnsi="Times New Roman" w:cs="Times New Roman"/>
                <w:noProof/>
                <w:webHidden/>
              </w:rPr>
              <w:fldChar w:fldCharType="end"/>
            </w:r>
          </w:hyperlink>
        </w:p>
        <w:p w14:paraId="6E067D85" w14:textId="240980C3"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27" w:history="1">
            <w:r w:rsidRPr="002E712D">
              <w:rPr>
                <w:rStyle w:val="Hyperlink"/>
                <w:rFonts w:ascii="Times New Roman" w:hAnsi="Times New Roman" w:cs="Times New Roman"/>
                <w:b/>
                <w:bCs/>
                <w:noProof/>
              </w:rPr>
              <w:t>5</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Fazit und Reflexion</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_Toc236481627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22</w:t>
            </w:r>
            <w:r w:rsidRPr="002E712D">
              <w:rPr>
                <w:rFonts w:ascii="Times New Roman" w:hAnsi="Times New Roman" w:cs="Times New Roman"/>
                <w:b/>
                <w:bCs/>
                <w:noProof/>
                <w:webHidden/>
              </w:rPr>
              <w:fldChar w:fldCharType="end"/>
            </w:r>
          </w:hyperlink>
        </w:p>
        <w:p w14:paraId="0A0A4431" w14:textId="04D7C87E"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28" w:history="1">
            <w:r w:rsidRPr="002E712D">
              <w:rPr>
                <w:rStyle w:val="Hyperlink"/>
                <w:rFonts w:ascii="Times New Roman" w:hAnsi="Times New Roman" w:cs="Times New Roman"/>
                <w:b/>
                <w:bCs/>
                <w:noProof/>
              </w:rPr>
              <w:t>6</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Ausblick</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_Toc236481628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24</w:t>
            </w:r>
            <w:r w:rsidRPr="002E712D">
              <w:rPr>
                <w:rFonts w:ascii="Times New Roman" w:hAnsi="Times New Roman" w:cs="Times New Roman"/>
                <w:b/>
                <w:bCs/>
                <w:noProof/>
                <w:webHidden/>
              </w:rPr>
              <w:fldChar w:fldCharType="end"/>
            </w:r>
          </w:hyperlink>
        </w:p>
        <w:p w14:paraId="46E6BC6E" w14:textId="7B3D00D9" w:rsidR="002E712D" w:rsidRPr="002E712D" w:rsidRDefault="002E712D">
          <w:pPr>
            <w:pStyle w:val="Verzeichnis1"/>
            <w:tabs>
              <w:tab w:val="left" w:pos="480"/>
              <w:tab w:val="right" w:leader="dot" w:pos="9062"/>
            </w:tabs>
            <w:rPr>
              <w:rFonts w:ascii="Times New Roman" w:eastAsiaTheme="minorEastAsia" w:hAnsi="Times New Roman" w:cs="Times New Roman"/>
              <w:b/>
              <w:bCs/>
              <w:noProof/>
              <w:lang w:eastAsia="de-DE"/>
            </w:rPr>
          </w:pPr>
          <w:hyperlink w:anchor="_Toc236481629" w:history="1">
            <w:r w:rsidRPr="002E712D">
              <w:rPr>
                <w:rStyle w:val="Hyperlink"/>
                <w:rFonts w:ascii="Times New Roman" w:hAnsi="Times New Roman" w:cs="Times New Roman"/>
                <w:b/>
                <w:bCs/>
                <w:noProof/>
              </w:rPr>
              <w:t>7</w:t>
            </w:r>
            <w:r w:rsidRPr="002E712D">
              <w:rPr>
                <w:rFonts w:ascii="Times New Roman" w:eastAsiaTheme="minorEastAsia" w:hAnsi="Times New Roman" w:cs="Times New Roman"/>
                <w:b/>
                <w:bCs/>
                <w:noProof/>
                <w:lang w:eastAsia="de-DE"/>
              </w:rPr>
              <w:tab/>
            </w:r>
            <w:r w:rsidRPr="002E712D">
              <w:rPr>
                <w:rStyle w:val="Hyperlink"/>
                <w:rFonts w:ascii="Times New Roman" w:hAnsi="Times New Roman" w:cs="Times New Roman"/>
                <w:b/>
                <w:bCs/>
                <w:noProof/>
              </w:rPr>
              <w:t>Literatur</w:t>
            </w:r>
            <w:r w:rsidRPr="002E712D">
              <w:rPr>
                <w:rFonts w:ascii="Times New Roman" w:hAnsi="Times New Roman" w:cs="Times New Roman"/>
                <w:b/>
                <w:bCs/>
                <w:noProof/>
                <w:webHidden/>
              </w:rPr>
              <w:tab/>
            </w:r>
            <w:r w:rsidRPr="002E712D">
              <w:rPr>
                <w:rFonts w:ascii="Times New Roman" w:hAnsi="Times New Roman" w:cs="Times New Roman"/>
                <w:b/>
                <w:bCs/>
                <w:noProof/>
                <w:webHidden/>
              </w:rPr>
              <w:fldChar w:fldCharType="begin"/>
            </w:r>
            <w:r w:rsidRPr="002E712D">
              <w:rPr>
                <w:rFonts w:ascii="Times New Roman" w:hAnsi="Times New Roman" w:cs="Times New Roman"/>
                <w:b/>
                <w:bCs/>
                <w:noProof/>
                <w:webHidden/>
              </w:rPr>
              <w:instrText xml:space="preserve"> PAGEREF _Toc236481629 \h </w:instrText>
            </w:r>
            <w:r w:rsidRPr="002E712D">
              <w:rPr>
                <w:rFonts w:ascii="Times New Roman" w:hAnsi="Times New Roman" w:cs="Times New Roman"/>
                <w:b/>
                <w:bCs/>
                <w:noProof/>
                <w:webHidden/>
              </w:rPr>
            </w:r>
            <w:r w:rsidRPr="002E712D">
              <w:rPr>
                <w:rFonts w:ascii="Times New Roman" w:hAnsi="Times New Roman" w:cs="Times New Roman"/>
                <w:b/>
                <w:bCs/>
                <w:noProof/>
                <w:webHidden/>
              </w:rPr>
              <w:fldChar w:fldCharType="separate"/>
            </w:r>
            <w:r w:rsidRPr="002E712D">
              <w:rPr>
                <w:rFonts w:ascii="Times New Roman" w:hAnsi="Times New Roman" w:cs="Times New Roman"/>
                <w:b/>
                <w:bCs/>
                <w:noProof/>
                <w:webHidden/>
              </w:rPr>
              <w:t>25</w:t>
            </w:r>
            <w:r w:rsidRPr="002E712D">
              <w:rPr>
                <w:rFonts w:ascii="Times New Roman" w:hAnsi="Times New Roman" w:cs="Times New Roman"/>
                <w:b/>
                <w:bCs/>
                <w:noProof/>
                <w:webHidden/>
              </w:rPr>
              <w:fldChar w:fldCharType="end"/>
            </w:r>
          </w:hyperlink>
        </w:p>
        <w:p w14:paraId="59408CEB" w14:textId="1CD79D62" w:rsidR="009E6031" w:rsidRPr="00FE5FE8" w:rsidRDefault="009E6031">
          <w:pPr>
            <w:rPr>
              <w:rFonts w:cs="Times New Roman"/>
            </w:rPr>
          </w:pPr>
          <w:r w:rsidRPr="002E712D">
            <w:rPr>
              <w:rFonts w:cs="Times New Roman"/>
              <w:b/>
              <w:bCs/>
            </w:rPr>
            <w:fldChar w:fldCharType="end"/>
          </w:r>
        </w:p>
      </w:sdtContent>
    </w:sdt>
    <w:p w14:paraId="4A408A82" w14:textId="77777777" w:rsidR="009E6031" w:rsidRPr="009E6031" w:rsidRDefault="009E6031" w:rsidP="009E6031"/>
    <w:p w14:paraId="74B9C2B1" w14:textId="77777777" w:rsidR="008744F7" w:rsidRDefault="008744F7" w:rsidP="008744F7">
      <w:pPr>
        <w:sectPr w:rsidR="008744F7">
          <w:headerReference w:type="default" r:id="rId13"/>
          <w:footerReference w:type="default" r:id="rId14"/>
          <w:pgSz w:w="11906" w:h="16838"/>
          <w:pgMar w:top="1417" w:right="1417" w:bottom="1134" w:left="1417" w:header="708" w:footer="708" w:gutter="0"/>
          <w:cols w:space="708"/>
          <w:docGrid w:linePitch="360"/>
        </w:sectPr>
      </w:pPr>
    </w:p>
    <w:p w14:paraId="5B26AF9C" w14:textId="3CD12618" w:rsidR="00C0675A" w:rsidRDefault="00D042D5" w:rsidP="00C0675A">
      <w:pPr>
        <w:pStyle w:val="berschrift1"/>
      </w:pPr>
      <w:bookmarkStart w:id="0" w:name="_Toc236481603"/>
      <w:r>
        <w:lastRenderedPageBreak/>
        <w:t>Einleitung</w:t>
      </w:r>
      <w:r w:rsidR="001747B7">
        <w:t xml:space="preserve"> und Zielsetzung</w:t>
      </w:r>
      <w:bookmarkEnd w:id="0"/>
    </w:p>
    <w:p w14:paraId="139D8224" w14:textId="65C12512" w:rsidR="00245C05" w:rsidRDefault="00C420EC" w:rsidP="00245C05">
      <w:r>
        <w:t>Aufgrund wetterbedingter Fluktuationen stehen Netzbetreiber durch die fortschreitende Integration volatiler, erneuerbarer Energien vor wachsenden Planungsunsicherheiten. K</w:t>
      </w:r>
      <w:r w:rsidR="00245C05">
        <w:t xml:space="preserve">lassische statistische Modelle </w:t>
      </w:r>
      <w:r>
        <w:t xml:space="preserve">liefern </w:t>
      </w:r>
      <w:r w:rsidR="00245C05">
        <w:t xml:space="preserve">meist nur starre Punktprognosen, </w:t>
      </w:r>
      <w:r>
        <w:t xml:space="preserve">sodass </w:t>
      </w:r>
      <w:r w:rsidR="00245C05">
        <w:t>unerwartete Abweichungen zu einem erhöhten Bedarf an kostenintensiver Ausgleichsenergie führen</w:t>
      </w:r>
      <w:r>
        <w:t xml:space="preserve"> können</w:t>
      </w:r>
      <w:r w:rsidR="00245C05">
        <w:t>, um die Netzstabilität sicherzustellen.</w:t>
      </w:r>
    </w:p>
    <w:p w14:paraId="11B58EA1" w14:textId="7198B7A9" w:rsidR="00245C05" w:rsidRDefault="00245C05" w:rsidP="00245C05">
      <w:r>
        <w:t>Daher besteht das Ziel dieser Arbeit in der Entwicklung, Implementierung und Evaluierung einer probabilistischen, multivariaten Zeitreihenvorhersage für Photovoltaik</w:t>
      </w:r>
      <w:r w:rsidR="00C420EC">
        <w:t xml:space="preserve"> (PV)</w:t>
      </w:r>
      <w:r>
        <w:t>-Erzeugung, die statt einer reinen Punktprognose einen dynamischen Sicherheitskorridor (Konfidenzinter</w:t>
      </w:r>
      <w:r w:rsidR="00C420EC">
        <w:t>-</w:t>
      </w:r>
      <w:proofErr w:type="spellStart"/>
      <w:r>
        <w:t>vall</w:t>
      </w:r>
      <w:proofErr w:type="spellEnd"/>
      <w:r>
        <w:t xml:space="preserve"> 80 %) mittels einer Quantil-Regression (Pinball Loss) berechnet.</w:t>
      </w:r>
    </w:p>
    <w:p w14:paraId="5D5DC900" w14:textId="4FF5FCAC" w:rsidR="00C420EC" w:rsidRDefault="00C420EC" w:rsidP="00245C05">
      <w:r>
        <w:t xml:space="preserve">Dabei fokussiert sich der Gang der Untersuchung auf folgende Aufgaben: </w:t>
      </w:r>
    </w:p>
    <w:p w14:paraId="375EA1BA" w14:textId="5A92AE57" w:rsidR="00C420EC" w:rsidRDefault="00C420EC" w:rsidP="00C420EC">
      <w:pPr>
        <w:pStyle w:val="Listenabsatz"/>
        <w:numPr>
          <w:ilvl w:val="0"/>
          <w:numId w:val="28"/>
        </w:numPr>
      </w:pPr>
      <w:r>
        <w:t>Vergleich der Architekturen Long Short-Term Memory</w:t>
      </w:r>
      <w:r w:rsidRPr="00D042D5">
        <w:t xml:space="preserve"> </w:t>
      </w:r>
      <w:r>
        <w:t>(</w:t>
      </w:r>
      <w:r w:rsidRPr="00D042D5">
        <w:t>LSTM</w:t>
      </w:r>
      <w:r>
        <w:t xml:space="preserve">) und </w:t>
      </w:r>
      <w:proofErr w:type="spellStart"/>
      <w:r>
        <w:t>Recurrent</w:t>
      </w:r>
      <w:proofErr w:type="spellEnd"/>
      <w:r>
        <w:t xml:space="preserve"> </w:t>
      </w:r>
      <w:proofErr w:type="spellStart"/>
      <w:r>
        <w:t>Neural</w:t>
      </w:r>
      <w:proofErr w:type="spellEnd"/>
      <w:r>
        <w:t xml:space="preserve"> Networks (</w:t>
      </w:r>
      <w:r w:rsidRPr="00D042D5">
        <w:t>RNN</w:t>
      </w:r>
      <w:r>
        <w:t>): Dabei wird empirisch analysiert, ob ein LSTM oder ein klassisches RNN eine höhere Präzision bei der Modellierung des Unsicherheitsbandes aufweist und sich somit besser für die kurzfristige solare Prädiktion eignet.</w:t>
      </w:r>
    </w:p>
    <w:p w14:paraId="2270F4F4" w14:textId="7B37762C" w:rsidR="00C420EC" w:rsidRDefault="00C420EC" w:rsidP="00C420EC">
      <w:pPr>
        <w:pStyle w:val="Listenabsatz"/>
        <w:numPr>
          <w:ilvl w:val="0"/>
          <w:numId w:val="28"/>
        </w:numPr>
      </w:pPr>
      <w:r>
        <w:t xml:space="preserve">Erklärbarkeit und Transparenz: Mittels der Permutation Feature </w:t>
      </w:r>
      <w:proofErr w:type="spellStart"/>
      <w:r>
        <w:t>Importance</w:t>
      </w:r>
      <w:proofErr w:type="spellEnd"/>
      <w:r>
        <w:t xml:space="preserve"> ist mathematisch offenzulegen, welche physikalischen Wechselwirkungen und Einflussfaktoren die Vorhersage der Modelle maßgeblich steuern, um die Black-Box-Struktur der neuronalen Netze für den Handelseinsatz transparenter zu gestalten.</w:t>
      </w:r>
    </w:p>
    <w:p w14:paraId="4902CD8B" w14:textId="4CA788B2" w:rsidR="00C420EC" w:rsidRPr="00245C05" w:rsidRDefault="00C420EC" w:rsidP="00C420EC">
      <w:pPr>
        <w:pStyle w:val="Listenabsatz"/>
        <w:numPr>
          <w:ilvl w:val="0"/>
          <w:numId w:val="28"/>
        </w:numPr>
      </w:pPr>
      <w:r>
        <w:t>Validierung der Dynamik: Im Vergleich mit realen historischen Daten soll demonstriert werden, dass sich das prognostizierte Unsicherheitsband bei volatilen Wetterlagen ausdehnt und sich bei stabilen Bedingungen verengt, um dem Netzmanagement ein verlässliches Instrument zur Risikominimierung anzubieten.</w:t>
      </w:r>
    </w:p>
    <w:p w14:paraId="556FF9BB" w14:textId="03306277" w:rsidR="00D042D5" w:rsidRDefault="00D042D5" w:rsidP="00032D28">
      <w:pPr>
        <w:pStyle w:val="berschrift2"/>
      </w:pPr>
      <w:bookmarkStart w:id="1" w:name="_Toc236481604"/>
      <w:r>
        <w:t>Welches Problem soll das Projekt lösen?</w:t>
      </w:r>
      <w:bookmarkEnd w:id="1"/>
    </w:p>
    <w:p w14:paraId="65B7FF09" w14:textId="0AEC5E50" w:rsidR="00D042D5" w:rsidRDefault="00D042D5" w:rsidP="00D042D5">
      <w:r w:rsidRPr="00D042D5">
        <w:t xml:space="preserve">Das Projekt </w:t>
      </w:r>
      <w:r>
        <w:t>soll</w:t>
      </w:r>
      <w:r w:rsidRPr="00D042D5">
        <w:t xml:space="preserve"> das Problem der Planungsunsicherheit bei volatilen, erneuerbaren Energien (speziell Photovoltaik)</w:t>
      </w:r>
      <w:r>
        <w:t xml:space="preserve"> lösen</w:t>
      </w:r>
      <w:r w:rsidRPr="00D042D5">
        <w:t xml:space="preserve">. </w:t>
      </w:r>
      <w:r>
        <w:t>Die Kernproblematik besteht darin, dass h</w:t>
      </w:r>
      <w:r w:rsidRPr="00D042D5">
        <w:t>erkömmliche statistische Modelle oft nur eine starre Punktprognose</w:t>
      </w:r>
      <w:r>
        <w:t xml:space="preserve"> </w:t>
      </w:r>
      <w:r w:rsidRPr="00D042D5">
        <w:t xml:space="preserve">liefern. Liegt das Modell </w:t>
      </w:r>
      <w:r>
        <w:t xml:space="preserve">beispielsweise </w:t>
      </w:r>
      <w:r w:rsidRPr="00D042D5">
        <w:t>wetterbedingt (z.</w:t>
      </w:r>
      <w:r w:rsidR="00E735DD">
        <w:t> </w:t>
      </w:r>
      <w:r w:rsidRPr="00D042D5">
        <w:t xml:space="preserve">B. durch plötzliche Bewölkung) </w:t>
      </w:r>
      <w:r>
        <w:t>falsch</w:t>
      </w:r>
      <w:r w:rsidRPr="00D042D5">
        <w:t xml:space="preserve">, müssen Netzbetreiber in Sekundenschnelle extrem teure Ausgleichsenergie einkaufen, um einen Blackout zu verhindern. Durch </w:t>
      </w:r>
      <w:r w:rsidRPr="00D042D5">
        <w:lastRenderedPageBreak/>
        <w:t xml:space="preserve">den Einsatz eines probabilistischen </w:t>
      </w:r>
      <w:r>
        <w:t>m</w:t>
      </w:r>
      <w:r w:rsidRPr="00D042D5">
        <w:t>ultivariaten</w:t>
      </w:r>
      <w:r>
        <w:t xml:space="preserve"> </w:t>
      </w:r>
      <w:r w:rsidRPr="00D042D5">
        <w:t>LSTM</w:t>
      </w:r>
      <w:r>
        <w:t xml:space="preserve"> und eines </w:t>
      </w:r>
      <w:r w:rsidRPr="00D042D5">
        <w:t>RNN berechnet das Modell</w:t>
      </w:r>
      <w:r>
        <w:t xml:space="preserve"> in dieser Arbeit</w:t>
      </w:r>
      <w:r w:rsidRPr="00D042D5">
        <w:t xml:space="preserve"> über eine Quantils-Regression (Pinball Loss) einen dynamischen Sicherheitskorridor (80%-Konfidenz</w:t>
      </w:r>
      <w:r>
        <w:t>-</w:t>
      </w:r>
      <w:r w:rsidRPr="00D042D5">
        <w:t xml:space="preserve">intervall). Der Netzbetreiber </w:t>
      </w:r>
      <w:r>
        <w:t>soll daher sofort sehen können</w:t>
      </w:r>
      <w:r w:rsidRPr="00D042D5">
        <w:t xml:space="preserve">, wie sicher sich die </w:t>
      </w:r>
      <w:r>
        <w:t>künstliche Intelligenz (KI)</w:t>
      </w:r>
      <w:r w:rsidRPr="00D042D5">
        <w:t xml:space="preserve"> bei der Prognose ist, </w:t>
      </w:r>
      <w:r>
        <w:t>um das finanzielle Risiko zu minimieren</w:t>
      </w:r>
      <w:r w:rsidRPr="00D042D5">
        <w:t>.</w:t>
      </w:r>
    </w:p>
    <w:p w14:paraId="0B695538" w14:textId="0253CAC5" w:rsidR="00D042D5" w:rsidRDefault="00D042D5" w:rsidP="00032D28">
      <w:pPr>
        <w:pStyle w:val="berschrift2"/>
      </w:pPr>
      <w:bookmarkStart w:id="2" w:name="_Toc236481605"/>
      <w:r>
        <w:t>Interesse und Motivation</w:t>
      </w:r>
      <w:bookmarkEnd w:id="2"/>
    </w:p>
    <w:p w14:paraId="151F66CF" w14:textId="075AC5E2" w:rsidR="00D042D5" w:rsidRDefault="00D042D5" w:rsidP="00D042D5">
      <w:r>
        <w:t>Es soll ein</w:t>
      </w:r>
      <w:r w:rsidRPr="00D042D5">
        <w:t xml:space="preserve"> multivariat</w:t>
      </w:r>
      <w:r>
        <w:t>es Modell verwendet werden, das</w:t>
      </w:r>
      <w:r w:rsidRPr="00D042D5">
        <w:t xml:space="preserve"> die physikalischen Wechselwirkungen im Stromnetz</w:t>
      </w:r>
      <w:r>
        <w:t xml:space="preserve"> lernt.</w:t>
      </w:r>
      <w:r w:rsidRPr="00D042D5">
        <w:t xml:space="preserve"> </w:t>
      </w:r>
      <w:r>
        <w:t xml:space="preserve">Mittels der </w:t>
      </w:r>
      <w:r w:rsidRPr="00D042D5">
        <w:t xml:space="preserve">Permutation Feature </w:t>
      </w:r>
      <w:proofErr w:type="spellStart"/>
      <w:r w:rsidRPr="00D042D5">
        <w:t>Importance</w:t>
      </w:r>
      <w:proofErr w:type="spellEnd"/>
      <w:r>
        <w:t xml:space="preserve"> soll </w:t>
      </w:r>
      <w:r w:rsidRPr="00D042D5">
        <w:t>mathematisch messbar und für den Menschen transparent gemacht</w:t>
      </w:r>
      <w:r>
        <w:t xml:space="preserve"> werden</w:t>
      </w:r>
      <w:r w:rsidRPr="00D042D5">
        <w:t>, welche Faktoren (z. B. die Tageszeit) gerade den größten Einfluss auf die Solarprognose haben. Das schafft das notwendige Vertrauen für den echten Handelseinsatz.</w:t>
      </w:r>
    </w:p>
    <w:p w14:paraId="02C1FA29" w14:textId="3CEE35E1" w:rsidR="00D8040D" w:rsidRPr="00032D28" w:rsidRDefault="00D8040D" w:rsidP="00032D28">
      <w:pPr>
        <w:pStyle w:val="berschrift2"/>
      </w:pPr>
      <w:bookmarkStart w:id="3" w:name="_Toc236481606"/>
      <w:r w:rsidRPr="00032D28">
        <w:t>Was soll demonstriert werden?</w:t>
      </w:r>
      <w:bookmarkEnd w:id="3"/>
    </w:p>
    <w:p w14:paraId="5D86E9DA" w14:textId="47B58244" w:rsidR="00D8040D" w:rsidRDefault="00D8040D" w:rsidP="00D8040D">
      <w:r w:rsidRPr="00D8040D">
        <w:t xml:space="preserve">Es </w:t>
      </w:r>
      <w:r>
        <w:t>soll gezeigt werden</w:t>
      </w:r>
      <w:r w:rsidRPr="00D8040D">
        <w:t xml:space="preserve">, wie die KI im Vergleich zur Realität abschneidet. </w:t>
      </w:r>
      <w:r>
        <w:t>Das Modell soll demonstrieren</w:t>
      </w:r>
      <w:r w:rsidRPr="00D8040D">
        <w:t>, wie sich das Unsicherheitsband bei wechselhaftem Wetter ausdehnt und bei stabilen Wetterlagen verengt</w:t>
      </w:r>
      <w:r>
        <w:t>, mit dem Ziel die Planungssicherheit zu erhöhen</w:t>
      </w:r>
      <w:r w:rsidRPr="00D8040D">
        <w:t>.</w:t>
      </w:r>
    </w:p>
    <w:p w14:paraId="6BD884AE" w14:textId="4AB743C4" w:rsidR="00586B6E" w:rsidRDefault="00586B6E" w:rsidP="00586B6E">
      <w:pPr>
        <w:pStyle w:val="berschrift2"/>
      </w:pPr>
      <w:bookmarkStart w:id="4" w:name="_Toc236481607"/>
      <w:r>
        <w:t>Stand der Technik</w:t>
      </w:r>
      <w:bookmarkEnd w:id="4"/>
    </w:p>
    <w:p w14:paraId="7D0A513D" w14:textId="4427A228" w:rsidR="00586B6E" w:rsidRDefault="00586B6E" w:rsidP="00586B6E">
      <w:r>
        <w:t xml:space="preserve">Die probabilistische Zeitreihenprognose fluktuierender erneuerbarer Energien gewinnt zur Vermeidung der kostenintensiven Ausgleichenergien und zur Sicherung der Netzstabilität massiv an Bedeutung. Klassische, statistische Ansätze wie Autoregressive integrierte Moving-Average-Modelle (ARIMA) liefern primär starre Punktprognosen. Zur Unsicherheitsmodellierung etablierten sich sogenannte </w:t>
      </w:r>
      <w:proofErr w:type="spellStart"/>
      <w:r>
        <w:t>Generalized</w:t>
      </w:r>
      <w:proofErr w:type="spellEnd"/>
      <w:r>
        <w:t xml:space="preserve"> Autoregressive </w:t>
      </w:r>
      <w:proofErr w:type="spellStart"/>
      <w:r>
        <w:t>Conditional</w:t>
      </w:r>
      <w:proofErr w:type="spellEnd"/>
      <w:r>
        <w:t xml:space="preserve"> </w:t>
      </w:r>
      <w:proofErr w:type="spellStart"/>
      <w:r>
        <w:t>Heteroskedasticity</w:t>
      </w:r>
      <w:proofErr w:type="spellEnd"/>
      <w:r>
        <w:t>- (GARCH-) Modelle, die die zeitlich veränderliche Volatilität der Residuen abbildet. Solche linearen Verfahren stoßen jedoch bei der Erfassung nicht-linearer meteorologischer Wechselwirkungen auf Grenzen.</w:t>
      </w:r>
      <w:r w:rsidR="00F2093D">
        <w:fldChar w:fldCharType="begin" w:fldLock="1"/>
      </w:r>
      <w:r w:rsidR="00F2093D">
        <w:instrText>ADDIN CSL_CITATION {"citationItems":[{"id":"ITEM-1","itemData":{"DOI":"10.1016/j.ijforecast.2016.02.001","ISSN":"01692070","author":[{"dropping-particle":"","family":"Hong","given":"Tao","non-dropping-particle":"","parse-names":false,"suffix":""},{"dropping-particle":"","family":"Pinson","given":"Pierre","non-dropping-particle":"","parse-names":false,"suffix":""},{"dropping-particle":"","family":"Fan","given":"Shu","non-dropping-particle":"","parse-names":false,"suffix":""},{"dropping-particle":"","family":"Zareipour","given":"Hamidreza","non-dropping-particle":"","parse-names":false,"suffix":""},{"dropping-particle":"","family":"Troccoli","given":"Alberto","non-dropping-particle":"","parse-names":false,"suffix":""},{"dropping-particle":"","family":"Hyndman","given":"Rob J.","non-dropping-particle":"","parse-names":false,"suffix":""}],"container-title":"International Journal of Forecasting","id":"ITEM-1","issue":"3","issued":{"date-parts":[["2016","7"]]},"page":"896-913","title":"Probabilistic energy forecasting: Global Energy Forecasting Competition 2014 and beyond","type":"article-journal","volume":"32"},"uris":["http://www.mendeley.com/documents/?uuid=23bd3910-331c-4d49-b2f0-ff985b805ad8"]}],"mendeley":{"formattedCitation":"&lt;sup&gt;[1]&lt;/sup&gt;","plainTextFormattedCitation":"[1]","previouslyFormattedCitation":"&lt;sup&gt;[1]&lt;/sup&gt;"},"properties":{"noteIndex":0},"schema":"https://github.com/citation-style-language/schema/raw/master/csl-citation.json"}</w:instrText>
      </w:r>
      <w:r w:rsidR="00F2093D">
        <w:fldChar w:fldCharType="separate"/>
      </w:r>
      <w:r w:rsidR="00F2093D" w:rsidRPr="00F2093D">
        <w:rPr>
          <w:noProof/>
          <w:vertAlign w:val="superscript"/>
        </w:rPr>
        <w:t>[1]</w:t>
      </w:r>
      <w:r w:rsidR="00F2093D">
        <w:fldChar w:fldCharType="end"/>
      </w:r>
    </w:p>
    <w:p w14:paraId="68CBC6D4" w14:textId="702AB357" w:rsidR="00586B6E" w:rsidRDefault="00586B6E" w:rsidP="00586B6E">
      <w:r>
        <w:t xml:space="preserve">Mit der Entwicklung der Deep Learning Architekturen wurden sogenannte Quantils-Regressions-Neuronale-Netze (QRNN) eingeführt, die statistische </w:t>
      </w:r>
      <w:proofErr w:type="spellStart"/>
      <w:r>
        <w:t>Quantilsschätzungen</w:t>
      </w:r>
      <w:proofErr w:type="spellEnd"/>
      <w:r>
        <w:t xml:space="preserve"> mittels Pinball Loss in neuronale Strukturen integrieren. Das in dieser Arbeit entwickelte Framework erweitert </w:t>
      </w:r>
      <w:r>
        <w:lastRenderedPageBreak/>
        <w:t>diesen Ansatz deterministisch um eine zeitliche Sequenzkomponente rekurrenter Netzarchitekturen (LSTM und RNN)</w:t>
      </w:r>
      <w:r w:rsidR="000F7594">
        <w:t>, um die physikalische Trägheit der Wetterbedingungen abzubilden.</w:t>
      </w:r>
      <w:r w:rsidR="00F2093D">
        <w:fldChar w:fldCharType="begin" w:fldLock="1"/>
      </w:r>
      <w:r w:rsidR="00F2093D">
        <w:instrText>ADDIN CSL_CITATION {"citationItems":[{"id":"ITEM-1","itemData":{"DOI":"10.1016/j.ijforecast.2016.02.001","ISSN":"01692070","author":[{"dropping-particle":"","family":"Hong","given":"Tao","non-dropping-particle":"","parse-names":false,"suffix":""},{"dropping-particle":"","family":"Pinson","given":"Pierre","non-dropping-particle":"","parse-names":false,"suffix":""},{"dropping-particle":"","family":"Fan","given":"Shu","non-dropping-particle":"","parse-names":false,"suffix":""},{"dropping-particle":"","family":"Zareipour","given":"Hamidreza","non-dropping-particle":"","parse-names":false,"suffix":""},{"dropping-particle":"","family":"Troccoli","given":"Alberto","non-dropping-particle":"","parse-names":false,"suffix":""},{"dropping-particle":"","family":"Hyndman","given":"Rob J.","non-dropping-particle":"","parse-names":false,"suffix":""}],"container-title":"International Journal of Forecasting","id":"ITEM-1","issue":"3","issued":{"date-parts":[["2016","7"]]},"page":"896-913","title":"Probabilistic energy forecasting: Global Energy Forecasting Competition 2014 and beyond","type":"article-journal","volume":"32"},"uris":["http://www.mendeley.com/documents/?uuid=23bd3910-331c-4d49-b2f0-ff985b805ad8"]}],"mendeley":{"formattedCitation":"&lt;sup&gt;[1]&lt;/sup&gt;","plainTextFormattedCitation":"[1]","previouslyFormattedCitation":"&lt;sup&gt;[1]&lt;/sup&gt;"},"properties":{"noteIndex":0},"schema":"https://github.com/citation-style-language/schema/raw/master/csl-citation.json"}</w:instrText>
      </w:r>
      <w:r w:rsidR="00F2093D">
        <w:fldChar w:fldCharType="separate"/>
      </w:r>
      <w:r w:rsidR="00F2093D" w:rsidRPr="00F2093D">
        <w:rPr>
          <w:noProof/>
          <w:vertAlign w:val="superscript"/>
        </w:rPr>
        <w:t>[1]</w:t>
      </w:r>
      <w:r w:rsidR="00F2093D">
        <w:fldChar w:fldCharType="end"/>
      </w:r>
    </w:p>
    <w:p w14:paraId="1BFF06D0" w14:textId="291A4486" w:rsidR="000F7594" w:rsidRDefault="000F7594" w:rsidP="00586B6E">
      <w:r>
        <w:t>Im Vergleich zu bereits bestehenden industriellen und akademischen State-</w:t>
      </w:r>
      <w:proofErr w:type="spellStart"/>
      <w:r>
        <w:t>of</w:t>
      </w:r>
      <w:proofErr w:type="spellEnd"/>
      <w:r>
        <w:t>-</w:t>
      </w:r>
      <w:proofErr w:type="spellStart"/>
      <w:r>
        <w:t>the</w:t>
      </w:r>
      <w:proofErr w:type="spellEnd"/>
      <w:r>
        <w:t>-Art-Modellen lässt sich der gewählte Ansatz abgrenzen:</w:t>
      </w:r>
    </w:p>
    <w:p w14:paraId="2D605704" w14:textId="2C7EF449" w:rsidR="000F7594" w:rsidRDefault="000F7594" w:rsidP="000F7594">
      <w:pPr>
        <w:pStyle w:val="Listenabsatz"/>
        <w:numPr>
          <w:ilvl w:val="0"/>
          <w:numId w:val="33"/>
        </w:numPr>
      </w:pPr>
      <w:r>
        <w:t xml:space="preserve">Das LSTM-basierte </w:t>
      </w:r>
      <w:proofErr w:type="spellStart"/>
      <w:r>
        <w:t>DeepAR</w:t>
      </w:r>
      <w:proofErr w:type="spellEnd"/>
      <w:r>
        <w:t xml:space="preserve"> (Amazon) Framework nutzt eine parametrische probabilistische Vorhersage, indem die Parameter einer hypothetischen Verteilung (Gauß- oder t-Verteilung) geschätzt werden. Die Verteilung der PV-Einspeisung ist durch die harten Nullgrenzen in den Nachtstunden extrem schief und nicht-normalverteilt. Daher bietet der in dieser Arbeit genutzte nicht-parametrische Pinball-Loss-Ansatz mathematisch eine deutlich höhere Flexibilität.</w:t>
      </w:r>
      <w:r w:rsidR="00F2093D">
        <w:fldChar w:fldCharType="begin" w:fldLock="1"/>
      </w:r>
      <w:r w:rsidR="00D25BC5">
        <w:instrText>ADDIN CSL_CITATION {"citationItems":[{"id":"ITEM-1","itemData":{"DOI":"10.1016/j.ijforecast.2019.07.001","ISSN":"01692070","author":[{"dropping-particle":"","family":"Salinas","given":"David","non-dropping-particle":"","parse-names":false,"suffix":""},{"dropping-particle":"","family":"Flunkert","given":"Valentin","non-dropping-particle":"","parse-names":false,"suffix":""},{"dropping-particle":"","family":"Gasthaus","given":"Jan","non-dropping-particle":"","parse-names":false,"suffix":""},{"dropping-particle":"","family":"Januschowski","given":"Tim","non-dropping-particle":"","parse-names":false,"suffix":""}],"container-title":"International Journal of Forecasting","id":"ITEM-1","issue":"3","issued":{"date-parts":[["2020","7"]]},"page":"1181-1191","title":"DeepAR: Probabilistic forecasting with autoregressive recurrent networks","type":"article-journal","volume":"36"},"uris":["http://www.mendeley.com/documents/?uuid=fa778385-fdfe-4381-bc4b-bc8e5e625996"]},{"id":"ITEM-2","itemData":{"DOI":"10.1016/j.apenergy.2025.125294","ISSN":"03062619","author":[{"dropping-particle":"","family":"Xiong","given":"Binyu","non-dropping-particle":"","parse-names":false,"suffix":""},{"dropping-particle":"","family":"Chen","given":"Yuntian","non-dropping-particle":"","parse-names":false,"suffix":""},{"dropping-particle":"","family":"Chen","given":"Dali","non-dropping-particle":"","parse-names":false,"suffix":""},{"dropping-particle":"","family":"Fu","given":"Jun","non-dropping-particle":"","parse-names":false,"suffix":""},{"dropping-particle":"","family":"Zhang","given":"Dongxiao","non-dropping-particle":"","parse-names":false,"suffix":""}],"container-title":"Applied Energy","id":"ITEM-2","issued":{"date-parts":[["2025","3"]]},"page":"125294","title":"Deep probabilistic solar power forecasting with Transformer and Gaussian process approximation","type":"article-journal","volume":"382"},"uris":["http://www.mendeley.com/documents/?uuid=49f2e614-fe1f-4464-85f7-9361099312c9"]}],"mendeley":{"formattedCitation":"&lt;sup&gt;[2,3]&lt;/sup&gt;","plainTextFormattedCitation":"[2,3]","previouslyFormattedCitation":"&lt;sup&gt;[2,3]&lt;/sup&gt;"},"properties":{"noteIndex":0},"schema":"https://github.com/citation-style-language/schema/raw/master/csl-citation.json"}</w:instrText>
      </w:r>
      <w:r w:rsidR="00F2093D">
        <w:fldChar w:fldCharType="separate"/>
      </w:r>
      <w:r w:rsidR="00F2093D" w:rsidRPr="00F2093D">
        <w:rPr>
          <w:noProof/>
          <w:vertAlign w:val="superscript"/>
        </w:rPr>
        <w:t>[2,3]</w:t>
      </w:r>
      <w:r w:rsidR="00F2093D">
        <w:fldChar w:fldCharType="end"/>
      </w:r>
    </w:p>
    <w:p w14:paraId="7C3964C0" w14:textId="116460F3" w:rsidR="00B95720" w:rsidRPr="00586B6E" w:rsidRDefault="000F7594" w:rsidP="00B95720">
      <w:pPr>
        <w:pStyle w:val="Listenabsatz"/>
        <w:numPr>
          <w:ilvl w:val="0"/>
          <w:numId w:val="33"/>
        </w:numPr>
      </w:pPr>
      <w:r>
        <w:t xml:space="preserve">Sogenannte Temporal Fusion Transformer (TFT) nutzen Aufmerksamkeitsmechanismen zur multivariaten Vorhersage und bieten eine inhärente Erklärbarkeit. Das hier entwickelte Modell erreicht ein ähnliches Maß an Transparenz und Interpretierbarkeit, indem die Black-Box-Struktur der Netze über eine modellunabhängige Permutation Feature </w:t>
      </w:r>
      <w:proofErr w:type="spellStart"/>
      <w:r>
        <w:t>Importance</w:t>
      </w:r>
      <w:proofErr w:type="spellEnd"/>
      <w:r>
        <w:t xml:space="preserve"> mathematisch offengelegt wird.</w:t>
      </w:r>
      <w:r w:rsidR="00F2093D">
        <w:fldChar w:fldCharType="begin" w:fldLock="1"/>
      </w:r>
      <w:r w:rsidR="00D25BC5">
        <w:instrText>ADDIN CSL_CITATION {"citationItems":[{"id":"ITEM-1","itemData":{"DOI":"10.1016/j.ijforecast.2021.03.012","ISSN":"01692070","author":[{"dropping-particle":"","family":"Lim","given":"Bryan","non-dropping-particle":"","parse-names":false,"suffix":""},{"dropping-particle":"","family":"Arık","given":"Sercan Ö.","non-dropping-particle":"","parse-names":false,"suffix":""},{"dropping-particle":"","family":"Loeff","given":"Nicolas","non-dropping-particle":"","parse-names":false,"suffix":""},{"dropping-particle":"","family":"Pfister","given":"Tomas","non-dropping-particle":"","parse-names":false,"suffix":""}],"container-title":"International Journal of Forecasting","id":"ITEM-1","issue":"4","issued":{"date-parts":[["2021","10"]]},"page":"1748-1764","title":"Temporal Fusion Transformers for interpretable multi-horizon time series forecasting","type":"article-journal","volume":"37"},"uris":["http://www.mendeley.com/documents/?uuid=634a9936-fafc-43c1-aa62-1f191dc61dc1"]}],"mendeley":{"formattedCitation":"&lt;sup&gt;[4]&lt;/sup&gt;","plainTextFormattedCitation":"[4]","previouslyFormattedCitation":"&lt;sup&gt;[4]&lt;/sup&gt;"},"properties":{"noteIndex":0},"schema":"https://github.com/citation-style-language/schema/raw/master/csl-citation.json"}</w:instrText>
      </w:r>
      <w:r w:rsidR="00F2093D">
        <w:fldChar w:fldCharType="separate"/>
      </w:r>
      <w:r w:rsidR="00F2093D" w:rsidRPr="00F2093D">
        <w:rPr>
          <w:noProof/>
          <w:vertAlign w:val="superscript"/>
        </w:rPr>
        <w:t>[4]</w:t>
      </w:r>
      <w:r w:rsidR="00F2093D">
        <w:fldChar w:fldCharType="end"/>
      </w:r>
    </w:p>
    <w:p w14:paraId="57E91218" w14:textId="77777777" w:rsidR="00B95720" w:rsidRDefault="00B95720" w:rsidP="00B95720">
      <w:pPr>
        <w:pStyle w:val="berschrift2"/>
      </w:pPr>
      <w:bookmarkStart w:id="5" w:name="_Toc236481608"/>
      <w:r>
        <w:t>Das finale Produkt</w:t>
      </w:r>
      <w:bookmarkEnd w:id="5"/>
    </w:p>
    <w:p w14:paraId="23680D58" w14:textId="77777777" w:rsidR="00B95720" w:rsidRDefault="00B95720" w:rsidP="00B95720">
      <w:pPr>
        <w:pStyle w:val="berschrift3"/>
      </w:pPr>
      <w:bookmarkStart w:id="6" w:name="_Toc236481609"/>
      <w:r>
        <w:t>Qualitative Produktbeschreibung</w:t>
      </w:r>
      <w:bookmarkEnd w:id="6"/>
    </w:p>
    <w:p w14:paraId="69D4AEA6" w14:textId="77777777" w:rsidR="00B95720" w:rsidRDefault="00B95720" w:rsidP="00B95720">
      <w:r>
        <w:t xml:space="preserve">Das im Rahmen dieser Arbeit entwickelte Produkt verarbeitet SMARD Energiemarktdaten im CSV Dateiformat über ein integriertes LSTM und RNN zu einer Prognose. Anstatt einer starren Punktprognose endet die Ausgabe in einer linearen Schicht mit drei Ausgabewerten </w:t>
      </w:r>
      <w:r w:rsidRPr="00B95720">
        <w:rPr>
          <w:i/>
          <w:iCs/>
        </w:rPr>
        <w:t>q</w:t>
      </w:r>
      <w:r w:rsidRPr="00B95720">
        <w:rPr>
          <w:vertAlign w:val="subscript"/>
        </w:rPr>
        <w:t>0.1</w:t>
      </w:r>
      <w:r>
        <w:t xml:space="preserve">, </w:t>
      </w:r>
      <w:r w:rsidRPr="00B95720">
        <w:rPr>
          <w:i/>
          <w:iCs/>
        </w:rPr>
        <w:t>q</w:t>
      </w:r>
      <w:r w:rsidRPr="00B95720">
        <w:rPr>
          <w:vertAlign w:val="subscript"/>
        </w:rPr>
        <w:t>0.5</w:t>
      </w:r>
      <w:r>
        <w:t xml:space="preserve"> und </w:t>
      </w:r>
      <w:r w:rsidRPr="00B95720">
        <w:rPr>
          <w:i/>
          <w:iCs/>
        </w:rPr>
        <w:t>q</w:t>
      </w:r>
      <w:r w:rsidRPr="00B95720">
        <w:rPr>
          <w:vertAlign w:val="subscript"/>
        </w:rPr>
        <w:t>0.9</w:t>
      </w:r>
      <w:r>
        <w:t>, die zusammen das Prognoseintervall aufspannen. Somit wird die Unsicherheit in der Prognose explizit sichtbar gemacht.</w:t>
      </w:r>
    </w:p>
    <w:p w14:paraId="34D58EB7" w14:textId="7A03455D" w:rsidR="00B95720" w:rsidRDefault="00B95720" w:rsidP="00B95720">
      <w:r>
        <w:t xml:space="preserve">Das Frontend beinhaltet das Dashboard, das den Nutzer zum Hochladen einer </w:t>
      </w:r>
      <w:proofErr w:type="gramStart"/>
      <w:r>
        <w:t>CSV Datei</w:t>
      </w:r>
      <w:proofErr w:type="gramEnd"/>
      <w:r>
        <w:t xml:space="preserve"> </w:t>
      </w:r>
      <w:r w:rsidR="00241FAB">
        <w:t xml:space="preserve">unter „SMARD CSV-Datei“ auswählen </w:t>
      </w:r>
      <w:r>
        <w:t>auffordert, siehe Abbildung</w:t>
      </w:r>
      <w:r>
        <w:t xml:space="preserve"> 1.1</w:t>
      </w:r>
      <w:r w:rsidR="00241FAB">
        <w:t xml:space="preserve">. Dabei kann die </w:t>
      </w:r>
      <w:proofErr w:type="gramStart"/>
      <w:r w:rsidR="00241FAB">
        <w:t>CSV Datei</w:t>
      </w:r>
      <w:proofErr w:type="gramEnd"/>
      <w:r w:rsidR="00241FAB">
        <w:t xml:space="preserve"> entweder durch Drag and Drop oder durch Auswahl von „Browse </w:t>
      </w:r>
      <w:proofErr w:type="spellStart"/>
      <w:r w:rsidR="00241FAB">
        <w:t>files</w:t>
      </w:r>
      <w:proofErr w:type="spellEnd"/>
      <w:r w:rsidR="00241FAB">
        <w:t xml:space="preserve">“ ausgewählt werden. Die Datenpipeline (mit der Datenverarbeitung, dem Training des LSTM und RNNs) wird durch Auswahl von „Pipeline starten“ gestartet. Diese Auswahl steht jedoch erst zur Verfügung, nachdem durch den Nutzer eine </w:t>
      </w:r>
      <w:proofErr w:type="gramStart"/>
      <w:r w:rsidR="00241FAB">
        <w:t>CSV Datei</w:t>
      </w:r>
      <w:proofErr w:type="gramEnd"/>
      <w:r w:rsidR="00241FAB">
        <w:t xml:space="preserve"> ausgewählt wurde. Optional kann auch eine </w:t>
      </w:r>
      <w:proofErr w:type="gramStart"/>
      <w:r w:rsidR="00241FAB">
        <w:t>CSV Datei</w:t>
      </w:r>
      <w:proofErr w:type="gramEnd"/>
      <w:r w:rsidR="00241FAB">
        <w:t xml:space="preserve"> mit Wetterdaten unter Optionale Wetter-CSV ausgewählt werden.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95720" w14:paraId="4AD128A1" w14:textId="77777777" w:rsidTr="00241FAB">
        <w:tc>
          <w:tcPr>
            <w:tcW w:w="9062" w:type="dxa"/>
          </w:tcPr>
          <w:p w14:paraId="651AA8F8" w14:textId="6A958168" w:rsidR="00B95720" w:rsidRDefault="00B95720" w:rsidP="00B95720">
            <w:pPr>
              <w:spacing w:after="0" w:line="240" w:lineRule="auto"/>
            </w:pPr>
            <w:r w:rsidRPr="00B95720">
              <w:lastRenderedPageBreak/>
              <w:drawing>
                <wp:inline distT="0" distB="0" distL="0" distR="0" wp14:anchorId="7201166B" wp14:editId="213AA81F">
                  <wp:extent cx="5654040" cy="2595174"/>
                  <wp:effectExtent l="0" t="0" r="3810" b="0"/>
                  <wp:docPr id="46313790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7646" cy="2596829"/>
                          </a:xfrm>
                          <a:prstGeom prst="rect">
                            <a:avLst/>
                          </a:prstGeom>
                          <a:noFill/>
                          <a:ln>
                            <a:noFill/>
                          </a:ln>
                        </pic:spPr>
                      </pic:pic>
                    </a:graphicData>
                  </a:graphic>
                </wp:inline>
              </w:drawing>
            </w:r>
          </w:p>
        </w:tc>
      </w:tr>
      <w:tr w:rsidR="00B95720" w14:paraId="776FCAA6" w14:textId="77777777" w:rsidTr="00241FAB">
        <w:tc>
          <w:tcPr>
            <w:tcW w:w="9062" w:type="dxa"/>
          </w:tcPr>
          <w:p w14:paraId="55108FF7" w14:textId="1EB7B15C" w:rsidR="00B95720" w:rsidRDefault="00B95720" w:rsidP="00B95720">
            <w:pPr>
              <w:pStyle w:val="Bildunterschrift"/>
            </w:pPr>
            <w:r w:rsidRPr="00241FAB">
              <w:rPr>
                <w:b/>
                <w:bCs/>
              </w:rPr>
              <w:t>Abbildung 1.1:</w:t>
            </w:r>
            <w:r>
              <w:t xml:space="preserve"> </w:t>
            </w:r>
            <w:r>
              <w:t>Frontend des finalen Produktes: Dashboard mit der Aufforderung ein</w:t>
            </w:r>
            <w:r w:rsidR="00241FAB">
              <w:t xml:space="preserve">e </w:t>
            </w:r>
            <w:proofErr w:type="gramStart"/>
            <w:r w:rsidR="00241FAB">
              <w:t>CSV Datei</w:t>
            </w:r>
            <w:proofErr w:type="gramEnd"/>
            <w:r w:rsidR="00241FAB">
              <w:t xml:space="preserve"> </w:t>
            </w:r>
            <w:r>
              <w:t>hochzuladen.</w:t>
            </w:r>
          </w:p>
        </w:tc>
      </w:tr>
    </w:tbl>
    <w:p w14:paraId="26E14B83" w14:textId="17EE4AAC" w:rsidR="00B95720" w:rsidRDefault="009E552B" w:rsidP="00B95720">
      <w:r>
        <w:t xml:space="preserve">Alle hochgeladenen Dateien befinden sich im Input-Verzeichnis </w:t>
      </w:r>
      <w:r w:rsidRPr="009E552B">
        <w:rPr>
          <w:rStyle w:val="ProgrammcodeZchn"/>
        </w:rPr>
        <w:t>\</w:t>
      </w:r>
      <w:proofErr w:type="spellStart"/>
      <w:r w:rsidRPr="009E552B">
        <w:rPr>
          <w:rStyle w:val="ProgrammcodeZchn"/>
        </w:rPr>
        <w:t>smard_daten</w:t>
      </w:r>
      <w:proofErr w:type="spellEnd"/>
      <w:r w:rsidRPr="009E552B">
        <w:rPr>
          <w:rStyle w:val="ProgrammcodeZchn"/>
        </w:rPr>
        <w:t>\</w:t>
      </w:r>
      <w:proofErr w:type="spellStart"/>
      <w:r>
        <w:rPr>
          <w:rStyle w:val="ProgrammcodeZchn"/>
        </w:rPr>
        <w:t>input</w:t>
      </w:r>
      <w:proofErr w:type="spellEnd"/>
      <w:r>
        <w:t xml:space="preserve">. </w:t>
      </w:r>
      <w:r w:rsidR="00241FAB">
        <w:t>Nachdem die Pipeline gestartet wurde, wird der Nutzer regelmäßig durch Updates in der Verarbeitung informiert, siehe Abbildung 1.2:</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41FAB" w14:paraId="73FD348B" w14:textId="77777777" w:rsidTr="00241FAB">
        <w:tc>
          <w:tcPr>
            <w:tcW w:w="9062" w:type="dxa"/>
          </w:tcPr>
          <w:p w14:paraId="63DEC374" w14:textId="3A1BCA7F" w:rsidR="00241FAB" w:rsidRDefault="00241FAB" w:rsidP="00241FAB">
            <w:pPr>
              <w:spacing w:after="0" w:line="240" w:lineRule="auto"/>
              <w:jc w:val="center"/>
            </w:pPr>
            <w:r w:rsidRPr="00241FAB">
              <w:drawing>
                <wp:inline distT="0" distB="0" distL="0" distR="0" wp14:anchorId="7022CFEF" wp14:editId="12FEAC7C">
                  <wp:extent cx="5760720" cy="1289050"/>
                  <wp:effectExtent l="0" t="0" r="0" b="6350"/>
                  <wp:docPr id="53840444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289050"/>
                          </a:xfrm>
                          <a:prstGeom prst="rect">
                            <a:avLst/>
                          </a:prstGeom>
                          <a:noFill/>
                          <a:ln>
                            <a:noFill/>
                          </a:ln>
                        </pic:spPr>
                      </pic:pic>
                    </a:graphicData>
                  </a:graphic>
                </wp:inline>
              </w:drawing>
            </w:r>
          </w:p>
        </w:tc>
      </w:tr>
      <w:tr w:rsidR="00241FAB" w14:paraId="4A0A121D" w14:textId="77777777" w:rsidTr="00241FAB">
        <w:tc>
          <w:tcPr>
            <w:tcW w:w="9062" w:type="dxa"/>
          </w:tcPr>
          <w:p w14:paraId="53D5BEEB" w14:textId="15CE44EA" w:rsidR="00241FAB" w:rsidRDefault="00241FAB" w:rsidP="00241FAB">
            <w:pPr>
              <w:pStyle w:val="Bildunterschrift"/>
            </w:pPr>
            <w:r w:rsidRPr="00241FAB">
              <w:rPr>
                <w:b/>
                <w:bCs/>
              </w:rPr>
              <w:t>Abbildung 1.</w:t>
            </w:r>
            <w:r>
              <w:rPr>
                <w:b/>
                <w:bCs/>
              </w:rPr>
              <w:t>2</w:t>
            </w:r>
            <w:r w:rsidRPr="00241FAB">
              <w:rPr>
                <w:b/>
                <w:bCs/>
              </w:rPr>
              <w:t>:</w:t>
            </w:r>
            <w:r>
              <w:t xml:space="preserve"> </w:t>
            </w:r>
            <w:r>
              <w:t>Statusaktualisierung des Fortschritts</w:t>
            </w:r>
            <w:r>
              <w:t>.</w:t>
            </w:r>
          </w:p>
        </w:tc>
      </w:tr>
    </w:tbl>
    <w:p w14:paraId="65830911" w14:textId="683F4C6E" w:rsidR="00241FAB" w:rsidRDefault="00241FAB" w:rsidP="00B95720">
      <w:r>
        <w:t xml:space="preserve">Nachdem die Pipeline beendet wurde, wechselt das Frontend automatisch in die Rubrik „Überblick“. Dort kann der Nutzer die wichtigsten Metriken einsehen, siehe Abbildung 1.3. </w:t>
      </w:r>
      <w:r w:rsidR="009E552B">
        <w:t>Wechselt der Nutzer in die Rubrik „Prognosen und EDA“, werden die Prognosen des LSTM und RNN als Grafiken gezeigt. Darunter befinden sich die Lernkurven und die Ergebnisse der Datenverarbeitung, siehe Abbildung 1.4.</w:t>
      </w:r>
    </w:p>
    <w:p w14:paraId="00EA085A" w14:textId="09F56475" w:rsidR="009E552B" w:rsidRDefault="009E552B" w:rsidP="00B95720">
      <w:r>
        <w:t xml:space="preserve">Die Rubrik „Diagnose“ informiert den Nutzer über die Ergebnisse der LSTM/RNN Quantil-Kalibrierungen und bildet tabellarisch weitere Metriken beider Architekturen ab. In der finalen Rubrik „Dateien und Protokoll“ befindet sich eine Auflistung aller erzeugten Dateien, die im Output-Verzeichnis </w:t>
      </w:r>
      <w:r w:rsidRPr="009E552B">
        <w:rPr>
          <w:rStyle w:val="ProgrammcodeZchn"/>
        </w:rPr>
        <w:t>\</w:t>
      </w:r>
      <w:proofErr w:type="spellStart"/>
      <w:r w:rsidRPr="009E552B">
        <w:rPr>
          <w:rStyle w:val="ProgrammcodeZchn"/>
        </w:rPr>
        <w:t>smard_daten</w:t>
      </w:r>
      <w:proofErr w:type="spellEnd"/>
      <w:r w:rsidRPr="009E552B">
        <w:rPr>
          <w:rStyle w:val="ProgrammcodeZchn"/>
        </w:rPr>
        <w:t>\</w:t>
      </w:r>
      <w:proofErr w:type="spellStart"/>
      <w:r w:rsidRPr="009E552B">
        <w:rPr>
          <w:rStyle w:val="ProgrammcodeZchn"/>
        </w:rPr>
        <w:t>output</w:t>
      </w:r>
      <w:proofErr w:type="spellEnd"/>
      <w:r>
        <w:t xml:space="preserve"> abgelegt werden. Das Pipeline-Protokoll enthält alle wesentlichen Informationen während des Trainings und spiegelt die Konsolenausgaben der einzelnen Python-Skripte wider. An dieser Stelle besteht die Möglichkeit die LSTM/RNN </w:t>
      </w:r>
      <w:r>
        <w:lastRenderedPageBreak/>
        <w:t xml:space="preserve">Metriken als </w:t>
      </w:r>
      <w:proofErr w:type="gramStart"/>
      <w:r>
        <w:t>CSV Dateien</w:t>
      </w:r>
      <w:proofErr w:type="gramEnd"/>
      <w:r>
        <w:t xml:space="preserve"> herunterzuladen oder die Pipeline mit einer neuen </w:t>
      </w:r>
      <w:proofErr w:type="gramStart"/>
      <w:r>
        <w:t>CSV Datei</w:t>
      </w:r>
      <w:proofErr w:type="gramEnd"/>
      <w:r>
        <w:t xml:space="preserve"> wieder zu starten. Bei Neuauswahl einer </w:t>
      </w:r>
      <w:proofErr w:type="gramStart"/>
      <w:r>
        <w:t>CSV Datei</w:t>
      </w:r>
      <w:proofErr w:type="gramEnd"/>
      <w:r>
        <w:t xml:space="preserve"> werden bereits dort existierende Dateien überschrieben.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41FAB" w14:paraId="1E9E8456" w14:textId="77777777" w:rsidTr="00241FAB">
        <w:tc>
          <w:tcPr>
            <w:tcW w:w="9062" w:type="dxa"/>
          </w:tcPr>
          <w:p w14:paraId="795A7745" w14:textId="54F74D8C" w:rsidR="00241FAB" w:rsidRDefault="00241FAB" w:rsidP="00241FAB">
            <w:pPr>
              <w:spacing w:after="0" w:line="240" w:lineRule="auto"/>
            </w:pPr>
            <w:r w:rsidRPr="00241FAB">
              <w:drawing>
                <wp:inline distT="0" distB="0" distL="0" distR="0" wp14:anchorId="43CC666A" wp14:editId="1A6AEC79">
                  <wp:extent cx="5671160" cy="2613660"/>
                  <wp:effectExtent l="0" t="0" r="6350" b="0"/>
                  <wp:docPr id="101967715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6392" cy="2620680"/>
                          </a:xfrm>
                          <a:prstGeom prst="rect">
                            <a:avLst/>
                          </a:prstGeom>
                          <a:noFill/>
                          <a:ln>
                            <a:noFill/>
                          </a:ln>
                        </pic:spPr>
                      </pic:pic>
                    </a:graphicData>
                  </a:graphic>
                </wp:inline>
              </w:drawing>
            </w:r>
          </w:p>
        </w:tc>
      </w:tr>
      <w:tr w:rsidR="00241FAB" w14:paraId="4DA74642" w14:textId="77777777" w:rsidTr="00241FAB">
        <w:tc>
          <w:tcPr>
            <w:tcW w:w="9062" w:type="dxa"/>
          </w:tcPr>
          <w:p w14:paraId="2237F884" w14:textId="2B7F03CC" w:rsidR="00241FAB" w:rsidRPr="00241FAB" w:rsidRDefault="00241FAB" w:rsidP="00241FAB">
            <w:pPr>
              <w:spacing w:after="0" w:line="240" w:lineRule="auto"/>
            </w:pPr>
            <w:r w:rsidRPr="00241FAB">
              <w:drawing>
                <wp:inline distT="0" distB="0" distL="0" distR="0" wp14:anchorId="3AD8977A" wp14:editId="3C9E27D5">
                  <wp:extent cx="5676900" cy="2251487"/>
                  <wp:effectExtent l="0" t="0" r="0" b="0"/>
                  <wp:docPr id="51417975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4317" cy="2254429"/>
                          </a:xfrm>
                          <a:prstGeom prst="rect">
                            <a:avLst/>
                          </a:prstGeom>
                          <a:noFill/>
                          <a:ln>
                            <a:noFill/>
                          </a:ln>
                        </pic:spPr>
                      </pic:pic>
                    </a:graphicData>
                  </a:graphic>
                </wp:inline>
              </w:drawing>
            </w:r>
          </w:p>
          <w:p w14:paraId="42478ADE" w14:textId="77777777" w:rsidR="00241FAB" w:rsidRDefault="00241FAB" w:rsidP="00241FAB">
            <w:pPr>
              <w:spacing w:after="0" w:line="240" w:lineRule="auto"/>
            </w:pPr>
          </w:p>
        </w:tc>
      </w:tr>
      <w:tr w:rsidR="00241FAB" w14:paraId="0233519B" w14:textId="77777777" w:rsidTr="00241FAB">
        <w:tc>
          <w:tcPr>
            <w:tcW w:w="9062" w:type="dxa"/>
          </w:tcPr>
          <w:p w14:paraId="253F2320" w14:textId="044919C8" w:rsidR="00241FAB" w:rsidRDefault="00241FAB" w:rsidP="00241FAB">
            <w:pPr>
              <w:pStyle w:val="Bildunterschrift"/>
            </w:pPr>
            <w:r w:rsidRPr="00241FAB">
              <w:rPr>
                <w:b/>
                <w:bCs/>
              </w:rPr>
              <w:t>Abbildung 1.</w:t>
            </w:r>
            <w:r>
              <w:rPr>
                <w:b/>
                <w:bCs/>
              </w:rPr>
              <w:t>3</w:t>
            </w:r>
            <w:r w:rsidRPr="00241FAB">
              <w:rPr>
                <w:b/>
                <w:bCs/>
              </w:rPr>
              <w:t>:</w:t>
            </w:r>
            <w:r>
              <w:t xml:space="preserve"> </w:t>
            </w:r>
            <w:r>
              <w:t>Ergebnis-Dashboard in der Rubrik „Überblick“ mit allen zugehörigen Metriken</w:t>
            </w:r>
            <w:r>
              <w:t>.</w:t>
            </w:r>
          </w:p>
        </w:tc>
      </w:tr>
    </w:tbl>
    <w:p w14:paraId="5AC01FF0" w14:textId="1F84CA05" w:rsidR="00241FAB" w:rsidRDefault="004C24C5" w:rsidP="00B95720">
      <w:r>
        <w:t>Die genaue Protokollierung aller zugehörigen Komponenten, dient der Reproduktionsfähigkeit und Dokumentation des Laufes.</w:t>
      </w:r>
    </w:p>
    <w:p w14:paraId="7479BCC0" w14:textId="4C74C248" w:rsidR="009E552B" w:rsidRDefault="004C24C5" w:rsidP="00B95720">
      <w:r>
        <w:t xml:space="preserve">Auf der Hauptseite von SMARD kann direkt die Auflösung der Daten bestimmt werden (z. B. stündliche oder viertelstündliche Auflösung) oder der Zeitraum angepasst werden. Es muss beachtet werden, dass die Rechenzeit steigt je höher die Auflösung und je länger der Zeitraum gewählt wird, da so mehr Datenpunkte vorhanden sind. Für Demonstrationszwecke empfiehlt es sich daher, einen Datensatz mit einer möglichst groben Auflösung aus einem kurzen </w:t>
      </w:r>
      <w:r>
        <w:lastRenderedPageBreak/>
        <w:t>Zeitraum auszuwählen. In diesen Szenarien werden auch die Unterschiede beider Architekturen besser veranschaulicht.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E552B" w14:paraId="450F00D5" w14:textId="77777777" w:rsidTr="009E552B">
        <w:tc>
          <w:tcPr>
            <w:tcW w:w="9062" w:type="dxa"/>
          </w:tcPr>
          <w:p w14:paraId="2AB6E229" w14:textId="72490187" w:rsidR="009E552B" w:rsidRDefault="009E552B" w:rsidP="009E552B">
            <w:pPr>
              <w:spacing w:after="0" w:line="240" w:lineRule="auto"/>
            </w:pPr>
            <w:r w:rsidRPr="009E552B">
              <w:drawing>
                <wp:inline distT="0" distB="0" distL="0" distR="0" wp14:anchorId="32E4911F" wp14:editId="4C3E46E9">
                  <wp:extent cx="5692140" cy="2630858"/>
                  <wp:effectExtent l="0" t="0" r="3810" b="0"/>
                  <wp:docPr id="64476340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6305" cy="2632783"/>
                          </a:xfrm>
                          <a:prstGeom prst="rect">
                            <a:avLst/>
                          </a:prstGeom>
                          <a:noFill/>
                          <a:ln>
                            <a:noFill/>
                          </a:ln>
                        </pic:spPr>
                      </pic:pic>
                    </a:graphicData>
                  </a:graphic>
                </wp:inline>
              </w:drawing>
            </w:r>
          </w:p>
        </w:tc>
      </w:tr>
      <w:tr w:rsidR="009E552B" w14:paraId="6A77D15C" w14:textId="77777777" w:rsidTr="009E552B">
        <w:tc>
          <w:tcPr>
            <w:tcW w:w="9062" w:type="dxa"/>
          </w:tcPr>
          <w:p w14:paraId="6B9FBF39" w14:textId="5A7C0F67" w:rsidR="009E552B" w:rsidRDefault="009E552B" w:rsidP="009E552B">
            <w:pPr>
              <w:pStyle w:val="Bildunterschrift"/>
            </w:pPr>
            <w:r w:rsidRPr="00241FAB">
              <w:rPr>
                <w:b/>
                <w:bCs/>
              </w:rPr>
              <w:t>Abbildung 1.</w:t>
            </w:r>
            <w:r w:rsidR="004C24C5">
              <w:rPr>
                <w:b/>
                <w:bCs/>
              </w:rPr>
              <w:t>4</w:t>
            </w:r>
            <w:r w:rsidRPr="00241FAB">
              <w:rPr>
                <w:b/>
                <w:bCs/>
              </w:rPr>
              <w:t>:</w:t>
            </w:r>
            <w:r>
              <w:t xml:space="preserve"> Ergebnis-Dashboard in der Rubrik „</w:t>
            </w:r>
            <w:r>
              <w:t>Prognosen und EDA</w:t>
            </w:r>
            <w:r>
              <w:t xml:space="preserve">“ mit allen zugehörigen </w:t>
            </w:r>
            <w:r>
              <w:t>Grafiken der Prognosen, der Lernkurven und der Ergebnisse der Datenverarbeitung</w:t>
            </w:r>
            <w:r>
              <w:t>.</w:t>
            </w:r>
          </w:p>
        </w:tc>
      </w:tr>
    </w:tbl>
    <w:p w14:paraId="05280FD1" w14:textId="77777777" w:rsidR="00B95720" w:rsidRDefault="00B95720" w:rsidP="00B95720">
      <w:pPr>
        <w:pStyle w:val="berschrift3"/>
      </w:pPr>
      <w:bookmarkStart w:id="7" w:name="_Toc236481610"/>
      <w:r>
        <w:t>Technische Implementierung und Software-Architektur</w:t>
      </w:r>
      <w:bookmarkEnd w:id="7"/>
    </w:p>
    <w:p w14:paraId="6CF37B19" w14:textId="77777777" w:rsidR="00B95720" w:rsidRDefault="00B95720" w:rsidP="00B95720">
      <w:r>
        <w:t>Das finale Produkt ist eine modularisierte, containerisierte End-</w:t>
      </w:r>
      <w:proofErr w:type="spellStart"/>
      <w:r>
        <w:t>to</w:t>
      </w:r>
      <w:proofErr w:type="spellEnd"/>
      <w:r>
        <w:t xml:space="preserve">-End-Pipeline, deren Orchestrierung über eine interaktive </w:t>
      </w:r>
      <w:proofErr w:type="spellStart"/>
      <w:r>
        <w:t>Streamlit</w:t>
      </w:r>
      <w:proofErr w:type="spellEnd"/>
      <w:r>
        <w:t>-Webanwendung erfolgt. Die gesamte Architektur ist in eine plattformunabhängige Docker-Laufzeitumgebung eingebettet. Dabei erfolgt eine Datensynchronisation zwischen den Verzeichnissen /</w:t>
      </w:r>
      <w:proofErr w:type="spellStart"/>
      <w:r>
        <w:t>smard_daten</w:t>
      </w:r>
      <w:proofErr w:type="spellEnd"/>
      <w:r>
        <w:t>/</w:t>
      </w:r>
      <w:proofErr w:type="spellStart"/>
      <w:r>
        <w:t>input</w:t>
      </w:r>
      <w:proofErr w:type="spellEnd"/>
      <w:r>
        <w:t xml:space="preserve"> und /</w:t>
      </w:r>
      <w:proofErr w:type="spellStart"/>
      <w:r>
        <w:t>smard_daten</w:t>
      </w:r>
      <w:proofErr w:type="spellEnd"/>
      <w:r>
        <w:t>/</w:t>
      </w:r>
      <w:proofErr w:type="spellStart"/>
      <w:r>
        <w:t>output</w:t>
      </w:r>
      <w:proofErr w:type="spellEnd"/>
      <w:r>
        <w:t>. Nach dem Upload einer unskalierten SMARD-Rohdaten-CSV (und optionaler Wetter-Features) im Frontend wird die Berechnungs-Pipeline sequentiell ausgeführt. Konsolenausgaben und Fehlermeldungen werden dynamisch in einer Protokolldatei abgefangen und alle generierten Artefakte (validierte CSV-Daten, serialisierte Skalierungs-Metadaten und hochauflösende PNG-Visualisierungen) in das Output-Verzeichnis abgelegt. Die Pipeline gliedert sich wie folgt:</w:t>
      </w:r>
    </w:p>
    <w:p w14:paraId="53C6546F" w14:textId="77777777" w:rsidR="00B95720" w:rsidRDefault="00B95720" w:rsidP="00B95720">
      <w:pPr>
        <w:pStyle w:val="Listenabsatz"/>
        <w:numPr>
          <w:ilvl w:val="0"/>
          <w:numId w:val="34"/>
        </w:numPr>
      </w:pPr>
      <w:r>
        <w:t>Explorative Datenanalyse, Bereinigung und Feature Engineering (</w:t>
      </w:r>
      <w:r w:rsidRPr="00694A38">
        <w:rPr>
          <w:rStyle w:val="ProgrammcodeZchn"/>
        </w:rPr>
        <w:t>eda.py</w:t>
      </w:r>
      <w:r>
        <w:t xml:space="preserve">): In diesem Skript werden die SMARD-Rohdaten geladen, bereinigt und länderspezifische numerische String-Formate über eine Zeitstempel-Analyse isoliert. Neben einer automatisierten Auflösungserkennung wird ein zyklisches Feature Engineering durchgeführt. Die </w:t>
      </w:r>
      <w:proofErr w:type="spellStart"/>
      <w:r>
        <w:t>Rhytmen</w:t>
      </w:r>
      <w:proofErr w:type="spellEnd"/>
      <w:r>
        <w:t xml:space="preserve"> werden über Sinus- und Kosinus-Transformationen der Stunde mathematisch als kontinuierliche Wellenfunktionen operationalisiert. Es existiert eine Schnittstelle (</w:t>
      </w:r>
      <w:proofErr w:type="spellStart"/>
      <w:r w:rsidRPr="00007573">
        <w:rPr>
          <w:rStyle w:val="ProgrammcodeZchn"/>
        </w:rPr>
        <w:t>merge_weather_features</w:t>
      </w:r>
      <w:proofErr w:type="spellEnd"/>
      <w:r>
        <w:t xml:space="preserve">), um optionale Wetterdaten zeitlich exakt mit den Energiedaten zu </w:t>
      </w:r>
      <w:proofErr w:type="spellStart"/>
      <w:r>
        <w:t>mergen</w:t>
      </w:r>
      <w:proofErr w:type="spellEnd"/>
      <w:r>
        <w:t>.</w:t>
      </w:r>
    </w:p>
    <w:p w14:paraId="7AA204F5" w14:textId="77777777" w:rsidR="00B95720" w:rsidRDefault="00B95720" w:rsidP="00B95720">
      <w:pPr>
        <w:pStyle w:val="Listenabsatz"/>
        <w:numPr>
          <w:ilvl w:val="0"/>
          <w:numId w:val="34"/>
        </w:numPr>
      </w:pPr>
      <w:r>
        <w:lastRenderedPageBreak/>
        <w:t>Chronologische Daten-Transformation und Leakage-freie Sequenzerstellung (</w:t>
      </w:r>
      <w:r w:rsidRPr="00007573">
        <w:rPr>
          <w:rStyle w:val="ProgrammcodeZchn"/>
        </w:rPr>
        <w:t>training_utils.py</w:t>
      </w:r>
      <w:r>
        <w:t xml:space="preserve">): Die multivariate Feature-Matrix (bestehend aus PV, Wind </w:t>
      </w:r>
      <w:proofErr w:type="spellStart"/>
      <w:r>
        <w:t>Onshore</w:t>
      </w:r>
      <w:proofErr w:type="spellEnd"/>
      <w:r>
        <w:t xml:space="preserve">, Erdgas und zyklischen Zeitkomponenten) wird über ein gleitendes Fenster für das überwachte Lernen transformiert. Dabei passt sich die Fenstergröße dynamisch an die erkannte Auflösung an, sodass die Historie immer exakt eine Sequenz von 24 Stunden umfasst. Zur Vermeidung von Data Leakage erfolgt der </w:t>
      </w:r>
      <w:proofErr w:type="spellStart"/>
      <w:r w:rsidRPr="00007573">
        <w:rPr>
          <w:rStyle w:val="ProgrammcodeZchn"/>
        </w:rPr>
        <w:t>MinMaxScaler</w:t>
      </w:r>
      <w:proofErr w:type="spellEnd"/>
      <w:r>
        <w:t>-Fit strikt ausschließlich auf dem chronologischen Trainings-Split. Validierungs- und Testdaten werden erst danach transformiert. Insgesamt erfolgt die Datenaufteilung sequentiell im Verhältnis 80 % Train/Validation (davon 10 % Validierung zur Early-</w:t>
      </w:r>
      <w:proofErr w:type="spellStart"/>
      <w:r>
        <w:t>Stopping</w:t>
      </w:r>
      <w:proofErr w:type="spellEnd"/>
      <w:r>
        <w:t xml:space="preserve">-Steuerung) und 20 % Testdaten. Die Sequenzen werden in ein dreidimensionales </w:t>
      </w:r>
      <w:proofErr w:type="spellStart"/>
      <w:r>
        <w:t>PyTorch-Tensorformat</w:t>
      </w:r>
      <w:proofErr w:type="spellEnd"/>
      <w:r>
        <w:t xml:space="preserve"> der Dimension (</w:t>
      </w:r>
      <w:r w:rsidRPr="00F471CF">
        <w:rPr>
          <w:i/>
          <w:iCs/>
        </w:rPr>
        <w:t>B</w:t>
      </w:r>
      <w:r>
        <w:t xml:space="preserve">, </w:t>
      </w:r>
      <w:r w:rsidRPr="00F471CF">
        <w:rPr>
          <w:i/>
          <w:iCs/>
        </w:rPr>
        <w:t>T</w:t>
      </w:r>
      <w:r>
        <w:t xml:space="preserve">, </w:t>
      </w:r>
      <w:r w:rsidRPr="00F471CF">
        <w:rPr>
          <w:i/>
          <w:iCs/>
        </w:rPr>
        <w:t>D</w:t>
      </w:r>
      <w:r>
        <w:t xml:space="preserve">) überführt. Dabei steht </w:t>
      </w:r>
      <w:r w:rsidRPr="00F471CF">
        <w:rPr>
          <w:i/>
          <w:iCs/>
        </w:rPr>
        <w:t>B</w:t>
      </w:r>
      <w:r>
        <w:t xml:space="preserve"> für die Batch-Größe, </w:t>
      </w:r>
      <w:r w:rsidRPr="00F471CF">
        <w:rPr>
          <w:i/>
          <w:iCs/>
        </w:rPr>
        <w:t>T</w:t>
      </w:r>
      <w:r>
        <w:t xml:space="preserve"> für die Sequenzlänge und </w:t>
      </w:r>
      <w:r w:rsidRPr="00F471CF">
        <w:rPr>
          <w:i/>
          <w:iCs/>
        </w:rPr>
        <w:t>D</w:t>
      </w:r>
      <w:r>
        <w:t xml:space="preserve"> für die Feature-Anzahl.</w:t>
      </w:r>
    </w:p>
    <w:p w14:paraId="34A514A7" w14:textId="77777777" w:rsidR="00B95720" w:rsidRDefault="00B95720" w:rsidP="00B95720">
      <w:pPr>
        <w:pStyle w:val="Listenabsatz"/>
        <w:numPr>
          <w:ilvl w:val="0"/>
          <w:numId w:val="34"/>
        </w:numPr>
      </w:pPr>
      <w:r>
        <w:t>Probabilistische rekurrente Modellarchitekturen (</w:t>
      </w:r>
      <w:r w:rsidRPr="00103369">
        <w:rPr>
          <w:rStyle w:val="ProgrammcodeZchn"/>
        </w:rPr>
        <w:t>train_lstm.py</w:t>
      </w:r>
      <w:r>
        <w:t xml:space="preserve"> und </w:t>
      </w:r>
      <w:r w:rsidRPr="00103369">
        <w:rPr>
          <w:rStyle w:val="ProgrammcodeZchn"/>
        </w:rPr>
        <w:t>train_rnn.py</w:t>
      </w:r>
      <w:r>
        <w:t xml:space="preserve">): Im Fokus stehen hier das LSTM und das RNN. Beide Netze verfügen über ein verdecktes Layout mit zwei rekurrenten Schichten, 128 Hidden-Units und einer Dropout-Regularisierung von 20 % zur Vermeidung von </w:t>
      </w:r>
      <w:proofErr w:type="spellStart"/>
      <w:r>
        <w:t>Overfitting</w:t>
      </w:r>
      <w:proofErr w:type="spellEnd"/>
      <w:r>
        <w:t xml:space="preserve">. Die finale lineare Schicht gibt drei Ausgabeneuronen für die Quantile </w:t>
      </w:r>
      <w:r w:rsidRPr="00C3652F">
        <w:rPr>
          <w:i/>
          <w:iCs/>
        </w:rPr>
        <w:t>q</w:t>
      </w:r>
      <w:r w:rsidRPr="005A16C4">
        <w:rPr>
          <w:vertAlign w:val="subscript"/>
        </w:rPr>
        <w:t>0.1</w:t>
      </w:r>
      <w:r>
        <w:t xml:space="preserve"> (untere Grenze), </w:t>
      </w:r>
      <w:r w:rsidRPr="00C3652F">
        <w:rPr>
          <w:i/>
          <w:iCs/>
        </w:rPr>
        <w:t>q</w:t>
      </w:r>
      <w:r w:rsidRPr="005A16C4">
        <w:rPr>
          <w:vertAlign w:val="subscript"/>
        </w:rPr>
        <w:t>0.5</w:t>
      </w:r>
      <w:r>
        <w:t xml:space="preserve"> (Median) und </w:t>
      </w:r>
      <w:r w:rsidRPr="00C3652F">
        <w:rPr>
          <w:i/>
          <w:iCs/>
        </w:rPr>
        <w:t>q</w:t>
      </w:r>
      <w:r w:rsidRPr="005A16C4">
        <w:rPr>
          <w:vertAlign w:val="subscript"/>
        </w:rPr>
        <w:t>0.9</w:t>
      </w:r>
      <w:r>
        <w:t xml:space="preserve"> (obere Grenze) aus, woraus ein 80 %-Vorhersageintervall entsteht.</w:t>
      </w:r>
    </w:p>
    <w:p w14:paraId="3C162901" w14:textId="77777777" w:rsidR="00B95720" w:rsidRDefault="00B95720" w:rsidP="00B95720">
      <w:r>
        <w:t xml:space="preserve">Das Training erfolgt nicht-parametrisch über die Minimierung des Pinball Loss (Quantils-Verlustfunktion). Um fachlich unlogische </w:t>
      </w:r>
      <w:proofErr w:type="spellStart"/>
      <w:r>
        <w:t>Quantilkreuzungen</w:t>
      </w:r>
      <w:proofErr w:type="spellEnd"/>
      <w:r>
        <w:t xml:space="preserve"> aktiv zu unterdrücken, setzt sich die Loss-Funktion aus dem Pinball Loss und einer gewichteten </w:t>
      </w:r>
      <w:r w:rsidRPr="000B4B43">
        <w:rPr>
          <w:i/>
          <w:iCs/>
        </w:rPr>
        <w:t>Quantile Crossing Penalty</w:t>
      </w:r>
      <w:r>
        <w:t xml:space="preserve"> zusammen. Die Optimierung wird durch den </w:t>
      </w:r>
      <w:r w:rsidRPr="00D4398C">
        <w:rPr>
          <w:rStyle w:val="ProgrammcodeZchn"/>
        </w:rPr>
        <w:t>Adam</w:t>
      </w:r>
      <w:r>
        <w:t xml:space="preserve"> Optimizer mit einer </w:t>
      </w:r>
      <w:proofErr w:type="spellStart"/>
      <w:r>
        <w:t>Lernrate</w:t>
      </w:r>
      <w:proofErr w:type="spellEnd"/>
      <w:r>
        <w:t xml:space="preserve"> von 0.0005 gesteuert, der an einen dynamischen Lernraten-Scheduler gekoppelt ist. Der Early-</w:t>
      </w:r>
      <w:proofErr w:type="spellStart"/>
      <w:r>
        <w:t>Stopping</w:t>
      </w:r>
      <w:proofErr w:type="spellEnd"/>
      <w:r>
        <w:t xml:space="preserve">-Mechanismus bricht das Training zur Absicherung der Generalisierungsfähigkeit ab, sofern der Validierungsverlust über 25 Epochen stagnierte. Nachdem das Modell mit der </w:t>
      </w:r>
      <w:proofErr w:type="spellStart"/>
      <w:r>
        <w:t>Prediction</w:t>
      </w:r>
      <w:proofErr w:type="spellEnd"/>
      <w:r>
        <w:t xml:space="preserve"> </w:t>
      </w:r>
      <w:proofErr w:type="spellStart"/>
      <w:r>
        <w:t>Interval</w:t>
      </w:r>
      <w:proofErr w:type="spellEnd"/>
      <w:r>
        <w:t xml:space="preserve"> Coverage </w:t>
      </w:r>
      <w:proofErr w:type="spellStart"/>
      <w:r>
        <w:t>Probability</w:t>
      </w:r>
      <w:proofErr w:type="spellEnd"/>
      <w:r>
        <w:t xml:space="preserve"> (PICP) evaluiert wurde, wird die Black-Box-Struktur der Netzwerke über die Permutation Feature </w:t>
      </w:r>
      <w:proofErr w:type="spellStart"/>
      <w:r>
        <w:t>Importance</w:t>
      </w:r>
      <w:proofErr w:type="spellEnd"/>
      <w:r>
        <w:t xml:space="preserve"> aufgebrochen, die den mathematischen Einfluss jedes einzelnen Features direkt auf den Pinball Loss misst.</w:t>
      </w:r>
    </w:p>
    <w:p w14:paraId="6327D01F" w14:textId="77777777" w:rsidR="00586B6E" w:rsidRDefault="00586B6E" w:rsidP="00D8040D"/>
    <w:p w14:paraId="7D4E386F" w14:textId="5DD8536E" w:rsidR="00F24E1D" w:rsidRDefault="00F24E1D" w:rsidP="00F24E1D">
      <w:pPr>
        <w:pStyle w:val="berschrift1"/>
      </w:pPr>
      <w:bookmarkStart w:id="8" w:name="_Toc236481611"/>
      <w:r>
        <w:lastRenderedPageBreak/>
        <w:t>Arbeitspakete</w:t>
      </w:r>
      <w:bookmarkEnd w:id="8"/>
    </w:p>
    <w:p w14:paraId="48594B12" w14:textId="69242F0E" w:rsidR="00F24E1D" w:rsidRDefault="00F24E1D" w:rsidP="00F24E1D">
      <w:r>
        <w:t>Im Folgenden werden die Arbeitspakete (AP) dargestellt, die in diesem Projekt definiert wurden.</w:t>
      </w:r>
    </w:p>
    <w:p w14:paraId="0F7D2C2B" w14:textId="7C79651D" w:rsidR="00F24E1D" w:rsidRDefault="00F24E1D" w:rsidP="00F24E1D">
      <w:pPr>
        <w:pStyle w:val="berschrift2"/>
      </w:pPr>
      <w:bookmarkStart w:id="9" w:name="_Toc236481612"/>
      <w:r>
        <w:t>AP1: Recherche nach geeigneten Datenquellen und explorative Datenanalyse</w:t>
      </w:r>
      <w:bookmarkEnd w:id="9"/>
    </w:p>
    <w:p w14:paraId="6FD75760" w14:textId="77777777" w:rsidR="00F24E1D" w:rsidRDefault="00F24E1D" w:rsidP="00F24E1D">
      <w:r>
        <w:t>Bevor entsprechende Architekturen trainiert werden können, müssen zunächst geeignete Datenquellen gefunden werden, die eine fehlerfreie und eine stationäre Datenbasis darstellen. Dabei gilt es folgende Aufgaben zu erledigen:</w:t>
      </w:r>
    </w:p>
    <w:p w14:paraId="1103DE39" w14:textId="253BF92E" w:rsidR="00F24E1D" w:rsidRDefault="00F24E1D" w:rsidP="00F24E1D">
      <w:pPr>
        <w:pStyle w:val="Listenabsatz"/>
        <w:numPr>
          <w:ilvl w:val="0"/>
          <w:numId w:val="29"/>
        </w:numPr>
      </w:pPr>
      <w:r>
        <w:t>Bereinigung der Daten (z. B. Transformation von String-Formaten in numerische Werte)</w:t>
      </w:r>
    </w:p>
    <w:p w14:paraId="1E08F46C" w14:textId="77777777" w:rsidR="00F24E1D" w:rsidRDefault="00F24E1D" w:rsidP="00F24E1D">
      <w:pPr>
        <w:pStyle w:val="Listenabsatz"/>
        <w:numPr>
          <w:ilvl w:val="0"/>
          <w:numId w:val="29"/>
        </w:numPr>
      </w:pPr>
      <w:r>
        <w:t>Explorative Datenanalyse (EDA) zur Extraktion zyklischer Features</w:t>
      </w:r>
    </w:p>
    <w:p w14:paraId="58012E44" w14:textId="77777777" w:rsidR="00F24E1D" w:rsidRDefault="00F24E1D" w:rsidP="00F24E1D">
      <w:pPr>
        <w:pStyle w:val="Listenabsatz"/>
        <w:numPr>
          <w:ilvl w:val="0"/>
          <w:numId w:val="29"/>
        </w:numPr>
      </w:pPr>
      <w:r>
        <w:t>Analyse der Korrelationen</w:t>
      </w:r>
    </w:p>
    <w:p w14:paraId="276ADEF2" w14:textId="35E9E880" w:rsidR="00F24E1D" w:rsidRDefault="00F24E1D" w:rsidP="00F24E1D">
      <w:pPr>
        <w:pStyle w:val="Listenabsatz"/>
        <w:numPr>
          <w:ilvl w:val="0"/>
          <w:numId w:val="29"/>
        </w:numPr>
      </w:pPr>
      <w:proofErr w:type="spellStart"/>
      <w:r>
        <w:t>Stationaritätsprüfung</w:t>
      </w:r>
      <w:proofErr w:type="spellEnd"/>
    </w:p>
    <w:p w14:paraId="28058E8A" w14:textId="14D95E2C" w:rsidR="00F24E1D" w:rsidRDefault="00F24E1D" w:rsidP="00F24E1D">
      <w:r>
        <w:t xml:space="preserve">Ziel: Generierung einer strukturierten und validierten Eingangsmatrix im </w:t>
      </w:r>
      <w:proofErr w:type="spellStart"/>
      <w:r>
        <w:t>Tensorformat</w:t>
      </w:r>
      <w:proofErr w:type="spellEnd"/>
      <w:r w:rsidR="00032D28">
        <w:t xml:space="preserve"> und dynamisch generierte EDA-Visualisierungen.</w:t>
      </w:r>
    </w:p>
    <w:p w14:paraId="178FC87F" w14:textId="02EEFD08" w:rsidR="00032D28" w:rsidRDefault="00032D28" w:rsidP="00032D28">
      <w:pPr>
        <w:pStyle w:val="berschrift2"/>
      </w:pPr>
      <w:bookmarkStart w:id="10" w:name="_Toc236481613"/>
      <w:r>
        <w:t>AP2: Modellarchitektur und probabilistisches Training (LSTM vs. RNN)</w:t>
      </w:r>
      <w:bookmarkEnd w:id="10"/>
    </w:p>
    <w:p w14:paraId="0EBA1BD0" w14:textId="71E33037" w:rsidR="00032D28" w:rsidRDefault="00032D28" w:rsidP="00032D28">
      <w:r>
        <w:t xml:space="preserve">Das Ziel besteht im Training der beiden konkurrierenden neuronalen Netze (LSTM/RNN). Hierzu soll eine Trainings-Pipeline konfiguriert werden (Early </w:t>
      </w:r>
      <w:proofErr w:type="spellStart"/>
      <w:r>
        <w:t>Stopping</w:t>
      </w:r>
      <w:proofErr w:type="spellEnd"/>
      <w:r>
        <w:t>, Hyperparameter-Setup), die als Ergebnis die erfolgreich trainierten Modellgewichte für beide Architekturen speichert und automatisiert den Trainingsverlauf protokolliert.</w:t>
      </w:r>
    </w:p>
    <w:p w14:paraId="5E5A21A7" w14:textId="6971CCCE" w:rsidR="00032D28" w:rsidRDefault="00032D28" w:rsidP="00032D28">
      <w:pPr>
        <w:pStyle w:val="berschrift2"/>
      </w:pPr>
      <w:bookmarkStart w:id="11" w:name="_Toc236481614"/>
      <w:r>
        <w:t>AP3: Evaluierung, Modellvergleich und Erklärbarkeit</w:t>
      </w:r>
      <w:bookmarkEnd w:id="11"/>
    </w:p>
    <w:p w14:paraId="3C4EBE13" w14:textId="16870147" w:rsidR="00032D28" w:rsidRDefault="00032D28" w:rsidP="00032D28">
      <w:r>
        <w:t xml:space="preserve">Im Fokus steht ein quantitativer und qualitativer Vergleich der Modellleistungen und die Aufdeckung der Feature-Wichtigkeiten. Um die präzise Architektur zu ermitteln, werden die Verluste (Pinball Loss) auf den Testdaten berechnet und </w:t>
      </w:r>
      <w:r w:rsidR="00DE6196">
        <w:t xml:space="preserve">für das LSTM und RNN </w:t>
      </w:r>
      <w:r>
        <w:t>gegenübergestellt.</w:t>
      </w:r>
      <w:r w:rsidR="00DE6196">
        <w:t xml:space="preserve"> Durch Implementierung der Permutation Feature </w:t>
      </w:r>
      <w:proofErr w:type="spellStart"/>
      <w:r w:rsidR="00DE6196">
        <w:t>Importance</w:t>
      </w:r>
      <w:proofErr w:type="spellEnd"/>
      <w:r w:rsidR="00DE6196">
        <w:t xml:space="preserve"> soll der mathematische Einfluss </w:t>
      </w:r>
      <w:r w:rsidR="00DE6196">
        <w:lastRenderedPageBreak/>
        <w:t>der einzelnen Eingangsvariablen auf die Vorhersage charakterisiert werden. Schlussendlich sollen die finalen Prognosediagramme, die das reale Einspeiseprofil inklusive des prognostizierten, dynamischen Unsicherheitsbandes abbilden, generiert werden.</w:t>
      </w:r>
    </w:p>
    <w:p w14:paraId="2C0A2E97" w14:textId="06A05723" w:rsidR="00DE6196" w:rsidRDefault="00DE6196" w:rsidP="00DE6196">
      <w:pPr>
        <w:pStyle w:val="berschrift2"/>
      </w:pPr>
      <w:bookmarkStart w:id="12" w:name="_Toc236481615"/>
      <w:r>
        <w:t>AP4: Containerisierung und Projektdokumentation</w:t>
      </w:r>
      <w:bookmarkEnd w:id="12"/>
    </w:p>
    <w:p w14:paraId="77D46B8F" w14:textId="267DDFEA" w:rsidR="00DE6196" w:rsidRDefault="00DE6196" w:rsidP="00DE6196">
      <w:r>
        <w:t xml:space="preserve">Die finale Pipeline soll in eine plattformunabhängige Laufzeitumgebung überführt werden. </w:t>
      </w:r>
      <w:r w:rsidR="00D9208E">
        <w:t>Dabei soll eine fehlerfreie Datensynchronisation sichergestellt werden</w:t>
      </w:r>
      <w:r w:rsidR="00641721">
        <w:t>. Im Fokus steht eine vollständig reproduzierbare, containerbasierte Anwendung mit umfassender Projektdokumentation.</w:t>
      </w:r>
    </w:p>
    <w:p w14:paraId="60DEDB41" w14:textId="364EFD0D" w:rsidR="00641721" w:rsidRDefault="00641721" w:rsidP="00641721">
      <w:pPr>
        <w:pStyle w:val="berschrift1"/>
      </w:pPr>
      <w:bookmarkStart w:id="13" w:name="_Toc231575609"/>
      <w:bookmarkStart w:id="14" w:name="_Toc236481616"/>
      <w:r>
        <w:lastRenderedPageBreak/>
        <w:t>Vorgehensweise und Projektumsetzung</w:t>
      </w:r>
      <w:bookmarkEnd w:id="13"/>
      <w:bookmarkEnd w:id="14"/>
    </w:p>
    <w:p w14:paraId="158F4CB9" w14:textId="7013D934" w:rsidR="00641721" w:rsidRDefault="00641721" w:rsidP="00641721">
      <w:pPr>
        <w:pStyle w:val="berschrift2"/>
      </w:pPr>
      <w:bookmarkStart w:id="15" w:name="_Toc236481617"/>
      <w:r>
        <w:t>Kick-Off</w:t>
      </w:r>
      <w:bookmarkEnd w:id="15"/>
    </w:p>
    <w:p w14:paraId="3DB66FE7" w14:textId="1ACED311" w:rsidR="00641721" w:rsidRDefault="00641721" w:rsidP="00641721">
      <w:r>
        <w:t>Im Rahmen des Kick-Offs wurde der Projektumfang, die Meilensteine und die Kommunikation im Team definiert.</w:t>
      </w:r>
    </w:p>
    <w:p w14:paraId="3F1F10A5" w14:textId="77777777" w:rsidR="00641721" w:rsidRDefault="00641721" w:rsidP="00641721">
      <w:r>
        <w:rPr>
          <w:b/>
          <w:bCs/>
        </w:rPr>
        <w:t xml:space="preserve">Definition des </w:t>
      </w:r>
      <w:r w:rsidRPr="00296119">
        <w:rPr>
          <w:b/>
          <w:bCs/>
        </w:rPr>
        <w:t>Projektumfang</w:t>
      </w:r>
      <w:r>
        <w:rPr>
          <w:b/>
          <w:bCs/>
        </w:rPr>
        <w:t>s</w:t>
      </w:r>
      <w:r w:rsidRPr="00296119">
        <w:rPr>
          <w:b/>
          <w:bCs/>
        </w:rPr>
        <w:t>:</w:t>
      </w:r>
      <w:r>
        <w:t xml:space="preserve"> Konzeption, Implementierung und containerisierte Bereitstellung einer Pipeline zur probabilistischen Zeitreihenvorhersage der Energieeinspeisung auf Basis historischer Zeitreihendaten. Dabei sollen die unskalierten Rohdaten automatisiert bereinigt, um zyklische sowie meteorologische Merkmale erweitert und in ein geeignetes </w:t>
      </w:r>
      <w:proofErr w:type="spellStart"/>
      <w:r>
        <w:t>Tensorformat</w:t>
      </w:r>
      <w:proofErr w:type="spellEnd"/>
      <w:r>
        <w:t xml:space="preserve"> überführt werden. Der Fokus liegt auf dem modellseitigen Training und einem empirischen Leistungsvergleich zweier Architekturen (LSTM und RNN), um statt starrer Punktprognosen dynamische 80 % Konfidenzintervalle zu generieren.</w:t>
      </w:r>
    </w:p>
    <w:p w14:paraId="7DBD0691" w14:textId="325FC052" w:rsidR="00641721" w:rsidRDefault="00641721" w:rsidP="00641721">
      <w:r w:rsidRPr="00641721">
        <w:rPr>
          <w:b/>
          <w:bCs/>
        </w:rPr>
        <w:t>Meilensteine:</w:t>
      </w:r>
      <w:r>
        <w:t xml:space="preserve"> Folgende Meilensteine wurden </w:t>
      </w:r>
      <w:r w:rsidR="00215D31">
        <w:t xml:space="preserve">im Rahmen dieses Projektes </w:t>
      </w:r>
      <w:r>
        <w:t>definiert:</w:t>
      </w:r>
    </w:p>
    <w:p w14:paraId="70C7773F" w14:textId="63AD701A" w:rsidR="00641721" w:rsidRDefault="00B306E9" w:rsidP="00641721">
      <w:pPr>
        <w:pStyle w:val="Listenabsatz"/>
        <w:numPr>
          <w:ilvl w:val="0"/>
          <w:numId w:val="30"/>
        </w:numPr>
      </w:pPr>
      <w:r>
        <w:t>Entwicklung eines Konzeptes zur Datenbereinigung und explorativen Datenanalyse</w:t>
      </w:r>
    </w:p>
    <w:p w14:paraId="661E489A" w14:textId="24390C93" w:rsidR="00B306E9" w:rsidRDefault="00B306E9" w:rsidP="00641721">
      <w:pPr>
        <w:pStyle w:val="Listenabsatz"/>
        <w:numPr>
          <w:ilvl w:val="0"/>
          <w:numId w:val="30"/>
        </w:numPr>
      </w:pPr>
      <w:r>
        <w:t>Entwicklung zweier containerbasierten Architekturen LSTM/RNN</w:t>
      </w:r>
    </w:p>
    <w:p w14:paraId="24EC99F3" w14:textId="642B68C9" w:rsidR="00B306E9" w:rsidRDefault="00B306E9" w:rsidP="00641721">
      <w:pPr>
        <w:pStyle w:val="Listenabsatz"/>
        <w:numPr>
          <w:ilvl w:val="0"/>
          <w:numId w:val="30"/>
        </w:numPr>
      </w:pPr>
      <w:r>
        <w:t>Vergleich beider Architekturen mit Zeitreihendaten unterschiedlicher Länge (unterschiedlicher Zeiträume) und Auflösung (z. B. viertelstündige oder stündliche Auflösung)</w:t>
      </w:r>
    </w:p>
    <w:p w14:paraId="1B5352D2" w14:textId="76C446DB" w:rsidR="00B306E9" w:rsidRDefault="00B306E9" w:rsidP="00B306E9">
      <w:r w:rsidRPr="00B306E9">
        <w:rPr>
          <w:b/>
          <w:bCs/>
        </w:rPr>
        <w:t>Kommunikationsstrukturen</w:t>
      </w:r>
      <w:r>
        <w:rPr>
          <w:b/>
          <w:bCs/>
        </w:rPr>
        <w:t>:</w:t>
      </w:r>
      <w:r>
        <w:t xml:space="preserve"> Für ein effizientes und agiles Vorgehen im Team wurden feste Kommunikationsstrukturen beschlossen. Die Koordination und Fortschrittsbesprechung basiert auf wöchentlichen Sitzungen, in denen der aktuelle Fortschritt besprochen, Aufgaben verteilt und strategische Entscheidungen getroffen werden.</w:t>
      </w:r>
      <w:r w:rsidR="002B691E">
        <w:t xml:space="preserve"> Darüber hinaus dienen die wöchentlichen Sitzungen den Gruppenmitgliedern zum Einholen von Feedback nach erledigten Teilaufgaben.</w:t>
      </w:r>
    </w:p>
    <w:p w14:paraId="38D7DC56" w14:textId="6148D546" w:rsidR="00215D31" w:rsidRDefault="00215D31" w:rsidP="00215D31">
      <w:pPr>
        <w:pStyle w:val="berschrift2"/>
      </w:pPr>
      <w:bookmarkStart w:id="16" w:name="_Toc236481618"/>
      <w:r>
        <w:t>Zeitplan</w:t>
      </w:r>
      <w:bookmarkEnd w:id="16"/>
    </w:p>
    <w:p w14:paraId="2CA982A5" w14:textId="2B2EDA4F" w:rsidR="00B2304D" w:rsidRDefault="00B2304D" w:rsidP="00B2304D">
      <w:r>
        <w:t>Die gesamte Projektlaufzeit wurde für insgesamt elf Wochen geplant</w:t>
      </w:r>
      <w:r w:rsidR="002B691E">
        <w:t>, wobei der Fokus auf einer agilen Entwicklungsumgebung lag. Dabei wird das Produkt durch die hier getätigte Zusammenstellung der Arbeitspakete inkrementell optimiert</w:t>
      </w:r>
      <w:r>
        <w:t>:</w:t>
      </w:r>
    </w:p>
    <w:p w14:paraId="2329B97B" w14:textId="42A149EA" w:rsidR="00B2304D" w:rsidRDefault="00B2304D" w:rsidP="00B2304D">
      <w:pPr>
        <w:pStyle w:val="Listenabsatz"/>
        <w:numPr>
          <w:ilvl w:val="0"/>
          <w:numId w:val="31"/>
        </w:numPr>
      </w:pPr>
      <w:r>
        <w:lastRenderedPageBreak/>
        <w:t>Die Bearbeitung des AP1 wurde für KW 17 bis 19 geplant und beinhaltet die Definition des Projektes, die Recherche nach geeigneten Daten und die EDA.</w:t>
      </w:r>
    </w:p>
    <w:p w14:paraId="63EC9757" w14:textId="7199803B" w:rsidR="00B2304D" w:rsidRDefault="0045739F" w:rsidP="00B2304D">
      <w:pPr>
        <w:pStyle w:val="Listenabsatz"/>
        <w:numPr>
          <w:ilvl w:val="0"/>
          <w:numId w:val="31"/>
        </w:numPr>
      </w:pPr>
      <w:r>
        <w:t>Zur Bearbeitung von</w:t>
      </w:r>
      <w:r w:rsidR="00B2304D">
        <w:t xml:space="preserve"> AP2 und AP4 wurde KW 20 bis 22 angesetzt und beinhaltet neben dem Erstellen der LSTM/RNN Architekturen auch die ersten Testläufe.</w:t>
      </w:r>
    </w:p>
    <w:p w14:paraId="3C561CD1" w14:textId="6B9C6E38" w:rsidR="00B2304D" w:rsidRDefault="00B2304D" w:rsidP="00B2304D">
      <w:pPr>
        <w:pStyle w:val="Listenabsatz"/>
        <w:numPr>
          <w:ilvl w:val="0"/>
          <w:numId w:val="31"/>
        </w:numPr>
      </w:pPr>
      <w:r>
        <w:t>Für KW 23 bis 25 wurde die Bearbeitung des AP3 angesetzt. Hier liegt der Fokus auf dem qualitativen und quantitativen Vergleich beider Architekturen mit Datensätzen unterschiedlicher Zeiträume und Auflösung (z. B. Viertelstunde vs. Stunde).</w:t>
      </w:r>
    </w:p>
    <w:tbl>
      <w:tblPr>
        <w:tblW w:w="7880" w:type="dxa"/>
        <w:jc w:val="center"/>
        <w:tblCellMar>
          <w:left w:w="70" w:type="dxa"/>
          <w:right w:w="70" w:type="dxa"/>
        </w:tblCellMar>
        <w:tblLook w:val="04A0" w:firstRow="1" w:lastRow="0" w:firstColumn="1" w:lastColumn="0" w:noHBand="0" w:noVBand="1"/>
      </w:tblPr>
      <w:tblGrid>
        <w:gridCol w:w="3720"/>
        <w:gridCol w:w="320"/>
        <w:gridCol w:w="360"/>
        <w:gridCol w:w="360"/>
        <w:gridCol w:w="360"/>
        <w:gridCol w:w="360"/>
        <w:gridCol w:w="360"/>
        <w:gridCol w:w="360"/>
        <w:gridCol w:w="360"/>
        <w:gridCol w:w="360"/>
        <w:gridCol w:w="360"/>
        <w:gridCol w:w="360"/>
        <w:gridCol w:w="360"/>
        <w:gridCol w:w="320"/>
      </w:tblGrid>
      <w:tr w:rsidR="00B2304D" w:rsidRPr="00B2304D" w14:paraId="176677F5" w14:textId="77777777" w:rsidTr="00B2304D">
        <w:trPr>
          <w:trHeight w:val="288"/>
          <w:jc w:val="center"/>
        </w:trPr>
        <w:tc>
          <w:tcPr>
            <w:tcW w:w="3720" w:type="dxa"/>
            <w:tcBorders>
              <w:top w:val="single" w:sz="4" w:space="0" w:color="auto"/>
              <w:left w:val="single" w:sz="4" w:space="0" w:color="auto"/>
              <w:bottom w:val="single" w:sz="8" w:space="0" w:color="auto"/>
              <w:right w:val="single" w:sz="8" w:space="0" w:color="auto"/>
            </w:tcBorders>
            <w:noWrap/>
            <w:vAlign w:val="center"/>
            <w:hideMark/>
          </w:tcPr>
          <w:p w14:paraId="59C5F9BB"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KW/Ereignisse</w:t>
            </w:r>
          </w:p>
        </w:tc>
        <w:tc>
          <w:tcPr>
            <w:tcW w:w="320" w:type="dxa"/>
            <w:vMerge w:val="restart"/>
            <w:tcBorders>
              <w:top w:val="single" w:sz="4" w:space="0" w:color="auto"/>
              <w:left w:val="nil"/>
              <w:bottom w:val="single" w:sz="4" w:space="0" w:color="000000"/>
              <w:right w:val="nil"/>
            </w:tcBorders>
            <w:shd w:val="clear" w:color="000000" w:fill="D9D9D9"/>
            <w:noWrap/>
            <w:vAlign w:val="bottom"/>
            <w:hideMark/>
          </w:tcPr>
          <w:p w14:paraId="1B0A5EC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single" w:sz="4" w:space="0" w:color="auto"/>
              <w:left w:val="single" w:sz="4" w:space="0" w:color="auto"/>
              <w:bottom w:val="single" w:sz="4" w:space="0" w:color="auto"/>
              <w:right w:val="single" w:sz="4" w:space="0" w:color="auto"/>
            </w:tcBorders>
            <w:noWrap/>
            <w:vAlign w:val="bottom"/>
            <w:hideMark/>
          </w:tcPr>
          <w:p w14:paraId="77E3F6CC"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17</w:t>
            </w:r>
          </w:p>
        </w:tc>
        <w:tc>
          <w:tcPr>
            <w:tcW w:w="320" w:type="dxa"/>
            <w:tcBorders>
              <w:top w:val="single" w:sz="4" w:space="0" w:color="auto"/>
              <w:left w:val="nil"/>
              <w:bottom w:val="single" w:sz="4" w:space="0" w:color="auto"/>
              <w:right w:val="single" w:sz="4" w:space="0" w:color="auto"/>
            </w:tcBorders>
            <w:noWrap/>
            <w:vAlign w:val="bottom"/>
            <w:hideMark/>
          </w:tcPr>
          <w:p w14:paraId="7F7FFADF"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18</w:t>
            </w:r>
          </w:p>
        </w:tc>
        <w:tc>
          <w:tcPr>
            <w:tcW w:w="320" w:type="dxa"/>
            <w:tcBorders>
              <w:top w:val="single" w:sz="4" w:space="0" w:color="auto"/>
              <w:left w:val="nil"/>
              <w:bottom w:val="single" w:sz="4" w:space="0" w:color="auto"/>
              <w:right w:val="single" w:sz="4" w:space="0" w:color="auto"/>
            </w:tcBorders>
            <w:noWrap/>
            <w:vAlign w:val="bottom"/>
            <w:hideMark/>
          </w:tcPr>
          <w:p w14:paraId="6BC84C7F"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19</w:t>
            </w:r>
          </w:p>
        </w:tc>
        <w:tc>
          <w:tcPr>
            <w:tcW w:w="320" w:type="dxa"/>
            <w:tcBorders>
              <w:top w:val="single" w:sz="4" w:space="0" w:color="auto"/>
              <w:left w:val="nil"/>
              <w:bottom w:val="single" w:sz="4" w:space="0" w:color="auto"/>
              <w:right w:val="single" w:sz="4" w:space="0" w:color="auto"/>
            </w:tcBorders>
            <w:noWrap/>
            <w:vAlign w:val="bottom"/>
            <w:hideMark/>
          </w:tcPr>
          <w:p w14:paraId="7E2B9E57"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20</w:t>
            </w:r>
          </w:p>
        </w:tc>
        <w:tc>
          <w:tcPr>
            <w:tcW w:w="320" w:type="dxa"/>
            <w:tcBorders>
              <w:top w:val="single" w:sz="4" w:space="0" w:color="auto"/>
              <w:left w:val="nil"/>
              <w:bottom w:val="single" w:sz="4" w:space="0" w:color="auto"/>
              <w:right w:val="single" w:sz="4" w:space="0" w:color="auto"/>
            </w:tcBorders>
            <w:noWrap/>
            <w:vAlign w:val="bottom"/>
            <w:hideMark/>
          </w:tcPr>
          <w:p w14:paraId="6A6679B2"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21</w:t>
            </w:r>
          </w:p>
        </w:tc>
        <w:tc>
          <w:tcPr>
            <w:tcW w:w="320" w:type="dxa"/>
            <w:tcBorders>
              <w:top w:val="single" w:sz="4" w:space="0" w:color="auto"/>
              <w:left w:val="nil"/>
              <w:bottom w:val="single" w:sz="4" w:space="0" w:color="auto"/>
              <w:right w:val="single" w:sz="4" w:space="0" w:color="auto"/>
            </w:tcBorders>
            <w:noWrap/>
            <w:vAlign w:val="bottom"/>
            <w:hideMark/>
          </w:tcPr>
          <w:p w14:paraId="785798DF"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22</w:t>
            </w:r>
          </w:p>
        </w:tc>
        <w:tc>
          <w:tcPr>
            <w:tcW w:w="320" w:type="dxa"/>
            <w:tcBorders>
              <w:top w:val="single" w:sz="4" w:space="0" w:color="auto"/>
              <w:left w:val="nil"/>
              <w:bottom w:val="single" w:sz="4" w:space="0" w:color="auto"/>
              <w:right w:val="single" w:sz="4" w:space="0" w:color="auto"/>
            </w:tcBorders>
            <w:noWrap/>
            <w:vAlign w:val="bottom"/>
            <w:hideMark/>
          </w:tcPr>
          <w:p w14:paraId="5390A2D7"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23</w:t>
            </w:r>
          </w:p>
        </w:tc>
        <w:tc>
          <w:tcPr>
            <w:tcW w:w="320" w:type="dxa"/>
            <w:tcBorders>
              <w:top w:val="single" w:sz="4" w:space="0" w:color="auto"/>
              <w:left w:val="nil"/>
              <w:bottom w:val="single" w:sz="4" w:space="0" w:color="auto"/>
              <w:right w:val="single" w:sz="4" w:space="0" w:color="auto"/>
            </w:tcBorders>
            <w:noWrap/>
            <w:vAlign w:val="bottom"/>
            <w:hideMark/>
          </w:tcPr>
          <w:p w14:paraId="6EC3E772"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24</w:t>
            </w:r>
          </w:p>
        </w:tc>
        <w:tc>
          <w:tcPr>
            <w:tcW w:w="320" w:type="dxa"/>
            <w:tcBorders>
              <w:top w:val="single" w:sz="4" w:space="0" w:color="auto"/>
              <w:left w:val="nil"/>
              <w:bottom w:val="single" w:sz="4" w:space="0" w:color="auto"/>
              <w:right w:val="single" w:sz="4" w:space="0" w:color="auto"/>
            </w:tcBorders>
            <w:noWrap/>
            <w:vAlign w:val="bottom"/>
            <w:hideMark/>
          </w:tcPr>
          <w:p w14:paraId="6C92FC58"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25</w:t>
            </w:r>
          </w:p>
        </w:tc>
        <w:tc>
          <w:tcPr>
            <w:tcW w:w="320" w:type="dxa"/>
            <w:tcBorders>
              <w:top w:val="single" w:sz="4" w:space="0" w:color="auto"/>
              <w:left w:val="nil"/>
              <w:bottom w:val="single" w:sz="4" w:space="0" w:color="auto"/>
              <w:right w:val="single" w:sz="4" w:space="0" w:color="auto"/>
            </w:tcBorders>
            <w:noWrap/>
            <w:vAlign w:val="bottom"/>
            <w:hideMark/>
          </w:tcPr>
          <w:p w14:paraId="5DE7A697"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26</w:t>
            </w:r>
          </w:p>
        </w:tc>
        <w:tc>
          <w:tcPr>
            <w:tcW w:w="320" w:type="dxa"/>
            <w:tcBorders>
              <w:top w:val="single" w:sz="4" w:space="0" w:color="auto"/>
              <w:left w:val="nil"/>
              <w:bottom w:val="single" w:sz="4" w:space="0" w:color="auto"/>
              <w:right w:val="single" w:sz="4" w:space="0" w:color="auto"/>
            </w:tcBorders>
            <w:noWrap/>
            <w:vAlign w:val="bottom"/>
            <w:hideMark/>
          </w:tcPr>
          <w:p w14:paraId="1AEEDAFB" w14:textId="77777777" w:rsidR="00B2304D" w:rsidRPr="00B2304D" w:rsidRDefault="00B2304D" w:rsidP="00B2304D">
            <w:pPr>
              <w:spacing w:after="0" w:line="240" w:lineRule="auto"/>
              <w:jc w:val="right"/>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27</w:t>
            </w:r>
          </w:p>
        </w:tc>
        <w:tc>
          <w:tcPr>
            <w:tcW w:w="320" w:type="dxa"/>
            <w:tcBorders>
              <w:top w:val="single" w:sz="4" w:space="0" w:color="auto"/>
              <w:left w:val="nil"/>
              <w:bottom w:val="nil"/>
              <w:right w:val="single" w:sz="4" w:space="0" w:color="auto"/>
            </w:tcBorders>
            <w:noWrap/>
            <w:vAlign w:val="bottom"/>
            <w:hideMark/>
          </w:tcPr>
          <w:p w14:paraId="585386C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2A8C4F64" w14:textId="77777777" w:rsidTr="00B2304D">
        <w:trPr>
          <w:trHeight w:val="288"/>
          <w:jc w:val="center"/>
        </w:trPr>
        <w:tc>
          <w:tcPr>
            <w:tcW w:w="3720" w:type="dxa"/>
            <w:tcBorders>
              <w:top w:val="nil"/>
              <w:left w:val="single" w:sz="4" w:space="0" w:color="auto"/>
              <w:bottom w:val="nil"/>
              <w:right w:val="nil"/>
            </w:tcBorders>
            <w:shd w:val="clear" w:color="000000" w:fill="D9D9D9"/>
            <w:noWrap/>
            <w:vAlign w:val="center"/>
            <w:hideMark/>
          </w:tcPr>
          <w:p w14:paraId="5114A88D"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vMerge/>
            <w:tcBorders>
              <w:top w:val="single" w:sz="4" w:space="0" w:color="auto"/>
              <w:left w:val="nil"/>
              <w:bottom w:val="single" w:sz="4" w:space="0" w:color="000000"/>
              <w:right w:val="nil"/>
            </w:tcBorders>
            <w:vAlign w:val="center"/>
            <w:hideMark/>
          </w:tcPr>
          <w:p w14:paraId="20930C0E"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shd w:val="clear" w:color="000000" w:fill="D9D9D9"/>
            <w:noWrap/>
            <w:vAlign w:val="center"/>
            <w:hideMark/>
          </w:tcPr>
          <w:p w14:paraId="44423EF7"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3C766751"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2566633F"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63FA330A"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1084E798"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55B56758"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2B4A6C7E"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6130E939"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2C702C8A"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66697522"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shd w:val="clear" w:color="000000" w:fill="D9D9D9"/>
            <w:noWrap/>
            <w:vAlign w:val="center"/>
            <w:hideMark/>
          </w:tcPr>
          <w:p w14:paraId="76BF92BB" w14:textId="77777777" w:rsidR="00B2304D" w:rsidRPr="00B2304D" w:rsidRDefault="00B2304D" w:rsidP="00B2304D">
            <w:pPr>
              <w:spacing w:after="0" w:line="240" w:lineRule="auto"/>
              <w:jc w:val="center"/>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single" w:sz="4" w:space="0" w:color="auto"/>
            </w:tcBorders>
            <w:noWrap/>
            <w:vAlign w:val="bottom"/>
            <w:hideMark/>
          </w:tcPr>
          <w:p w14:paraId="2E6D1A0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7F5D170F" w14:textId="77777777" w:rsidTr="00B2304D">
        <w:trPr>
          <w:trHeight w:val="276"/>
          <w:jc w:val="center"/>
        </w:trPr>
        <w:tc>
          <w:tcPr>
            <w:tcW w:w="3720" w:type="dxa"/>
            <w:tcBorders>
              <w:top w:val="single" w:sz="8" w:space="0" w:color="auto"/>
              <w:left w:val="single" w:sz="4" w:space="0" w:color="auto"/>
              <w:bottom w:val="nil"/>
              <w:right w:val="single" w:sz="8" w:space="0" w:color="auto"/>
            </w:tcBorders>
            <w:noWrap/>
            <w:vAlign w:val="bottom"/>
            <w:hideMark/>
          </w:tcPr>
          <w:p w14:paraId="63CE88CA"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Kick-Off und AP1</w:t>
            </w:r>
          </w:p>
        </w:tc>
        <w:tc>
          <w:tcPr>
            <w:tcW w:w="320" w:type="dxa"/>
            <w:vMerge/>
            <w:tcBorders>
              <w:top w:val="single" w:sz="4" w:space="0" w:color="auto"/>
              <w:left w:val="nil"/>
              <w:bottom w:val="single" w:sz="4" w:space="0" w:color="000000"/>
              <w:right w:val="nil"/>
            </w:tcBorders>
            <w:vAlign w:val="center"/>
            <w:hideMark/>
          </w:tcPr>
          <w:p w14:paraId="0562A8F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34F7ED2F"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2652F06E"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6DE62F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C87374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A609CA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767525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1CDD37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036D84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314A17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98250F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7697A5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487F8B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17CC2D65"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314A9C7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Erste Ideensammlung</w:t>
            </w:r>
          </w:p>
        </w:tc>
        <w:tc>
          <w:tcPr>
            <w:tcW w:w="320" w:type="dxa"/>
            <w:vMerge/>
            <w:tcBorders>
              <w:top w:val="single" w:sz="4" w:space="0" w:color="auto"/>
              <w:left w:val="nil"/>
              <w:bottom w:val="single" w:sz="4" w:space="0" w:color="000000"/>
              <w:right w:val="nil"/>
            </w:tcBorders>
            <w:vAlign w:val="center"/>
            <w:hideMark/>
          </w:tcPr>
          <w:p w14:paraId="1660C75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9CB123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E87A79F"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536431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DB8E2B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8DF192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1D55C6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147278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1C4116E"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9DD79F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09C936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1CFC9B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B7AF9C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3CD246AB"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0EF62BB9"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Definition der Projektziele</w:t>
            </w:r>
          </w:p>
        </w:tc>
        <w:tc>
          <w:tcPr>
            <w:tcW w:w="320" w:type="dxa"/>
            <w:vMerge/>
            <w:tcBorders>
              <w:top w:val="single" w:sz="4" w:space="0" w:color="auto"/>
              <w:left w:val="nil"/>
              <w:bottom w:val="single" w:sz="4" w:space="0" w:color="000000"/>
              <w:right w:val="nil"/>
            </w:tcBorders>
            <w:vAlign w:val="center"/>
            <w:hideMark/>
          </w:tcPr>
          <w:p w14:paraId="14F81C3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960" w:type="dxa"/>
            <w:gridSpan w:val="3"/>
            <w:tcBorders>
              <w:top w:val="nil"/>
              <w:left w:val="nil"/>
              <w:bottom w:val="nil"/>
              <w:right w:val="nil"/>
            </w:tcBorders>
            <w:shd w:val="clear" w:color="000000" w:fill="FF0000"/>
            <w:noWrap/>
            <w:vAlign w:val="bottom"/>
            <w:hideMark/>
          </w:tcPr>
          <w:p w14:paraId="0D604DA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noWrap/>
            <w:vAlign w:val="bottom"/>
            <w:hideMark/>
          </w:tcPr>
          <w:p w14:paraId="4290561D"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36446AD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9C32E1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FCD0C5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85F3E8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8EF4BA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F3590B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4FCC66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053E05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5F60FA8F"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69EDD886"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Recherche nach geeigneten Daten</w:t>
            </w:r>
          </w:p>
        </w:tc>
        <w:tc>
          <w:tcPr>
            <w:tcW w:w="320" w:type="dxa"/>
            <w:vMerge/>
            <w:tcBorders>
              <w:top w:val="single" w:sz="4" w:space="0" w:color="auto"/>
              <w:left w:val="nil"/>
              <w:bottom w:val="single" w:sz="4" w:space="0" w:color="000000"/>
              <w:right w:val="nil"/>
            </w:tcBorders>
            <w:vAlign w:val="center"/>
            <w:hideMark/>
          </w:tcPr>
          <w:p w14:paraId="649874AE"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7C1158C"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556469A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8355A8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1DE850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0A1EF7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F6BF86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C2662C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7A89629"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9954DE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FDA7AC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BA5C2D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412FBC8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5BB051E6" w14:textId="77777777" w:rsidTr="00B2304D">
        <w:trPr>
          <w:trHeight w:val="288"/>
          <w:jc w:val="center"/>
        </w:trPr>
        <w:tc>
          <w:tcPr>
            <w:tcW w:w="3720" w:type="dxa"/>
            <w:tcBorders>
              <w:top w:val="nil"/>
              <w:left w:val="single" w:sz="4" w:space="0" w:color="auto"/>
              <w:bottom w:val="single" w:sz="8" w:space="0" w:color="auto"/>
              <w:right w:val="single" w:sz="8" w:space="0" w:color="auto"/>
            </w:tcBorders>
            <w:noWrap/>
            <w:vAlign w:val="bottom"/>
            <w:hideMark/>
          </w:tcPr>
          <w:p w14:paraId="2679268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Explorative Datenanalyse</w:t>
            </w:r>
          </w:p>
        </w:tc>
        <w:tc>
          <w:tcPr>
            <w:tcW w:w="320" w:type="dxa"/>
            <w:vMerge/>
            <w:tcBorders>
              <w:top w:val="single" w:sz="4" w:space="0" w:color="auto"/>
              <w:left w:val="nil"/>
              <w:bottom w:val="single" w:sz="4" w:space="0" w:color="000000"/>
              <w:right w:val="nil"/>
            </w:tcBorders>
            <w:vAlign w:val="center"/>
            <w:hideMark/>
          </w:tcPr>
          <w:p w14:paraId="10C7D61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5D6C3FE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CDBCF0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7A1A75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F9D9B1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C54473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83D75E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8E1063E"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BB964F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2626B6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4BE75C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9B931B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70B49B2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0D61E3D1"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1642C9C9"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AP2 und AP4</w:t>
            </w:r>
          </w:p>
        </w:tc>
        <w:tc>
          <w:tcPr>
            <w:tcW w:w="320" w:type="dxa"/>
            <w:vMerge/>
            <w:tcBorders>
              <w:top w:val="single" w:sz="4" w:space="0" w:color="auto"/>
              <w:left w:val="nil"/>
              <w:bottom w:val="single" w:sz="4" w:space="0" w:color="000000"/>
              <w:right w:val="nil"/>
            </w:tcBorders>
            <w:vAlign w:val="center"/>
            <w:hideMark/>
          </w:tcPr>
          <w:p w14:paraId="1B43E6B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6F67A8F"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08C87A6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E0C423F"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7561E4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DD4C79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6F9A30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1EF2B3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F59AC4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E321A3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323CF4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FD290F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C10D901"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7712EB9C"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7F6D845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Erstellen eines LSTM und RNN</w:t>
            </w:r>
          </w:p>
        </w:tc>
        <w:tc>
          <w:tcPr>
            <w:tcW w:w="320" w:type="dxa"/>
            <w:vMerge/>
            <w:tcBorders>
              <w:top w:val="single" w:sz="4" w:space="0" w:color="auto"/>
              <w:left w:val="nil"/>
              <w:bottom w:val="single" w:sz="4" w:space="0" w:color="000000"/>
              <w:right w:val="nil"/>
            </w:tcBorders>
            <w:vAlign w:val="center"/>
            <w:hideMark/>
          </w:tcPr>
          <w:p w14:paraId="277AFF6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34A41D28"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6FF571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CBD7CE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C6D787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EB26EA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E4CC4C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225EFA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4674F4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A5840F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6C0063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FBC1DD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6ED1861D"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39BA9206" w14:textId="77777777" w:rsidTr="00B2304D">
        <w:trPr>
          <w:trHeight w:val="288"/>
          <w:jc w:val="center"/>
        </w:trPr>
        <w:tc>
          <w:tcPr>
            <w:tcW w:w="3720" w:type="dxa"/>
            <w:tcBorders>
              <w:top w:val="nil"/>
              <w:left w:val="single" w:sz="4" w:space="0" w:color="auto"/>
              <w:bottom w:val="nil"/>
              <w:right w:val="single" w:sz="8" w:space="0" w:color="auto"/>
            </w:tcBorders>
            <w:noWrap/>
            <w:vAlign w:val="bottom"/>
            <w:hideMark/>
          </w:tcPr>
          <w:p w14:paraId="2BE5C139"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Training des RNN und LSTM</w:t>
            </w:r>
          </w:p>
        </w:tc>
        <w:tc>
          <w:tcPr>
            <w:tcW w:w="320" w:type="dxa"/>
            <w:vMerge/>
            <w:tcBorders>
              <w:top w:val="single" w:sz="4" w:space="0" w:color="auto"/>
              <w:left w:val="nil"/>
              <w:bottom w:val="single" w:sz="4" w:space="0" w:color="000000"/>
              <w:right w:val="nil"/>
            </w:tcBorders>
            <w:vAlign w:val="center"/>
            <w:hideMark/>
          </w:tcPr>
          <w:p w14:paraId="283283CC"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34F6E5A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7ED5088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DB4896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960" w:type="dxa"/>
            <w:gridSpan w:val="3"/>
            <w:tcBorders>
              <w:top w:val="nil"/>
              <w:left w:val="nil"/>
              <w:bottom w:val="nil"/>
              <w:right w:val="nil"/>
            </w:tcBorders>
            <w:shd w:val="clear" w:color="000000" w:fill="00B050"/>
            <w:noWrap/>
            <w:vAlign w:val="bottom"/>
            <w:hideMark/>
          </w:tcPr>
          <w:p w14:paraId="2208A33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noWrap/>
            <w:vAlign w:val="bottom"/>
            <w:hideMark/>
          </w:tcPr>
          <w:p w14:paraId="406A4A8D"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8BAC75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07DE5F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8ECFA2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645321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7A03FC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2FF49404"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4580D1E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Erste Testläufe</w:t>
            </w:r>
          </w:p>
        </w:tc>
        <w:tc>
          <w:tcPr>
            <w:tcW w:w="320" w:type="dxa"/>
            <w:vMerge/>
            <w:tcBorders>
              <w:top w:val="single" w:sz="4" w:space="0" w:color="auto"/>
              <w:left w:val="nil"/>
              <w:bottom w:val="single" w:sz="4" w:space="0" w:color="000000"/>
              <w:right w:val="nil"/>
            </w:tcBorders>
            <w:vAlign w:val="center"/>
            <w:hideMark/>
          </w:tcPr>
          <w:p w14:paraId="7A00C5E8"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0AB54A5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67F0FB2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2DF554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CD6EC9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C3F435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207E67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421D02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03B4F7F"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E65811F"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7174EC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4357A2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29B6EC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570C0C36" w14:textId="77777777" w:rsidTr="00B2304D">
        <w:trPr>
          <w:trHeight w:val="288"/>
          <w:jc w:val="center"/>
        </w:trPr>
        <w:tc>
          <w:tcPr>
            <w:tcW w:w="3720" w:type="dxa"/>
            <w:tcBorders>
              <w:top w:val="nil"/>
              <w:left w:val="single" w:sz="4" w:space="0" w:color="auto"/>
              <w:bottom w:val="single" w:sz="8" w:space="0" w:color="auto"/>
              <w:right w:val="single" w:sz="8" w:space="0" w:color="auto"/>
            </w:tcBorders>
            <w:noWrap/>
            <w:vAlign w:val="bottom"/>
            <w:hideMark/>
          </w:tcPr>
          <w:p w14:paraId="54DF363E"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Containerisierung</w:t>
            </w:r>
          </w:p>
        </w:tc>
        <w:tc>
          <w:tcPr>
            <w:tcW w:w="320" w:type="dxa"/>
            <w:vMerge/>
            <w:tcBorders>
              <w:top w:val="single" w:sz="4" w:space="0" w:color="auto"/>
              <w:left w:val="nil"/>
              <w:bottom w:val="single" w:sz="4" w:space="0" w:color="000000"/>
              <w:right w:val="nil"/>
            </w:tcBorders>
            <w:vAlign w:val="center"/>
            <w:hideMark/>
          </w:tcPr>
          <w:p w14:paraId="1230CBB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75048B4A"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A60853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3E3D8E9"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705507E"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1EDB05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692C6C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7E0C41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4CF939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A5E4E5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EF03FD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1CCF11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E49FA16"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32CB56F3"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043D54E1"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AP3</w:t>
            </w:r>
          </w:p>
        </w:tc>
        <w:tc>
          <w:tcPr>
            <w:tcW w:w="320" w:type="dxa"/>
            <w:vMerge/>
            <w:tcBorders>
              <w:top w:val="single" w:sz="4" w:space="0" w:color="auto"/>
              <w:left w:val="nil"/>
              <w:bottom w:val="single" w:sz="4" w:space="0" w:color="000000"/>
              <w:right w:val="nil"/>
            </w:tcBorders>
            <w:vAlign w:val="center"/>
            <w:hideMark/>
          </w:tcPr>
          <w:p w14:paraId="3FEDE65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24ABB1EA"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69D52AF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1DDE7C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910760F"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78DF7F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C6E826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68D111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CD491B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1E7F45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A94E6F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D6CC71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511F249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28529BD5"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3DD3748E"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Quantitativer und qualitativer Vergleich</w:t>
            </w:r>
          </w:p>
        </w:tc>
        <w:tc>
          <w:tcPr>
            <w:tcW w:w="320" w:type="dxa"/>
            <w:vMerge/>
            <w:tcBorders>
              <w:top w:val="single" w:sz="4" w:space="0" w:color="auto"/>
              <w:left w:val="nil"/>
              <w:bottom w:val="single" w:sz="4" w:space="0" w:color="000000"/>
              <w:right w:val="nil"/>
            </w:tcBorders>
            <w:vAlign w:val="center"/>
            <w:hideMark/>
          </w:tcPr>
          <w:p w14:paraId="742B41FA"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3A8EFE38"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1ABB817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663556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BD024B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B1D4139"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C5BD8C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A986FE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5091B6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96DF4C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A54113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62466B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4D85FD48"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3E13B831"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04310AB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Testen unterschiedlicher Datensätze</w:t>
            </w:r>
          </w:p>
        </w:tc>
        <w:tc>
          <w:tcPr>
            <w:tcW w:w="320" w:type="dxa"/>
            <w:vMerge/>
            <w:tcBorders>
              <w:top w:val="single" w:sz="4" w:space="0" w:color="auto"/>
              <w:left w:val="nil"/>
              <w:bottom w:val="single" w:sz="4" w:space="0" w:color="000000"/>
              <w:right w:val="nil"/>
            </w:tcBorders>
            <w:vAlign w:val="center"/>
            <w:hideMark/>
          </w:tcPr>
          <w:p w14:paraId="68746A7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55243CBA"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6A3A96F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4BD808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4F99BB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6D82E1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E6D54C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960" w:type="dxa"/>
            <w:gridSpan w:val="3"/>
            <w:tcBorders>
              <w:top w:val="nil"/>
              <w:left w:val="nil"/>
              <w:bottom w:val="nil"/>
              <w:right w:val="nil"/>
            </w:tcBorders>
            <w:shd w:val="clear" w:color="000000" w:fill="0070C0"/>
            <w:noWrap/>
            <w:vAlign w:val="bottom"/>
            <w:hideMark/>
          </w:tcPr>
          <w:p w14:paraId="3359BB5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nil"/>
            </w:tcBorders>
            <w:noWrap/>
            <w:vAlign w:val="bottom"/>
            <w:hideMark/>
          </w:tcPr>
          <w:p w14:paraId="147403A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1BC960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7AD45026"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42ED89BB"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158E0958"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ascii="Cambria Math" w:eastAsia="Times New Roman" w:hAnsi="Cambria Math" w:cs="Cambria Math"/>
                <w:color w:val="000000"/>
                <w:kern w:val="0"/>
                <w:sz w:val="22"/>
                <w:szCs w:val="22"/>
                <w:lang w:eastAsia="de-DE"/>
                <w14:ligatures w14:val="none"/>
              </w:rPr>
              <w:t>⋅</w:t>
            </w:r>
            <w:r w:rsidRPr="00B2304D">
              <w:rPr>
                <w:rFonts w:eastAsia="Times New Roman" w:cs="Times New Roman"/>
                <w:color w:val="000000"/>
                <w:kern w:val="0"/>
                <w:sz w:val="22"/>
                <w:szCs w:val="22"/>
                <w:lang w:eastAsia="de-DE"/>
                <w14:ligatures w14:val="none"/>
              </w:rPr>
              <w:t xml:space="preserve"> kurze vs. lange Zeiträume</w:t>
            </w:r>
          </w:p>
        </w:tc>
        <w:tc>
          <w:tcPr>
            <w:tcW w:w="320" w:type="dxa"/>
            <w:vMerge/>
            <w:tcBorders>
              <w:top w:val="single" w:sz="4" w:space="0" w:color="auto"/>
              <w:left w:val="nil"/>
              <w:bottom w:val="single" w:sz="4" w:space="0" w:color="000000"/>
              <w:right w:val="nil"/>
            </w:tcBorders>
            <w:vAlign w:val="center"/>
            <w:hideMark/>
          </w:tcPr>
          <w:p w14:paraId="05092AC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BBA8B14"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E764AFE"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B27CC1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0CE463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46838A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D51E02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9119D6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3CF37D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F9E871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FB0DEC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F5F9AAA"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31BD36D6"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57A267F7" w14:textId="77777777" w:rsidTr="00B2304D">
        <w:trPr>
          <w:trHeight w:val="288"/>
          <w:jc w:val="center"/>
        </w:trPr>
        <w:tc>
          <w:tcPr>
            <w:tcW w:w="3720" w:type="dxa"/>
            <w:tcBorders>
              <w:top w:val="nil"/>
              <w:left w:val="single" w:sz="4" w:space="0" w:color="auto"/>
              <w:bottom w:val="single" w:sz="8" w:space="0" w:color="auto"/>
              <w:right w:val="single" w:sz="8" w:space="0" w:color="auto"/>
            </w:tcBorders>
            <w:noWrap/>
            <w:vAlign w:val="bottom"/>
            <w:hideMark/>
          </w:tcPr>
          <w:p w14:paraId="2DC9AA8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ascii="Cambria Math" w:eastAsia="Times New Roman" w:hAnsi="Cambria Math" w:cs="Cambria Math"/>
                <w:color w:val="000000"/>
                <w:kern w:val="0"/>
                <w:sz w:val="22"/>
                <w:szCs w:val="22"/>
                <w:lang w:eastAsia="de-DE"/>
                <w14:ligatures w14:val="none"/>
              </w:rPr>
              <w:t>⋅</w:t>
            </w:r>
            <w:r w:rsidRPr="00B2304D">
              <w:rPr>
                <w:rFonts w:eastAsia="Times New Roman" w:cs="Times New Roman"/>
                <w:color w:val="000000"/>
                <w:kern w:val="0"/>
                <w:sz w:val="22"/>
                <w:szCs w:val="22"/>
                <w:lang w:eastAsia="de-DE"/>
                <w14:ligatures w14:val="none"/>
              </w:rPr>
              <w:t xml:space="preserve"> Variation der Datenauflösung</w:t>
            </w:r>
          </w:p>
        </w:tc>
        <w:tc>
          <w:tcPr>
            <w:tcW w:w="320" w:type="dxa"/>
            <w:vMerge/>
            <w:tcBorders>
              <w:top w:val="single" w:sz="4" w:space="0" w:color="auto"/>
              <w:left w:val="nil"/>
              <w:bottom w:val="single" w:sz="4" w:space="0" w:color="000000"/>
              <w:right w:val="nil"/>
            </w:tcBorders>
            <w:vAlign w:val="center"/>
            <w:hideMark/>
          </w:tcPr>
          <w:p w14:paraId="2CA067A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20B4F3E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58FE431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2D6045C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161081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280CB79"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20ACEB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3A9936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B87D9F7"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5C1AE8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25123B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DD33569"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0AB4DD8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6C2E25E2"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0C7B6139"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r w:rsidRPr="00B2304D">
              <w:rPr>
                <w:rFonts w:eastAsia="Times New Roman" w:cs="Times New Roman"/>
                <w:b/>
                <w:bCs/>
                <w:color w:val="000000"/>
                <w:kern w:val="0"/>
                <w:sz w:val="22"/>
                <w:szCs w:val="22"/>
                <w:lang w:eastAsia="de-DE"/>
                <w14:ligatures w14:val="none"/>
              </w:rPr>
              <w:t>AP4</w:t>
            </w:r>
          </w:p>
        </w:tc>
        <w:tc>
          <w:tcPr>
            <w:tcW w:w="320" w:type="dxa"/>
            <w:vMerge/>
            <w:tcBorders>
              <w:top w:val="single" w:sz="4" w:space="0" w:color="auto"/>
              <w:left w:val="nil"/>
              <w:bottom w:val="single" w:sz="4" w:space="0" w:color="000000"/>
              <w:right w:val="nil"/>
            </w:tcBorders>
            <w:vAlign w:val="center"/>
            <w:hideMark/>
          </w:tcPr>
          <w:p w14:paraId="744D9029"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5EA06789" w14:textId="77777777" w:rsidR="00B2304D" w:rsidRPr="00B2304D" w:rsidRDefault="00B2304D" w:rsidP="00B2304D">
            <w:pPr>
              <w:spacing w:after="0" w:line="240" w:lineRule="auto"/>
              <w:jc w:val="center"/>
              <w:rPr>
                <w:rFonts w:eastAsia="Times New Roman" w:cs="Times New Roman"/>
                <w:b/>
                <w:bCs/>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4AB0C95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B27D408"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1FE2C2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EF151CD"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ADBF9B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0406DB7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61D0CE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38438F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3289D65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CF07815"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single" w:sz="4" w:space="0" w:color="auto"/>
            </w:tcBorders>
            <w:noWrap/>
            <w:vAlign w:val="bottom"/>
            <w:hideMark/>
          </w:tcPr>
          <w:p w14:paraId="603BAB79"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6C8BF624" w14:textId="77777777" w:rsidTr="00B2304D">
        <w:trPr>
          <w:trHeight w:val="276"/>
          <w:jc w:val="center"/>
        </w:trPr>
        <w:tc>
          <w:tcPr>
            <w:tcW w:w="3720" w:type="dxa"/>
            <w:tcBorders>
              <w:top w:val="nil"/>
              <w:left w:val="single" w:sz="4" w:space="0" w:color="auto"/>
              <w:bottom w:val="nil"/>
              <w:right w:val="single" w:sz="8" w:space="0" w:color="auto"/>
            </w:tcBorders>
            <w:noWrap/>
            <w:vAlign w:val="bottom"/>
            <w:hideMark/>
          </w:tcPr>
          <w:p w14:paraId="417042A4"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Behebung letzter Fehler</w:t>
            </w:r>
          </w:p>
        </w:tc>
        <w:tc>
          <w:tcPr>
            <w:tcW w:w="320" w:type="dxa"/>
            <w:vMerge/>
            <w:tcBorders>
              <w:top w:val="single" w:sz="4" w:space="0" w:color="auto"/>
              <w:left w:val="nil"/>
              <w:bottom w:val="single" w:sz="4" w:space="0" w:color="000000"/>
              <w:right w:val="nil"/>
            </w:tcBorders>
            <w:vAlign w:val="center"/>
            <w:hideMark/>
          </w:tcPr>
          <w:p w14:paraId="0AB96B04"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064B3F57"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nil"/>
              <w:right w:val="nil"/>
            </w:tcBorders>
            <w:noWrap/>
            <w:vAlign w:val="bottom"/>
            <w:hideMark/>
          </w:tcPr>
          <w:p w14:paraId="0FC999A4"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4417E26C"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3562BC3"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BD9D292"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6E70191B"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5D801A91"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16880CF6"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320" w:type="dxa"/>
            <w:tcBorders>
              <w:top w:val="nil"/>
              <w:left w:val="nil"/>
              <w:bottom w:val="nil"/>
              <w:right w:val="nil"/>
            </w:tcBorders>
            <w:noWrap/>
            <w:vAlign w:val="bottom"/>
            <w:hideMark/>
          </w:tcPr>
          <w:p w14:paraId="7C65FC80" w14:textId="77777777" w:rsidR="00B2304D" w:rsidRPr="00B2304D" w:rsidRDefault="00B2304D" w:rsidP="00B2304D">
            <w:pPr>
              <w:spacing w:after="0" w:line="240" w:lineRule="auto"/>
              <w:jc w:val="left"/>
              <w:rPr>
                <w:rFonts w:eastAsia="Times New Roman" w:cs="Times New Roman"/>
                <w:kern w:val="0"/>
                <w:sz w:val="20"/>
                <w:szCs w:val="20"/>
                <w:lang w:eastAsia="de-DE"/>
                <w14:ligatures w14:val="none"/>
              </w:rPr>
            </w:pPr>
          </w:p>
        </w:tc>
        <w:tc>
          <w:tcPr>
            <w:tcW w:w="640" w:type="dxa"/>
            <w:gridSpan w:val="2"/>
            <w:tcBorders>
              <w:top w:val="nil"/>
              <w:left w:val="nil"/>
              <w:bottom w:val="nil"/>
              <w:right w:val="nil"/>
            </w:tcBorders>
            <w:shd w:val="clear" w:color="000000" w:fill="FFC000"/>
            <w:noWrap/>
            <w:vAlign w:val="bottom"/>
            <w:hideMark/>
          </w:tcPr>
          <w:p w14:paraId="6F94B11C"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nil"/>
              <w:right w:val="single" w:sz="4" w:space="0" w:color="auto"/>
            </w:tcBorders>
            <w:noWrap/>
            <w:vAlign w:val="bottom"/>
            <w:hideMark/>
          </w:tcPr>
          <w:p w14:paraId="365B6DB1"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r w:rsidR="00B2304D" w:rsidRPr="00B2304D" w14:paraId="7FB6E82C" w14:textId="77777777" w:rsidTr="00B2304D">
        <w:trPr>
          <w:trHeight w:val="276"/>
          <w:jc w:val="center"/>
        </w:trPr>
        <w:tc>
          <w:tcPr>
            <w:tcW w:w="3720" w:type="dxa"/>
            <w:tcBorders>
              <w:top w:val="nil"/>
              <w:left w:val="single" w:sz="4" w:space="0" w:color="auto"/>
              <w:bottom w:val="single" w:sz="4" w:space="0" w:color="auto"/>
              <w:right w:val="single" w:sz="8" w:space="0" w:color="auto"/>
            </w:tcBorders>
            <w:noWrap/>
            <w:vAlign w:val="bottom"/>
            <w:hideMark/>
          </w:tcPr>
          <w:p w14:paraId="506EB0EC"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Projektdokumentation</w:t>
            </w:r>
          </w:p>
        </w:tc>
        <w:tc>
          <w:tcPr>
            <w:tcW w:w="320" w:type="dxa"/>
            <w:vMerge/>
            <w:tcBorders>
              <w:top w:val="single" w:sz="4" w:space="0" w:color="auto"/>
              <w:left w:val="nil"/>
              <w:bottom w:val="single" w:sz="4" w:space="0" w:color="000000"/>
              <w:right w:val="nil"/>
            </w:tcBorders>
            <w:vAlign w:val="center"/>
            <w:hideMark/>
          </w:tcPr>
          <w:p w14:paraId="418632AA"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p>
        </w:tc>
        <w:tc>
          <w:tcPr>
            <w:tcW w:w="320" w:type="dxa"/>
            <w:tcBorders>
              <w:top w:val="nil"/>
              <w:left w:val="nil"/>
              <w:bottom w:val="single" w:sz="4" w:space="0" w:color="auto"/>
              <w:right w:val="nil"/>
            </w:tcBorders>
            <w:noWrap/>
            <w:vAlign w:val="bottom"/>
            <w:hideMark/>
          </w:tcPr>
          <w:p w14:paraId="545270E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79C35E1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56FE377B"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71A34551"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1FA73A40"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6D726C9C"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59BD81D3"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562A5DE2"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326085F6"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3C00068F"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nil"/>
            </w:tcBorders>
            <w:noWrap/>
            <w:vAlign w:val="bottom"/>
            <w:hideMark/>
          </w:tcPr>
          <w:p w14:paraId="68086DC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c>
          <w:tcPr>
            <w:tcW w:w="320" w:type="dxa"/>
            <w:tcBorders>
              <w:top w:val="nil"/>
              <w:left w:val="nil"/>
              <w:bottom w:val="single" w:sz="4" w:space="0" w:color="auto"/>
              <w:right w:val="single" w:sz="4" w:space="0" w:color="auto"/>
            </w:tcBorders>
            <w:noWrap/>
            <w:vAlign w:val="bottom"/>
            <w:hideMark/>
          </w:tcPr>
          <w:p w14:paraId="266805E5" w14:textId="77777777" w:rsidR="00B2304D" w:rsidRPr="00B2304D" w:rsidRDefault="00B2304D" w:rsidP="00B2304D">
            <w:pPr>
              <w:spacing w:after="0" w:line="240" w:lineRule="auto"/>
              <w:jc w:val="left"/>
              <w:rPr>
                <w:rFonts w:eastAsia="Times New Roman" w:cs="Times New Roman"/>
                <w:color w:val="000000"/>
                <w:kern w:val="0"/>
                <w:sz w:val="22"/>
                <w:szCs w:val="22"/>
                <w:lang w:eastAsia="de-DE"/>
                <w14:ligatures w14:val="none"/>
              </w:rPr>
            </w:pPr>
            <w:r w:rsidRPr="00B2304D">
              <w:rPr>
                <w:rFonts w:eastAsia="Times New Roman" w:cs="Times New Roman"/>
                <w:color w:val="000000"/>
                <w:kern w:val="0"/>
                <w:sz w:val="22"/>
                <w:szCs w:val="22"/>
                <w:lang w:eastAsia="de-DE"/>
                <w14:ligatures w14:val="none"/>
              </w:rPr>
              <w:t> </w:t>
            </w:r>
          </w:p>
        </w:tc>
      </w:tr>
    </w:tbl>
    <w:p w14:paraId="1985E276" w14:textId="77777777" w:rsidR="00B2304D" w:rsidRDefault="00B2304D" w:rsidP="00B2304D"/>
    <w:p w14:paraId="32112F25" w14:textId="57E983DF" w:rsidR="002B691E" w:rsidRDefault="002B691E" w:rsidP="00B2304D">
      <w:r>
        <w:t>Jeder der oben im Gantt-Chart präsentierten Balken entspricht einer Iteration, wobei in jeder Iteration die Bearbeitung verschiedener APs im Vordergrund stehen. Durch das iterative Vorgehen wird das bestehende Produkt inkrementell verbessert. Nach jeder Iteration stehen feste teaminterne Feedbackschleifen im Vordergrund, die die Basis darstellen, um in die nächste Iteration zu starten.</w:t>
      </w:r>
    </w:p>
    <w:p w14:paraId="3B49AB03" w14:textId="7EFA89AD" w:rsidR="002B691E" w:rsidRDefault="00BD3981" w:rsidP="00BD3981">
      <w:pPr>
        <w:pStyle w:val="berschrift2"/>
      </w:pPr>
      <w:bookmarkStart w:id="17" w:name="_Toc236481619"/>
      <w:r>
        <w:lastRenderedPageBreak/>
        <w:t>Organisation im Projektteam</w:t>
      </w:r>
      <w:bookmarkEnd w:id="17"/>
    </w:p>
    <w:p w14:paraId="74900D93" w14:textId="0EDCB4FB" w:rsidR="00BD3981" w:rsidRDefault="00BD3981" w:rsidP="00BD3981">
      <w:r>
        <w:t xml:space="preserve">Alle Programmierarbeiten werden in Python durchgeführt. </w:t>
      </w:r>
      <w:r>
        <w:t xml:space="preserve">Für die praktischen Arbeiten wird ein </w:t>
      </w:r>
      <w:hyperlink r:id="rId20" w:history="1">
        <w:r w:rsidRPr="00B01828">
          <w:rPr>
            <w:rStyle w:val="Hyperlink"/>
          </w:rPr>
          <w:t>GitHub</w:t>
        </w:r>
      </w:hyperlink>
      <w:r>
        <w:t xml:space="preserve"> Repository angelegt (</w:t>
      </w:r>
      <w:r w:rsidRPr="00BD3981">
        <w:t>Probabilistische-Energiedatenvorhersage</w:t>
      </w:r>
      <w:r>
        <w:t>).</w:t>
      </w:r>
      <w:r>
        <w:t xml:space="preserve"> Die gesamte Anwendung wird in Docker containerisiert und bereitgestellt.</w:t>
      </w:r>
    </w:p>
    <w:p w14:paraId="19E7A012" w14:textId="5E38DF27" w:rsidR="00BD3981" w:rsidRDefault="00BD3981" w:rsidP="00BD3981">
      <w:r>
        <w:t xml:space="preserve">Zunächst werden alle Programmierarbeiten lokal auf einem Computer durchgeführt und anschließend </w:t>
      </w:r>
      <w:r>
        <w:t xml:space="preserve">per </w:t>
      </w:r>
      <w:proofErr w:type="spellStart"/>
      <w:r w:rsidRPr="00CC5C06">
        <w:rPr>
          <w:rFonts w:ascii="Consolas" w:hAnsi="Consolas"/>
        </w:rPr>
        <w:t>git</w:t>
      </w:r>
      <w:proofErr w:type="spellEnd"/>
      <w:r w:rsidRPr="00CC5C06">
        <w:rPr>
          <w:rFonts w:ascii="Consolas" w:hAnsi="Consolas"/>
        </w:rPr>
        <w:t xml:space="preserve"> push</w:t>
      </w:r>
      <w:r>
        <w:t xml:space="preserve"> Befehl mit dem GitHub Repository synchronisiert.</w:t>
      </w:r>
    </w:p>
    <w:p w14:paraId="365297CA" w14:textId="22F6352A" w:rsidR="00BD3981" w:rsidRDefault="00BD3981" w:rsidP="00BD3981">
      <w:r>
        <w:t>Die Bearbeitung des Projektes erfolgt in zeitlich getakteten Iterationen mit einer Länge von drei Wochen (siehe Gantt-Chart Kapitel 3.2). Schwerpunkt in den jeweiligen Iterationen sind verschiedene APs. Dabei sollen vor Beginn einer Iteration folgende Punkte im Team vereinbart werden:</w:t>
      </w:r>
    </w:p>
    <w:p w14:paraId="1FEA6246" w14:textId="77777777" w:rsidR="00BD3981" w:rsidRDefault="00BD3981" w:rsidP="00BD3981">
      <w:pPr>
        <w:pStyle w:val="Listenabsatz"/>
        <w:numPr>
          <w:ilvl w:val="0"/>
          <w:numId w:val="36"/>
        </w:numPr>
      </w:pPr>
      <w:r>
        <w:t>Was ist wertvoll für das Produkt?</w:t>
      </w:r>
    </w:p>
    <w:p w14:paraId="7DC8DC96" w14:textId="77777777" w:rsidR="00BD3981" w:rsidRDefault="00BD3981" w:rsidP="00BD3981">
      <w:pPr>
        <w:pStyle w:val="Listenabsatz"/>
        <w:numPr>
          <w:ilvl w:val="0"/>
          <w:numId w:val="36"/>
        </w:numPr>
      </w:pPr>
      <w:r>
        <w:t>Was soll erreicht werden?</w:t>
      </w:r>
    </w:p>
    <w:p w14:paraId="1DC3596F" w14:textId="77777777" w:rsidR="00BD3981" w:rsidRDefault="00BD3981" w:rsidP="00BD3981">
      <w:pPr>
        <w:pStyle w:val="Listenabsatz"/>
        <w:numPr>
          <w:ilvl w:val="0"/>
          <w:numId w:val="36"/>
        </w:numPr>
      </w:pPr>
      <w:r>
        <w:t>Wie soll es gemacht werden?</w:t>
      </w:r>
    </w:p>
    <w:p w14:paraId="185B7AE5" w14:textId="2B6955C9" w:rsidR="00BD3981" w:rsidRDefault="00BD3981" w:rsidP="00BD3981">
      <w:r>
        <w:t>Nach Abschluss einer Iteration werden die Ergebnisse intern im Team evaluiert. Dies dient der gemeinsamen Diskussion und der Planung der nächsten Arbeitsschritte. Das so erhaltene Feedback bildet wiederum die Basis für die nächste Iteration und zur weiteren Konkretisierung des Zeitplans (siehe Kapitel 3.2).</w:t>
      </w:r>
    </w:p>
    <w:p w14:paraId="2CF1EB9B" w14:textId="10CF4A59" w:rsidR="002E712D" w:rsidRDefault="002E712D" w:rsidP="002E712D">
      <w:r>
        <w:t>Weiterhin sollen</w:t>
      </w:r>
      <w:r>
        <w:t xml:space="preserve"> gemeinsame, teaminterne Retrospektiven </w:t>
      </w:r>
      <w:r>
        <w:t>am Anfang einer neuen Iteration stattfinden</w:t>
      </w:r>
      <w:r>
        <w:t>. Dabei stehen die folgenden Punkte im Vordergrund:</w:t>
      </w:r>
    </w:p>
    <w:p w14:paraId="57E87219" w14:textId="77777777" w:rsidR="002E712D" w:rsidRDefault="002E712D" w:rsidP="002E712D">
      <w:pPr>
        <w:pStyle w:val="Listenabsatz"/>
        <w:numPr>
          <w:ilvl w:val="0"/>
          <w:numId w:val="39"/>
        </w:numPr>
      </w:pPr>
      <w:r>
        <w:t>Was lief beim letzten Mal gut?</w:t>
      </w:r>
    </w:p>
    <w:p w14:paraId="0B6E0C4A" w14:textId="77777777" w:rsidR="002E712D" w:rsidRDefault="002E712D" w:rsidP="002E712D">
      <w:pPr>
        <w:pStyle w:val="Listenabsatz"/>
        <w:numPr>
          <w:ilvl w:val="0"/>
          <w:numId w:val="39"/>
        </w:numPr>
      </w:pPr>
      <w:r>
        <w:t>Was lief weniger gut und sollte verändert werden?</w:t>
      </w:r>
    </w:p>
    <w:p w14:paraId="26B8D132" w14:textId="17DA393E" w:rsidR="002E712D" w:rsidRPr="00BD3981" w:rsidRDefault="002E712D" w:rsidP="002E712D">
      <w:pPr>
        <w:pStyle w:val="Listenabsatz"/>
        <w:numPr>
          <w:ilvl w:val="0"/>
          <w:numId w:val="39"/>
        </w:numPr>
      </w:pPr>
      <w:r>
        <w:t>Wer kümmert sich um die Veränderungen und die nächsten Schritte?</w:t>
      </w:r>
    </w:p>
    <w:p w14:paraId="08181BD3" w14:textId="4932E958" w:rsidR="00D8040D" w:rsidRDefault="00D8040D" w:rsidP="00D8040D">
      <w:pPr>
        <w:pStyle w:val="berschrift1"/>
      </w:pPr>
      <w:bookmarkStart w:id="18" w:name="_Toc236481620"/>
      <w:r>
        <w:lastRenderedPageBreak/>
        <w:t>Ergebnisse und Diskussion</w:t>
      </w:r>
      <w:bookmarkEnd w:id="18"/>
    </w:p>
    <w:p w14:paraId="796B1F5F" w14:textId="7C1C3F25" w:rsidR="00D8040D" w:rsidRDefault="00D8040D" w:rsidP="00032D28">
      <w:pPr>
        <w:pStyle w:val="berschrift2"/>
      </w:pPr>
      <w:bookmarkStart w:id="19" w:name="_Toc236481621"/>
      <w:r>
        <w:t>Explorative Datenanalyse</w:t>
      </w:r>
      <w:bookmarkEnd w:id="19"/>
    </w:p>
    <w:p w14:paraId="3FEE60C8" w14:textId="0F375DC8" w:rsidR="00F17A00" w:rsidRDefault="00F17A00" w:rsidP="00F17A00">
      <w:r>
        <w:t xml:space="preserve">Die unskalierten Rohdaten in Abbildung </w:t>
      </w:r>
      <w:r w:rsidR="00C501FD">
        <w:t>4</w:t>
      </w:r>
      <w:r>
        <w:t xml:space="preserve">.1 zeigen den gesamten kontinuierlichen Zeitverlauf vom 09. April 2026 bis zum 19. April 2026 im 15-Minuten Takt. Die </w:t>
      </w:r>
      <w:r w:rsidR="00E735DD">
        <w:rPr>
          <w:rFonts w:cs="Times New Roman"/>
        </w:rPr>
        <w:t>Photovoltaik (PV)</w:t>
      </w:r>
      <w:r w:rsidR="00E735DD">
        <w:t>-</w:t>
      </w:r>
      <w:r w:rsidR="00A11DF3">
        <w:t>Erzeugung</w:t>
      </w:r>
      <w:r>
        <w:t xml:space="preserve"> besteht aus einzelnen, scharfen Ausschlägern (Tagespeaks)</w:t>
      </w:r>
      <w:r w:rsidR="00A11DF3">
        <w:t>, während die Windenergie eine wellenartige Struktur zeigt.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11DF3" w14:paraId="5F7CD846" w14:textId="77777777" w:rsidTr="00A11DF3">
        <w:tc>
          <w:tcPr>
            <w:tcW w:w="9062" w:type="dxa"/>
          </w:tcPr>
          <w:p w14:paraId="56DC60DD" w14:textId="6749EB40" w:rsidR="00A11DF3" w:rsidRDefault="00861E0B" w:rsidP="00861E0B">
            <w:pPr>
              <w:spacing w:after="0" w:line="240" w:lineRule="auto"/>
            </w:pPr>
            <w:r w:rsidRPr="00861E0B">
              <w:rPr>
                <w:noProof/>
              </w:rPr>
              <w:drawing>
                <wp:inline distT="0" distB="0" distL="0" distR="0" wp14:anchorId="0B79A389" wp14:editId="3D05DCD3">
                  <wp:extent cx="5760720" cy="2880360"/>
                  <wp:effectExtent l="0" t="0" r="0" b="0"/>
                  <wp:docPr id="10564138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tc>
      </w:tr>
      <w:tr w:rsidR="00A11DF3" w14:paraId="36D6B1C8" w14:textId="77777777" w:rsidTr="00A11DF3">
        <w:tc>
          <w:tcPr>
            <w:tcW w:w="9062" w:type="dxa"/>
          </w:tcPr>
          <w:p w14:paraId="5381D50A" w14:textId="2541B7CA" w:rsidR="00A11DF3" w:rsidRDefault="00A11DF3" w:rsidP="00A11DF3">
            <w:pPr>
              <w:pStyle w:val="Bildunterschrift"/>
            </w:pPr>
            <w:r w:rsidRPr="00F17A00">
              <w:rPr>
                <w:b/>
                <w:bCs/>
              </w:rPr>
              <w:t xml:space="preserve">Abbildung </w:t>
            </w:r>
            <w:r w:rsidR="00C501FD">
              <w:rPr>
                <w:b/>
                <w:bCs/>
              </w:rPr>
              <w:t>4</w:t>
            </w:r>
            <w:r w:rsidRPr="00F17A00">
              <w:rPr>
                <w:b/>
                <w:bCs/>
              </w:rPr>
              <w:t>.</w:t>
            </w:r>
            <w:r>
              <w:rPr>
                <w:b/>
                <w:bCs/>
              </w:rPr>
              <w:t>1</w:t>
            </w:r>
            <w:r w:rsidRPr="00F17A00">
              <w:rPr>
                <w:b/>
                <w:bCs/>
              </w:rPr>
              <w:t>:</w:t>
            </w:r>
            <w:r>
              <w:t xml:space="preserve"> Solar- und Wind </w:t>
            </w:r>
            <w:proofErr w:type="spellStart"/>
            <w:r>
              <w:t>Onshore</w:t>
            </w:r>
            <w:proofErr w:type="spellEnd"/>
            <w:r>
              <w:t>-Energieerzeugung über elf Tage (Rohdaten)</w:t>
            </w:r>
            <w:r w:rsidR="00861E0B">
              <w:t xml:space="preserve"> vom 09.04.2026 bis zum 19.04.2026</w:t>
            </w:r>
            <w:r>
              <w:t>.</w:t>
            </w:r>
          </w:p>
        </w:tc>
      </w:tr>
    </w:tbl>
    <w:p w14:paraId="2EB36315" w14:textId="4FCFB9A0" w:rsidR="00E735DD" w:rsidRDefault="00E735DD" w:rsidP="00E735DD">
      <w:r>
        <w:t>Die unskalierten Rohdaten zeigen einen kontinuierlichen Zeitverlauf. Die PV-Erzeugung besteht aus solaren Tagespeaks, während die landbasierte Windenergie einen stochastischen, wellenartigen Verlauf aufweist.</w:t>
      </w:r>
    </w:p>
    <w:p w14:paraId="3F53921E" w14:textId="295EA381" w:rsidR="00BE2750" w:rsidRPr="00032D28" w:rsidRDefault="00FE32CE" w:rsidP="00032D28">
      <w:pPr>
        <w:pStyle w:val="berschrift3"/>
      </w:pPr>
      <w:bookmarkStart w:id="20" w:name="_Toc236481622"/>
      <w:r w:rsidRPr="00032D28">
        <w:t>Datensatzstruktur und Vollständigkeit</w:t>
      </w:r>
      <w:bookmarkEnd w:id="20"/>
    </w:p>
    <w:p w14:paraId="25F20642" w14:textId="458F654B" w:rsidR="00FE32CE" w:rsidRDefault="00FE32CE" w:rsidP="00C0675A">
      <w:r>
        <w:t xml:space="preserve">Die Überprüfung der Struktur des </w:t>
      </w:r>
      <w:hyperlink r:id="rId22" w:history="1">
        <w:r w:rsidRPr="00950578">
          <w:rPr>
            <w:rStyle w:val="Hyperlink"/>
          </w:rPr>
          <w:t>SMARD-Datensatzes</w:t>
        </w:r>
      </w:hyperlink>
      <w:r>
        <w:t xml:space="preserve"> zeigt eine lückenlose Zeitreihe von insgesamt 1056 Beobachtungen im Zeitraum vom 09. April 2026 bis zum 19. April 2026.</w:t>
      </w:r>
      <w:r w:rsidR="00D25BC5">
        <w:fldChar w:fldCharType="begin" w:fldLock="1"/>
      </w:r>
      <w:r w:rsidR="007D5ADE">
        <w:instrText>ADDIN CSL_CITATION {"citationItems":[{"id":"ITEM-1","itemData":{"URL":"https://www.smard.de/home/downloadcenter/download-marktdaten/","author":[{"dropping-particle":"","family":"Bundesnetzagentur","given":"","non-dropping-particle":"","parse-names":false,"suffix":""}],"id":"ITEM-1","issued":{"date-parts":[["2026"]]},"title":"SMARD","type":"webpage"},"uris":["http://www.mendeley.com/documents/?uuid=0a6fed74-e34c-4b1b-921c-8ce358cfdeeb"]}],"mendeley":{"formattedCitation":"&lt;sup&gt;[5]&lt;/sup&gt;","plainTextFormattedCitation":"[5]","previouslyFormattedCitation":"&lt;sup&gt;[5]&lt;/sup&gt;"},"properties":{"noteIndex":0},"schema":"https://github.com/citation-style-language/schema/raw/master/csl-citation.json"}</w:instrText>
      </w:r>
      <w:r w:rsidR="00D25BC5">
        <w:fldChar w:fldCharType="separate"/>
      </w:r>
      <w:r w:rsidR="00D25BC5" w:rsidRPr="00D25BC5">
        <w:rPr>
          <w:noProof/>
          <w:vertAlign w:val="superscript"/>
        </w:rPr>
        <w:t>[5]</w:t>
      </w:r>
      <w:r w:rsidR="00D25BC5">
        <w:fldChar w:fldCharType="end"/>
      </w:r>
      <w:r>
        <w:t xml:space="preserve"> Da der Datensatz in einer viertelstündigen Auflösung vorliegt, lässt sich der Datenumfang mathematisch validieren:</w:t>
      </w:r>
    </w:p>
    <w:p w14:paraId="5B0ACE74" w14:textId="54A8FCF3" w:rsidR="00FE32CE" w:rsidRDefault="00FE32CE" w:rsidP="00FE32CE">
      <w:pPr>
        <w:pStyle w:val="Listenabsatz"/>
        <w:numPr>
          <w:ilvl w:val="0"/>
          <w:numId w:val="26"/>
        </w:numPr>
        <w:ind w:left="357" w:hanging="357"/>
        <w:rPr>
          <w:rFonts w:cs="Times New Roman"/>
        </w:rPr>
      </w:pPr>
      <w:r w:rsidRPr="00FE32CE">
        <w:rPr>
          <w:rFonts w:cs="Times New Roman"/>
        </w:rPr>
        <w:t>96 Be</w:t>
      </w:r>
      <w:r>
        <w:rPr>
          <w:rFonts w:cs="Times New Roman"/>
        </w:rPr>
        <w:t>obachtungen am Tag</w:t>
      </w:r>
      <w:r w:rsidR="00E735DD">
        <w:rPr>
          <w:rFonts w:cs="Times New Roman"/>
        </w:rPr>
        <w:t xml:space="preserve"> (24 Stunden x 4 Intervalle/Stunde)</w:t>
      </w:r>
    </w:p>
    <w:p w14:paraId="5D1DD3BC" w14:textId="064E8E07" w:rsidR="00FE32CE" w:rsidRDefault="00FE32CE" w:rsidP="00FE32CE">
      <w:pPr>
        <w:pStyle w:val="Listenabsatz"/>
        <w:numPr>
          <w:ilvl w:val="0"/>
          <w:numId w:val="26"/>
        </w:numPr>
        <w:ind w:left="357" w:hanging="357"/>
        <w:rPr>
          <w:rFonts w:cs="Times New Roman"/>
        </w:rPr>
      </w:pPr>
      <w:r>
        <w:rPr>
          <w:rFonts w:cs="Times New Roman"/>
        </w:rPr>
        <w:lastRenderedPageBreak/>
        <w:t>Elf Tage Beobachtungszeitraum</w:t>
      </w:r>
      <w:r w:rsidR="00E735DD">
        <w:rPr>
          <w:rFonts w:cs="Times New Roman"/>
        </w:rPr>
        <w:t xml:space="preserve"> (bzw. zehn volle Tage plus Randstunden nach der Bereinigung)</w:t>
      </w:r>
    </w:p>
    <w:p w14:paraId="7990BF08" w14:textId="77777777" w:rsidR="00FE32CE" w:rsidRDefault="00FE32CE" w:rsidP="00FE32CE">
      <w:r>
        <w:t xml:space="preserve">Die insgesamt 19 Spalten (Features) weisen keine fehlenden Werte auf, was eine stabile Grundlage für das </w:t>
      </w:r>
      <w:proofErr w:type="spellStart"/>
      <w:r>
        <w:t>Machine</w:t>
      </w:r>
      <w:proofErr w:type="spellEnd"/>
      <w:r>
        <w:t xml:space="preserve"> Learning bietet.</w:t>
      </w:r>
    </w:p>
    <w:p w14:paraId="792F5D6E" w14:textId="40844901" w:rsidR="08CF70E7" w:rsidRDefault="00FE32CE" w:rsidP="00FE32CE">
      <w:pPr>
        <w:pStyle w:val="berschrift3"/>
      </w:pPr>
      <w:bookmarkStart w:id="21" w:name="_Toc236481623"/>
      <w:r>
        <w:t>Deskriptive Analyse der Kernkomponenten</w:t>
      </w:r>
      <w:bookmarkEnd w:id="21"/>
    </w:p>
    <w:p w14:paraId="522B695F" w14:textId="7570BD13" w:rsidR="00FE32CE" w:rsidRDefault="00FE32CE" w:rsidP="00FE32CE">
      <w:r>
        <w:t>Die statistischen Kennzahlen der primären volatilen Energieträger offenbaren fundamentale Unterschiede in der jeweiligen physikalischen Verteilungscharakteristik</w:t>
      </w:r>
      <w:r w:rsidR="00F17A00">
        <w:t xml:space="preserve">, siehe Abbildung </w:t>
      </w:r>
      <w:r w:rsidR="00C501FD">
        <w:t>4</w:t>
      </w:r>
      <w:r w:rsidR="00F17A00">
        <w:t>.2</w:t>
      </w:r>
      <w:r>
        <w:t>:</w:t>
      </w:r>
    </w:p>
    <w:p w14:paraId="1B96395B" w14:textId="0EF7A324" w:rsidR="00FE32CE" w:rsidRPr="00FE32CE" w:rsidRDefault="00E735DD" w:rsidP="00FE32CE">
      <w:pPr>
        <w:pStyle w:val="Listenabsatz"/>
        <w:numPr>
          <w:ilvl w:val="0"/>
          <w:numId w:val="26"/>
        </w:numPr>
        <w:ind w:left="357" w:hanging="357"/>
      </w:pPr>
      <w:r>
        <w:rPr>
          <w:rFonts w:cs="Times New Roman"/>
        </w:rPr>
        <w:t>PV</w:t>
      </w:r>
      <w:r w:rsidR="00FE32CE">
        <w:rPr>
          <w:rFonts w:cs="Times New Roman"/>
        </w:rPr>
        <w:t>: Der Mittelwert der solaren Einspeisung liegt bei 2056.23 MWh mit einer maximalen Peak-Leistung von 12070.45 MWh. Die Standardabweichung von 3353.81 MWh übersteigt den Mittelwert, was auf inhärente Volatilität der Solarenergie hindeutet. Das 25 %-Quantil liegt bei exakt 0.00 MWh und das 50 %-Quantil bei 0.01 MWh. Statistisch gesehen wird in über 50 % des gesamten Beobachtungszeitraums faktisch keine solare Einspeisung beobachtet, was eine direkte Folge der Nachtstunden ist. Herkömmliche Modelle neigen dazu die Spitzenwerte drastisch zu unterschätzen. Dies rechtfertigt den in dieser Arbeit gewählten probabilistischen Quantils-Ansatz</w:t>
      </w:r>
      <w:r w:rsidR="003E2F1E">
        <w:rPr>
          <w:rFonts w:cs="Times New Roman"/>
        </w:rPr>
        <w:t xml:space="preserve"> (Pinball Loss)</w:t>
      </w:r>
      <w:r w:rsidR="00FE32CE">
        <w:rPr>
          <w:rFonts w:cs="Times New Roman"/>
        </w:rPr>
        <w:t>.</w:t>
      </w:r>
    </w:p>
    <w:p w14:paraId="1E9DC937" w14:textId="7EA1646A" w:rsidR="00FE32CE" w:rsidRDefault="00FE32CE" w:rsidP="00FE32CE">
      <w:pPr>
        <w:pStyle w:val="Listenabsatz"/>
        <w:numPr>
          <w:ilvl w:val="0"/>
          <w:numId w:val="26"/>
        </w:numPr>
        <w:ind w:left="357" w:hanging="357"/>
        <w:rPr>
          <w:rFonts w:cs="Times New Roman"/>
        </w:rPr>
      </w:pPr>
      <w:r>
        <w:rPr>
          <w:rFonts w:cs="Times New Roman"/>
        </w:rPr>
        <w:t xml:space="preserve">Wind </w:t>
      </w:r>
      <w:proofErr w:type="spellStart"/>
      <w:r>
        <w:rPr>
          <w:rFonts w:cs="Times New Roman"/>
        </w:rPr>
        <w:t>Onshore</w:t>
      </w:r>
      <w:proofErr w:type="spellEnd"/>
      <w:r>
        <w:rPr>
          <w:rFonts w:cs="Times New Roman"/>
        </w:rPr>
        <w:t xml:space="preserve">: </w:t>
      </w:r>
      <w:r w:rsidR="00904055">
        <w:rPr>
          <w:rFonts w:cs="Times New Roman"/>
        </w:rPr>
        <w:t>Die landbasierte Windkraft zeigt einen Mittelwert von 1562.65 MWh und ein Maximum Wert von 7729.33 MWh. Das 25 %-Quantil liegt bei 286.38 MWh. Im Gegensatz zur PV bricht die Windkraftproduktion nachts nicht systematisch ein un</w:t>
      </w:r>
      <w:r w:rsidR="00B74F7A">
        <w:rPr>
          <w:rFonts w:cs="Times New Roman"/>
        </w:rPr>
        <w:t>d</w:t>
      </w:r>
      <w:r w:rsidR="00904055">
        <w:rPr>
          <w:rFonts w:cs="Times New Roman"/>
        </w:rPr>
        <w:t xml:space="preserve"> stellt somit einen kontinuierlichen stochastischen Prozess dar</w:t>
      </w:r>
      <w:r w:rsidR="00904055" w:rsidRPr="00904055">
        <w:rPr>
          <w:rFonts w:cs="Times New Roman"/>
        </w:rPr>
        <w:t>, der unabhängig</w:t>
      </w:r>
      <w:r w:rsidR="00904055">
        <w:rPr>
          <w:rFonts w:cs="Times New Roman"/>
        </w:rPr>
        <w:t xml:space="preserve"> </w:t>
      </w:r>
      <w:r w:rsidR="00B74F7A">
        <w:rPr>
          <w:rFonts w:cs="Times New Roman"/>
        </w:rPr>
        <w:t xml:space="preserve">von </w:t>
      </w:r>
      <w:r w:rsidR="00904055">
        <w:rPr>
          <w:rFonts w:cs="Times New Roman"/>
        </w:rPr>
        <w:t>de</w:t>
      </w:r>
      <w:r w:rsidR="00B74F7A">
        <w:rPr>
          <w:rFonts w:cs="Times New Roman"/>
        </w:rPr>
        <w:t>n</w:t>
      </w:r>
      <w:r w:rsidR="00904055">
        <w:rPr>
          <w:rFonts w:cs="Times New Roman"/>
        </w:rPr>
        <w:t xml:space="preserve"> astronomischen </w:t>
      </w:r>
      <w:r w:rsidR="00B74F7A">
        <w:rPr>
          <w:rFonts w:cs="Times New Roman"/>
        </w:rPr>
        <w:t>Tagesz</w:t>
      </w:r>
      <w:r w:rsidR="00904055">
        <w:rPr>
          <w:rFonts w:cs="Times New Roman"/>
        </w:rPr>
        <w:t>eiten operiert.</w:t>
      </w:r>
    </w:p>
    <w:p w14:paraId="293EBBF5" w14:textId="03851C3E" w:rsidR="00861E0B" w:rsidRPr="00861E0B" w:rsidRDefault="00861E0B" w:rsidP="00861E0B">
      <w:pPr>
        <w:rPr>
          <w:rFonts w:cs="Times New Roman"/>
        </w:rPr>
      </w:pPr>
      <w:r>
        <w:rPr>
          <w:rFonts w:cs="Times New Roman"/>
        </w:rPr>
        <w:t xml:space="preserve">Wird das aggregierte, durchschnittliche Tagesprofil in Abbildung </w:t>
      </w:r>
      <w:r w:rsidR="00C501FD">
        <w:rPr>
          <w:rFonts w:cs="Times New Roman"/>
        </w:rPr>
        <w:t>4</w:t>
      </w:r>
      <w:r>
        <w:rPr>
          <w:rFonts w:cs="Times New Roman"/>
        </w:rPr>
        <w:t>.2 betrachtet, treten diese Charakteristiken deutlich hervor. Die blaue PV-Kurve zeigt die klassische Glockenform und beginnt exakt bei 6:00 Uhr morgens zu steigen und erreicht ihr Maximum um 12:00 bis 13:00 Uhr während des höchsten Sonnenstandes. Bis 20:00 Uhr fällt die Kurve wieder auf die Nulllinie ab. Zwischen 20:00 und 6:00 Uhr verläuft die Kurve exakt auf der Nulllinie, da die Sonne in der Nacht nicht scheint. Im aggregierten Mittel verläuft die Windkraft relativ konstant in einem Band zwischen 1300 und 2400 MWh. Es gibt hier im Gegensatz zur Solarenergieproduktion keinen festen Tag-/Nacht-Rhythmus.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F17A00" w14:paraId="63747CD5" w14:textId="77777777" w:rsidTr="00F17A00">
        <w:tc>
          <w:tcPr>
            <w:tcW w:w="9062" w:type="dxa"/>
          </w:tcPr>
          <w:p w14:paraId="29E74A4E" w14:textId="5AC9659D" w:rsidR="00861E0B" w:rsidRPr="00861E0B" w:rsidRDefault="00861E0B" w:rsidP="00861E0B">
            <w:pPr>
              <w:pStyle w:val="StandardWeb"/>
              <w:spacing w:before="0" w:beforeAutospacing="0" w:after="0" w:afterAutospacing="0"/>
              <w:ind w:left="357"/>
              <w:jc w:val="center"/>
            </w:pPr>
            <w:r w:rsidRPr="00861E0B">
              <w:rPr>
                <w:noProof/>
              </w:rPr>
              <w:lastRenderedPageBreak/>
              <w:drawing>
                <wp:inline distT="0" distB="0" distL="0" distR="0" wp14:anchorId="1307B63F" wp14:editId="1A36A287">
                  <wp:extent cx="5760720" cy="2880360"/>
                  <wp:effectExtent l="0" t="0" r="0" b="0"/>
                  <wp:docPr id="107478601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7CF5240A" w14:textId="1FB3B2DE" w:rsidR="00F17A00" w:rsidRPr="00F17A00" w:rsidRDefault="00F17A00" w:rsidP="00861E0B">
            <w:pPr>
              <w:pStyle w:val="StandardWeb"/>
              <w:spacing w:before="0" w:beforeAutospacing="0" w:after="0" w:afterAutospacing="0"/>
              <w:ind w:left="357"/>
              <w:jc w:val="center"/>
            </w:pPr>
          </w:p>
        </w:tc>
      </w:tr>
      <w:tr w:rsidR="00F17A00" w14:paraId="39BAA177" w14:textId="77777777" w:rsidTr="00F17A00">
        <w:tc>
          <w:tcPr>
            <w:tcW w:w="9062" w:type="dxa"/>
          </w:tcPr>
          <w:p w14:paraId="06E5D21F" w14:textId="6172A903" w:rsidR="00F17A00" w:rsidRDefault="00F17A00" w:rsidP="00F17A00">
            <w:pPr>
              <w:pStyle w:val="Bildunterschrift"/>
            </w:pPr>
            <w:r w:rsidRPr="00F17A00">
              <w:rPr>
                <w:b/>
                <w:bCs/>
              </w:rPr>
              <w:t xml:space="preserve">Abbildung </w:t>
            </w:r>
            <w:r w:rsidR="00C501FD">
              <w:rPr>
                <w:b/>
                <w:bCs/>
              </w:rPr>
              <w:t>4</w:t>
            </w:r>
            <w:r w:rsidRPr="00F17A00">
              <w:rPr>
                <w:b/>
                <w:bCs/>
              </w:rPr>
              <w:t>.</w:t>
            </w:r>
            <w:r>
              <w:rPr>
                <w:b/>
                <w:bCs/>
              </w:rPr>
              <w:t>2</w:t>
            </w:r>
            <w:r w:rsidRPr="00F17A00">
              <w:rPr>
                <w:b/>
                <w:bCs/>
              </w:rPr>
              <w:t>:</w:t>
            </w:r>
            <w:r>
              <w:t xml:space="preserve"> Durchschnittliches Tagesprofil der PV und Wind </w:t>
            </w:r>
            <w:proofErr w:type="spellStart"/>
            <w:r>
              <w:t>Onshore</w:t>
            </w:r>
            <w:proofErr w:type="spellEnd"/>
            <w:r>
              <w:t xml:space="preserve"> Energieerzeugung aggregiert über elf Tage.</w:t>
            </w:r>
          </w:p>
        </w:tc>
      </w:tr>
    </w:tbl>
    <w:p w14:paraId="6470416B" w14:textId="76DEE1A8" w:rsidR="001D2A6B" w:rsidRDefault="001D2A6B" w:rsidP="00F17A00">
      <w:pPr>
        <w:rPr>
          <w:rFonts w:cs="Times New Roman"/>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72016" w14:paraId="35585F4B" w14:textId="77777777" w:rsidTr="00C77921">
        <w:tc>
          <w:tcPr>
            <w:tcW w:w="9072" w:type="dxa"/>
          </w:tcPr>
          <w:p w14:paraId="4BEF45DF" w14:textId="0118E135" w:rsidR="00672016" w:rsidRDefault="00C77921" w:rsidP="00861E0B">
            <w:pPr>
              <w:spacing w:after="0" w:line="240" w:lineRule="auto"/>
              <w:jc w:val="center"/>
              <w:rPr>
                <w:rFonts w:cs="Times New Roman"/>
              </w:rPr>
            </w:pPr>
            <w:r w:rsidRPr="00C77921">
              <w:rPr>
                <w:rFonts w:cs="Times New Roman"/>
                <w:noProof/>
              </w:rPr>
              <w:drawing>
                <wp:inline distT="0" distB="0" distL="0" distR="0" wp14:anchorId="0832AD9F" wp14:editId="43DC2B3C">
                  <wp:extent cx="5944984" cy="4246418"/>
                  <wp:effectExtent l="0" t="0" r="0" b="1905"/>
                  <wp:docPr id="112769103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4215" cy="4288726"/>
                          </a:xfrm>
                          <a:prstGeom prst="rect">
                            <a:avLst/>
                          </a:prstGeom>
                          <a:noFill/>
                          <a:ln>
                            <a:noFill/>
                          </a:ln>
                        </pic:spPr>
                      </pic:pic>
                    </a:graphicData>
                  </a:graphic>
                </wp:inline>
              </w:drawing>
            </w:r>
          </w:p>
        </w:tc>
      </w:tr>
      <w:tr w:rsidR="00672016" w14:paraId="05E00544" w14:textId="77777777" w:rsidTr="00C77921">
        <w:tc>
          <w:tcPr>
            <w:tcW w:w="9072" w:type="dxa"/>
          </w:tcPr>
          <w:p w14:paraId="1A4C8D93" w14:textId="4EC907D3" w:rsidR="00672016" w:rsidRDefault="00672016" w:rsidP="00672016">
            <w:pPr>
              <w:pStyle w:val="Bildunterschrift"/>
              <w:rPr>
                <w:rFonts w:cs="Times New Roman"/>
              </w:rPr>
            </w:pPr>
            <w:r w:rsidRPr="00F17A00">
              <w:rPr>
                <w:b/>
                <w:bCs/>
              </w:rPr>
              <w:t xml:space="preserve">Abbildung </w:t>
            </w:r>
            <w:r w:rsidR="00C501FD">
              <w:rPr>
                <w:b/>
                <w:bCs/>
              </w:rPr>
              <w:t>4</w:t>
            </w:r>
            <w:r w:rsidRPr="00F17A00">
              <w:rPr>
                <w:b/>
                <w:bCs/>
              </w:rPr>
              <w:t>.</w:t>
            </w:r>
            <w:r>
              <w:rPr>
                <w:b/>
                <w:bCs/>
              </w:rPr>
              <w:t>3</w:t>
            </w:r>
            <w:r w:rsidRPr="00F17A00">
              <w:rPr>
                <w:b/>
                <w:bCs/>
              </w:rPr>
              <w:t>:</w:t>
            </w:r>
            <w:r>
              <w:t xml:space="preserve"> Korrelationen zwischen den Energiequellen dargestellt in einer </w:t>
            </w:r>
            <w:proofErr w:type="spellStart"/>
            <w:r>
              <w:t>Heatmap</w:t>
            </w:r>
            <w:proofErr w:type="spellEnd"/>
            <w:r>
              <w:t xml:space="preserve"> (Korrelationsmatrix).</w:t>
            </w:r>
          </w:p>
        </w:tc>
      </w:tr>
    </w:tbl>
    <w:p w14:paraId="76F6769E" w14:textId="6C4472D7" w:rsidR="00C77921" w:rsidRDefault="00C77921" w:rsidP="00C77921">
      <w:pPr>
        <w:rPr>
          <w:rFonts w:cs="Times New Roman"/>
        </w:rPr>
      </w:pPr>
      <w:r>
        <w:rPr>
          <w:rFonts w:cs="Times New Roman"/>
        </w:rPr>
        <w:lastRenderedPageBreak/>
        <w:t>Die Korrelationsmatrix (</w:t>
      </w:r>
      <w:proofErr w:type="spellStart"/>
      <w:r>
        <w:rPr>
          <w:rFonts w:cs="Times New Roman"/>
        </w:rPr>
        <w:t>Heatmap</w:t>
      </w:r>
      <w:proofErr w:type="spellEnd"/>
      <w:r>
        <w:rPr>
          <w:rFonts w:cs="Times New Roman"/>
        </w:rPr>
        <w:t xml:space="preserve">) in Abbildung </w:t>
      </w:r>
      <w:r w:rsidR="00C501FD">
        <w:rPr>
          <w:rFonts w:cs="Times New Roman"/>
        </w:rPr>
        <w:t>4</w:t>
      </w:r>
      <w:r>
        <w:rPr>
          <w:rFonts w:cs="Times New Roman"/>
        </w:rPr>
        <w:t>.3 zeigt die linearen Korrelationskoeffizien-ten nach Pearson zwischen allen im Datensatz enthaltenen Erzeugungsquellen. Zwischen der PV und der Onshore-Windkraft zeigt sich eine schwach negative Korrelation (etwa -0.15). Diese Beobachtung deck sich mit der meteorologischen Realität, da stark windprägende Tiefdruckgebiete häufig mit einer erhöhten Wolkenbedeckung einhergehen, die die solare Einstrahlung drastisch dämpft.</w:t>
      </w:r>
    </w:p>
    <w:p w14:paraId="278632A3" w14:textId="64DE2AD5" w:rsidR="00C77921" w:rsidRDefault="00C77921" w:rsidP="00C77921">
      <w:r>
        <w:rPr>
          <w:rFonts w:cs="Times New Roman"/>
        </w:rPr>
        <w:t xml:space="preserve">Da die Kernkraftwerke in dem betrachteten Zeitraum des Jahres 2026 stillgelegt sind, weist dieses Feature eine Varianz von 0 auf. Mathematisch führt dies bei der Berechnung des Pearson-Koeffizienten zu nicht definierten Ausdrücken. Daher </w:t>
      </w:r>
      <w:proofErr w:type="gramStart"/>
      <w:r>
        <w:rPr>
          <w:rFonts w:cs="Times New Roman"/>
        </w:rPr>
        <w:t>bleibt</w:t>
      </w:r>
      <w:proofErr w:type="gramEnd"/>
      <w:r>
        <w:rPr>
          <w:rFonts w:cs="Times New Roman"/>
        </w:rPr>
        <w:t xml:space="preserve"> die entsprechende Zeile und Spalte visuell leer.</w:t>
      </w:r>
    </w:p>
    <w:p w14:paraId="264B54E3" w14:textId="386ADEEA" w:rsidR="00904055" w:rsidRDefault="00904055" w:rsidP="00904055">
      <w:pPr>
        <w:pStyle w:val="berschrift3"/>
      </w:pPr>
      <w:bookmarkStart w:id="22" w:name="_Toc236481624"/>
      <w:r>
        <w:t xml:space="preserve">Mathematische </w:t>
      </w:r>
      <w:proofErr w:type="spellStart"/>
      <w:r>
        <w:t>Stationaritätsprüfung</w:t>
      </w:r>
      <w:bookmarkEnd w:id="22"/>
      <w:proofErr w:type="spellEnd"/>
    </w:p>
    <w:p w14:paraId="36244BDA" w14:textId="23770BBF" w:rsidR="00904055" w:rsidRPr="00904055" w:rsidRDefault="00904055" w:rsidP="00904055">
      <w:pPr>
        <w:rPr>
          <w:rFonts w:cs="Times New Roman"/>
        </w:rPr>
      </w:pPr>
      <w:r>
        <w:rPr>
          <w:rFonts w:cs="Times New Roman"/>
        </w:rPr>
        <w:t xml:space="preserve">Vor dem Training der Modelle muss sichergestellt werden, dass die Zeitreihe stationär ist, da stochastische Trends zu einer Scheinkorrelation </w:t>
      </w:r>
      <w:r w:rsidR="00C77921">
        <w:rPr>
          <w:rFonts w:cs="Times New Roman"/>
        </w:rPr>
        <w:t xml:space="preserve">und instabilen </w:t>
      </w:r>
      <w:proofErr w:type="spellStart"/>
      <w:r w:rsidR="00C77921">
        <w:rPr>
          <w:rFonts w:cs="Times New Roman"/>
        </w:rPr>
        <w:t>Gradientenstrukturen</w:t>
      </w:r>
      <w:proofErr w:type="spellEnd"/>
      <w:r w:rsidR="00C77921">
        <w:rPr>
          <w:rFonts w:cs="Times New Roman"/>
        </w:rPr>
        <w:t xml:space="preserve"> </w:t>
      </w:r>
      <w:r>
        <w:rPr>
          <w:rFonts w:cs="Times New Roman"/>
        </w:rPr>
        <w:t xml:space="preserve">führen können. Im Rahmen dieser Arbeit wurde der </w:t>
      </w:r>
      <w:proofErr w:type="spellStart"/>
      <w:r>
        <w:rPr>
          <w:rFonts w:cs="Times New Roman"/>
        </w:rPr>
        <w:t>Augmented</w:t>
      </w:r>
      <w:proofErr w:type="spellEnd"/>
      <w:r>
        <w:rPr>
          <w:rFonts w:cs="Times New Roman"/>
        </w:rPr>
        <w:t xml:space="preserve"> Dickey-Fuller-Test (ADF-Test) auf die PV-Erzeugungsdaten angewendet.</w:t>
      </w:r>
      <w:r w:rsidR="00C77921">
        <w:rPr>
          <w:rFonts w:cs="Times New Roman"/>
        </w:rPr>
        <w:t xml:space="preserve"> </w:t>
      </w:r>
      <w:r w:rsidR="00F50122">
        <w:rPr>
          <w:rFonts w:cs="Times New Roman"/>
        </w:rPr>
        <w:t>Dabei liefert d</w:t>
      </w:r>
      <w:r>
        <w:rPr>
          <w:rFonts w:cs="Times New Roman"/>
        </w:rPr>
        <w:t xml:space="preserve">ie Teststatistik </w:t>
      </w:r>
      <w:r w:rsidR="00F50122">
        <w:rPr>
          <w:rFonts w:cs="Times New Roman"/>
        </w:rPr>
        <w:t>einen</w:t>
      </w:r>
      <w:r>
        <w:rPr>
          <w:rFonts w:cs="Times New Roman"/>
        </w:rPr>
        <w:t xml:space="preserve"> empirischen Wert von </w:t>
      </w:r>
      <w:r w:rsidRPr="00F50122">
        <w:rPr>
          <w:rFonts w:cs="Times New Roman"/>
        </w:rPr>
        <w:t>-</w:t>
      </w:r>
      <w:r>
        <w:rPr>
          <w:rFonts w:cs="Times New Roman"/>
        </w:rPr>
        <w:t xml:space="preserve">6.5474. Dieser Wert liegt unter dem kritischen Schwellenwert, wodurch ein asymptotischer </w:t>
      </w:r>
      <w:r w:rsidRPr="00904055">
        <w:rPr>
          <w:rFonts w:cs="Times New Roman"/>
          <w:i/>
          <w:iCs/>
        </w:rPr>
        <w:t>p</w:t>
      </w:r>
      <w:r>
        <w:rPr>
          <w:rFonts w:cs="Times New Roman"/>
        </w:rPr>
        <w:t xml:space="preserve">-Wert von 0.0000 resultiert. Somit kann bei einem Signifikanzniveau von </w:t>
      </w:r>
      <w:r w:rsidRPr="00904055">
        <w:rPr>
          <w:rFonts w:ascii="Symbol" w:hAnsi="Symbol" w:cs="Times New Roman"/>
          <w:i/>
          <w:iCs/>
        </w:rPr>
        <w:t>a</w:t>
      </w:r>
      <w:r>
        <w:rPr>
          <w:rFonts w:cs="Times New Roman"/>
        </w:rPr>
        <w:t> = 1 % ausgesagt werden, dass die Zeitreihe im statistischen Sinne stationär ist.</w:t>
      </w:r>
    </w:p>
    <w:p w14:paraId="6467BFBE" w14:textId="7CB9A64C" w:rsidR="00FE32CE" w:rsidRDefault="00950578" w:rsidP="00950578">
      <w:pPr>
        <w:pStyle w:val="berschrift3"/>
      </w:pPr>
      <w:bookmarkStart w:id="23" w:name="_Toc236481625"/>
      <w:r>
        <w:t>Tensor-Transformation für das überwachte Lernen</w:t>
      </w:r>
      <w:bookmarkEnd w:id="23"/>
    </w:p>
    <w:p w14:paraId="39FBFA9D" w14:textId="369B1FBC" w:rsidR="00950578" w:rsidRDefault="00950578" w:rsidP="00FE32CE">
      <w:r>
        <w:t xml:space="preserve">Für das sequentielle Training des LSTMs und RNNs wurden die bereinigten Daten über ein gleitendes Fenster in ein dreidimensionales </w:t>
      </w:r>
      <w:proofErr w:type="spellStart"/>
      <w:r>
        <w:t>Tensorformat</w:t>
      </w:r>
      <w:proofErr w:type="spellEnd"/>
      <w:r>
        <w:t xml:space="preserve"> überführt. Es wurde eine Fenstergröße von 96 Zeitschritten definiert, was exakt der Periode eines vollen Tages (24 Stunden</w:t>
      </w:r>
      <w:r w:rsidR="00F50122">
        <w:t> x 4 Intervalle</w:t>
      </w:r>
      <w:r>
        <w:t>) entspricht.</w:t>
      </w:r>
    </w:p>
    <w:p w14:paraId="045C5836" w14:textId="6C098645" w:rsidR="001B5421" w:rsidRDefault="0052268B" w:rsidP="00FE32CE">
      <w:r>
        <w:t>Bedingt durch diese Transformation verringert sich die Anzahl der effektiv nutzbaren Datenpunkte mathematisch bedingt von 1056 auf 960 Sequenzdaten.</w:t>
      </w:r>
    </w:p>
    <w:p w14:paraId="56658BAD" w14:textId="1387FECD" w:rsidR="0052268B" w:rsidRDefault="0052268B" w:rsidP="0052268B">
      <w:pPr>
        <w:pStyle w:val="Listenabsatz"/>
        <w:numPr>
          <w:ilvl w:val="0"/>
          <w:numId w:val="26"/>
        </w:numPr>
        <w:ind w:left="357" w:hanging="357"/>
        <w:rPr>
          <w:rFonts w:cs="Times New Roman"/>
        </w:rPr>
      </w:pPr>
      <w:r w:rsidRPr="0052268B">
        <w:rPr>
          <w:rFonts w:cs="Times New Roman"/>
        </w:rPr>
        <w:t>Somit</w:t>
      </w:r>
      <w:r>
        <w:rPr>
          <w:rFonts w:cs="Times New Roman"/>
        </w:rPr>
        <w:t xml:space="preserve"> besitzt die Feature-Matrix </w:t>
      </w:r>
      <w:r w:rsidRPr="0052268B">
        <w:rPr>
          <w:rFonts w:cs="Times New Roman"/>
          <w:i/>
          <w:iCs/>
        </w:rPr>
        <w:t>X</w:t>
      </w:r>
      <w:r>
        <w:rPr>
          <w:rFonts w:cs="Times New Roman"/>
        </w:rPr>
        <w:t xml:space="preserve"> die Dimensionen (960, 96, </w:t>
      </w:r>
      <w:r w:rsidRPr="0052268B">
        <w:rPr>
          <w:rFonts w:cs="Times New Roman"/>
          <w:i/>
          <w:iCs/>
        </w:rPr>
        <w:t>D</w:t>
      </w:r>
      <w:r>
        <w:rPr>
          <w:rFonts w:cs="Times New Roman"/>
        </w:rPr>
        <w:t xml:space="preserve">), wobei </w:t>
      </w:r>
      <w:r w:rsidRPr="0052268B">
        <w:rPr>
          <w:rFonts w:cs="Times New Roman"/>
          <w:i/>
          <w:iCs/>
        </w:rPr>
        <w:t>D</w:t>
      </w:r>
      <w:r>
        <w:rPr>
          <w:rFonts w:cs="Times New Roman"/>
        </w:rPr>
        <w:t xml:space="preserve"> für die Anzahl der Eingangsmerkmale steht. Das Modell liest somit 960-mal ein Fenster aus 96 aufeinanderfolgenden Viertelstunden ein.</w:t>
      </w:r>
    </w:p>
    <w:p w14:paraId="646FDE59" w14:textId="6C8B4BCF" w:rsidR="0052268B" w:rsidRDefault="0052268B" w:rsidP="0052268B">
      <w:pPr>
        <w:pStyle w:val="Listenabsatz"/>
        <w:numPr>
          <w:ilvl w:val="0"/>
          <w:numId w:val="26"/>
        </w:numPr>
        <w:ind w:left="357" w:hanging="357"/>
        <w:rPr>
          <w:rFonts w:cs="Times New Roman"/>
        </w:rPr>
      </w:pPr>
      <w:r>
        <w:rPr>
          <w:rFonts w:cs="Times New Roman"/>
        </w:rPr>
        <w:lastRenderedPageBreak/>
        <w:t xml:space="preserve">Der Zielvektor </w:t>
      </w:r>
      <w:r w:rsidRPr="00F50122">
        <w:rPr>
          <w:rFonts w:cs="Times New Roman"/>
          <w:i/>
          <w:iCs/>
        </w:rPr>
        <w:t>y</w:t>
      </w:r>
      <w:r>
        <w:rPr>
          <w:rFonts w:cs="Times New Roman"/>
        </w:rPr>
        <w:t xml:space="preserve"> besitzt die Dimension (960</w:t>
      </w:r>
      <w:proofErr w:type="gramStart"/>
      <w:r>
        <w:rPr>
          <w:rFonts w:cs="Times New Roman"/>
        </w:rPr>
        <w:t>, )</w:t>
      </w:r>
      <w:proofErr w:type="gramEnd"/>
      <w:r>
        <w:rPr>
          <w:rFonts w:cs="Times New Roman"/>
        </w:rPr>
        <w:t xml:space="preserve"> und repräsentiert den drauffolgenden 97. Zeitschritt.</w:t>
      </w:r>
    </w:p>
    <w:p w14:paraId="05B583CD" w14:textId="1DE10F5F" w:rsidR="0052268B" w:rsidRDefault="0052268B" w:rsidP="00F50122">
      <w:pPr>
        <w:rPr>
          <w:rFonts w:cs="Times New Roman"/>
        </w:rPr>
      </w:pPr>
      <w:r w:rsidRPr="00F50122">
        <w:rPr>
          <w:rFonts w:cs="Times New Roman"/>
        </w:rPr>
        <w:t>Es deckt sich mit der physikalischen Realität, dass der erste zu erlernende Wert</w:t>
      </w:r>
      <w:r w:rsidR="00F50122">
        <w:rPr>
          <w:rFonts w:cs="Times New Roman"/>
        </w:rPr>
        <w:t xml:space="preserve"> der Matrix</w:t>
      </w:r>
      <w:r w:rsidRPr="00F50122">
        <w:rPr>
          <w:rFonts w:cs="Times New Roman"/>
        </w:rPr>
        <w:t xml:space="preserve"> exakt 0.0 MWh beträgt, da nach den ersten 96 Zeitschritten (Tag 1) die Prädiktion für den Folgetag exakt um Mitternacht 0:00 Uhr startet. Die</w:t>
      </w:r>
      <w:r w:rsidR="00B74F7A">
        <w:rPr>
          <w:rFonts w:cs="Times New Roman"/>
        </w:rPr>
        <w:t>s</w:t>
      </w:r>
      <w:r w:rsidRPr="00F50122">
        <w:rPr>
          <w:rFonts w:cs="Times New Roman"/>
        </w:rPr>
        <w:t xml:space="preserve"> ist der Zeitpunkt, an dem die solare Erzeugung zwingend null betragen muss. Das verifiziert die logische und chronologische Integrität der gesamten Datenpipeline.</w:t>
      </w:r>
    </w:p>
    <w:p w14:paraId="77555647" w14:textId="02D3FBA3" w:rsidR="00861E0B" w:rsidRDefault="006816FD" w:rsidP="006816FD">
      <w:pPr>
        <w:pStyle w:val="berschrift2"/>
      </w:pPr>
      <w:bookmarkStart w:id="24" w:name="_Toc236481626"/>
      <w:r>
        <w:t>Qualitativer und quantitativer Vergleich der Architekturen</w:t>
      </w:r>
      <w:bookmarkEnd w:id="24"/>
    </w:p>
    <w:p w14:paraId="7C4A555E" w14:textId="454FEF33" w:rsidR="006816FD" w:rsidRDefault="00C501FD" w:rsidP="00F50122">
      <w:pPr>
        <w:rPr>
          <w:rFonts w:cs="Times New Roman"/>
        </w:rPr>
      </w:pPr>
      <w:r>
        <w:rPr>
          <w:rFonts w:cs="Times New Roman"/>
        </w:rPr>
        <w:t>Das Modelltraining wurde mit drei Datensätzen unterschiedlicher Auflösung durchgeführt:</w:t>
      </w:r>
    </w:p>
    <w:p w14:paraId="462F2214" w14:textId="608BEF30" w:rsidR="00C501FD" w:rsidRDefault="00C501FD" w:rsidP="00C501FD">
      <w:pPr>
        <w:pStyle w:val="Listenabsatz"/>
        <w:numPr>
          <w:ilvl w:val="0"/>
          <w:numId w:val="32"/>
        </w:numPr>
        <w:rPr>
          <w:rFonts w:cs="Times New Roman"/>
        </w:rPr>
      </w:pPr>
      <w:r>
        <w:rPr>
          <w:rFonts w:cs="Times New Roman"/>
        </w:rPr>
        <w:t>Zeitraum 09.04. bis 19.04.2026 in 15-minütiger Auflösung (April 2026)</w:t>
      </w:r>
    </w:p>
    <w:p w14:paraId="0F25712F" w14:textId="01298962" w:rsidR="00C501FD" w:rsidRDefault="00C501FD" w:rsidP="00C501FD">
      <w:pPr>
        <w:pStyle w:val="Listenabsatz"/>
        <w:numPr>
          <w:ilvl w:val="0"/>
          <w:numId w:val="32"/>
        </w:numPr>
        <w:rPr>
          <w:rFonts w:cs="Times New Roman"/>
        </w:rPr>
      </w:pPr>
      <w:r>
        <w:rPr>
          <w:rFonts w:cs="Times New Roman"/>
        </w:rPr>
        <w:t>Zeitraum 09.04. bis 19.04.2026 in 60-minütiger Auflösung (April 2026)</w:t>
      </w:r>
    </w:p>
    <w:p w14:paraId="7A6B698C" w14:textId="55832B26" w:rsidR="00C501FD" w:rsidRDefault="00C501FD" w:rsidP="00C501FD">
      <w:pPr>
        <w:pStyle w:val="Listenabsatz"/>
        <w:numPr>
          <w:ilvl w:val="0"/>
          <w:numId w:val="32"/>
        </w:numPr>
        <w:rPr>
          <w:rFonts w:cs="Times New Roman"/>
        </w:rPr>
      </w:pPr>
      <w:r>
        <w:rPr>
          <w:rFonts w:cs="Times New Roman"/>
        </w:rPr>
        <w:t>Zeitraum 01.03. bis 19.04.2026 in 15-minütiger Auflösung (März-April 2026)</w:t>
      </w:r>
    </w:p>
    <w:p w14:paraId="302ADED4" w14:textId="29EE6D77" w:rsidR="00C501FD" w:rsidRDefault="00C501FD" w:rsidP="00C501FD">
      <w:pPr>
        <w:rPr>
          <w:rFonts w:cs="Times New Roman"/>
        </w:rPr>
      </w:pPr>
      <w:r>
        <w:rPr>
          <w:rFonts w:cs="Times New Roman"/>
        </w:rPr>
        <w:t>Die Lernkurven beider Architekturen (LSTM – rechts und RNN – links) sind in Abbildung 4.4 gezeigt: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501FD" w14:paraId="4D5B776D" w14:textId="77777777" w:rsidTr="00C501FD">
        <w:tc>
          <w:tcPr>
            <w:tcW w:w="9062" w:type="dxa"/>
          </w:tcPr>
          <w:p w14:paraId="13C37B3C" w14:textId="6EB5246F" w:rsidR="00C501FD" w:rsidRDefault="00C501FD" w:rsidP="00B00DCC">
            <w:pPr>
              <w:spacing w:after="0" w:line="240" w:lineRule="auto"/>
              <w:rPr>
                <w:rFonts w:cs="Times New Roman"/>
              </w:rPr>
            </w:pPr>
            <w:r w:rsidRPr="00C501FD">
              <w:rPr>
                <w:rFonts w:cs="Times New Roman"/>
                <w:noProof/>
              </w:rPr>
              <w:drawing>
                <wp:inline distT="0" distB="0" distL="0" distR="0" wp14:anchorId="47E67A92" wp14:editId="793D54A2">
                  <wp:extent cx="5669280" cy="2429691"/>
                  <wp:effectExtent l="0" t="0" r="7620" b="8890"/>
                  <wp:docPr id="59683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70755" cy="2430323"/>
                          </a:xfrm>
                          <a:prstGeom prst="rect">
                            <a:avLst/>
                          </a:prstGeom>
                          <a:noFill/>
                          <a:ln>
                            <a:noFill/>
                          </a:ln>
                        </pic:spPr>
                      </pic:pic>
                    </a:graphicData>
                  </a:graphic>
                </wp:inline>
              </w:drawing>
            </w:r>
          </w:p>
        </w:tc>
      </w:tr>
      <w:tr w:rsidR="00C501FD" w14:paraId="177AFB30" w14:textId="77777777" w:rsidTr="00C501FD">
        <w:tc>
          <w:tcPr>
            <w:tcW w:w="9062" w:type="dxa"/>
          </w:tcPr>
          <w:p w14:paraId="5B5CF049" w14:textId="19B93EF4" w:rsidR="00C501FD" w:rsidRDefault="00C501FD" w:rsidP="00A12F58">
            <w:pPr>
              <w:pStyle w:val="Bildunterschrift"/>
              <w:rPr>
                <w:rFonts w:cs="Times New Roman"/>
              </w:rPr>
            </w:pPr>
            <w:r w:rsidRPr="00F17A00">
              <w:rPr>
                <w:b/>
                <w:bCs/>
              </w:rPr>
              <w:t xml:space="preserve">Abbildung </w:t>
            </w:r>
            <w:r>
              <w:rPr>
                <w:b/>
                <w:bCs/>
              </w:rPr>
              <w:t>4</w:t>
            </w:r>
            <w:r w:rsidRPr="00F17A00">
              <w:rPr>
                <w:b/>
                <w:bCs/>
              </w:rPr>
              <w:t>.</w:t>
            </w:r>
            <w:r>
              <w:rPr>
                <w:b/>
                <w:bCs/>
              </w:rPr>
              <w:t>4</w:t>
            </w:r>
            <w:r w:rsidRPr="00F17A00">
              <w:rPr>
                <w:b/>
                <w:bCs/>
              </w:rPr>
              <w:t>:</w:t>
            </w:r>
            <w:r>
              <w:t xml:space="preserve"> Lernkurven beider Architekturen (LSTM und RNN) im direkten Vergleich. Rot – 15-minütige Auflösung (April 2026), pink - 15-minütige Auflösung (März-April 2026) und blau – 60-minütige Auflösung (April 2026). Die durchgezogenen Kurven entsprechen der Validierung und die gestrichelten Kurven entsprechen dem Training.</w:t>
            </w:r>
          </w:p>
        </w:tc>
      </w:tr>
    </w:tbl>
    <w:p w14:paraId="4BC9620E" w14:textId="77777777" w:rsidR="00C501FD" w:rsidRDefault="00C501FD" w:rsidP="00C501FD">
      <w:pPr>
        <w:rPr>
          <w:rFonts w:cs="Times New Roman"/>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00DCC" w14:paraId="4D0358DC" w14:textId="77777777" w:rsidTr="00B00DCC">
        <w:tc>
          <w:tcPr>
            <w:tcW w:w="9062" w:type="dxa"/>
          </w:tcPr>
          <w:p w14:paraId="583F6661" w14:textId="01B038AB" w:rsidR="00D25BC5" w:rsidRPr="00D25BC5" w:rsidRDefault="00D25BC5" w:rsidP="00D25BC5">
            <w:pPr>
              <w:spacing w:after="0" w:line="240" w:lineRule="auto"/>
              <w:jc w:val="center"/>
              <w:rPr>
                <w:rFonts w:cs="Times New Roman"/>
              </w:rPr>
            </w:pPr>
            <w:r w:rsidRPr="00D25BC5">
              <w:rPr>
                <w:rFonts w:cs="Times New Roman"/>
                <w:noProof/>
              </w:rPr>
              <w:lastRenderedPageBreak/>
              <w:drawing>
                <wp:inline distT="0" distB="0" distL="0" distR="0" wp14:anchorId="47FD374D" wp14:editId="0A605534">
                  <wp:extent cx="5760720" cy="3360420"/>
                  <wp:effectExtent l="0" t="0" r="0" b="0"/>
                  <wp:docPr id="1736542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50AB0C4A" w14:textId="4A886AD9" w:rsidR="00B00DCC" w:rsidRDefault="00B00DCC" w:rsidP="00B00DCC">
            <w:pPr>
              <w:spacing w:after="0" w:line="240" w:lineRule="auto"/>
              <w:jc w:val="center"/>
              <w:rPr>
                <w:rFonts w:cs="Times New Roman"/>
              </w:rPr>
            </w:pPr>
          </w:p>
        </w:tc>
      </w:tr>
      <w:tr w:rsidR="00B00DCC" w14:paraId="60A6616A" w14:textId="77777777" w:rsidTr="00B00DCC">
        <w:tc>
          <w:tcPr>
            <w:tcW w:w="9062" w:type="dxa"/>
          </w:tcPr>
          <w:p w14:paraId="1474D1EE" w14:textId="3082FF5F" w:rsidR="00B00DCC" w:rsidRDefault="00B00DCC" w:rsidP="00B00DCC">
            <w:pPr>
              <w:pStyle w:val="Bildunterschrift"/>
              <w:rPr>
                <w:rFonts w:cs="Times New Roman"/>
              </w:rPr>
            </w:pPr>
            <w:r w:rsidRPr="00F17A00">
              <w:rPr>
                <w:b/>
                <w:bCs/>
              </w:rPr>
              <w:t xml:space="preserve">Abbildung </w:t>
            </w:r>
            <w:r>
              <w:rPr>
                <w:b/>
                <w:bCs/>
              </w:rPr>
              <w:t>4</w:t>
            </w:r>
            <w:r w:rsidRPr="00F17A00">
              <w:rPr>
                <w:b/>
                <w:bCs/>
              </w:rPr>
              <w:t>.</w:t>
            </w:r>
            <w:r>
              <w:rPr>
                <w:b/>
                <w:bCs/>
              </w:rPr>
              <w:t>5</w:t>
            </w:r>
            <w:r w:rsidRPr="00F17A00">
              <w:rPr>
                <w:b/>
                <w:bCs/>
              </w:rPr>
              <w:t>:</w:t>
            </w:r>
            <w:r>
              <w:t xml:space="preserve"> Probabilistische Photovoltaik-Vorhersage im direkten Architekturvergleich (Datensatz April 2026, 15-minütige Auflösung).</w:t>
            </w:r>
          </w:p>
        </w:tc>
      </w:tr>
    </w:tbl>
    <w:p w14:paraId="29D99979" w14:textId="77777777" w:rsidR="00B00DCC" w:rsidRDefault="00B00DCC" w:rsidP="00C501FD">
      <w:pPr>
        <w:rPr>
          <w:rFonts w:cs="Times New Roman"/>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00DCC" w14:paraId="413D3DC4" w14:textId="77777777" w:rsidTr="00B00DCC">
        <w:tc>
          <w:tcPr>
            <w:tcW w:w="9062" w:type="dxa"/>
          </w:tcPr>
          <w:p w14:paraId="087BC08B" w14:textId="39B5CD54" w:rsidR="00D25BC5" w:rsidRPr="00D25BC5" w:rsidRDefault="00D25BC5" w:rsidP="00D25BC5">
            <w:pPr>
              <w:spacing w:after="0" w:line="240" w:lineRule="auto"/>
              <w:jc w:val="center"/>
              <w:rPr>
                <w:rFonts w:cs="Times New Roman"/>
              </w:rPr>
            </w:pPr>
            <w:r w:rsidRPr="00D25BC5">
              <w:rPr>
                <w:rFonts w:cs="Times New Roman"/>
                <w:noProof/>
              </w:rPr>
              <w:drawing>
                <wp:inline distT="0" distB="0" distL="0" distR="0" wp14:anchorId="176B3FD0" wp14:editId="114E780D">
                  <wp:extent cx="5760720" cy="3360420"/>
                  <wp:effectExtent l="0" t="0" r="0" b="0"/>
                  <wp:docPr id="4039550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0ACBA31D" w14:textId="2FBEA94E" w:rsidR="00B00DCC" w:rsidRDefault="00B00DCC" w:rsidP="00B00DCC">
            <w:pPr>
              <w:spacing w:after="0" w:line="240" w:lineRule="auto"/>
              <w:jc w:val="center"/>
              <w:rPr>
                <w:rFonts w:cs="Times New Roman"/>
              </w:rPr>
            </w:pPr>
          </w:p>
        </w:tc>
      </w:tr>
      <w:tr w:rsidR="00B00DCC" w14:paraId="30636CE2" w14:textId="77777777" w:rsidTr="00B00DCC">
        <w:tc>
          <w:tcPr>
            <w:tcW w:w="9062" w:type="dxa"/>
          </w:tcPr>
          <w:p w14:paraId="657764D0" w14:textId="04496FE9" w:rsidR="00B00DCC" w:rsidRDefault="00B00DCC" w:rsidP="00B00DCC">
            <w:pPr>
              <w:pStyle w:val="Bildunterschrift"/>
              <w:rPr>
                <w:rFonts w:cs="Times New Roman"/>
              </w:rPr>
            </w:pPr>
            <w:r w:rsidRPr="00F17A00">
              <w:rPr>
                <w:b/>
                <w:bCs/>
              </w:rPr>
              <w:t xml:space="preserve">Abbildung </w:t>
            </w:r>
            <w:r>
              <w:rPr>
                <w:b/>
                <w:bCs/>
              </w:rPr>
              <w:t>4.6</w:t>
            </w:r>
            <w:r w:rsidRPr="00F17A00">
              <w:rPr>
                <w:b/>
                <w:bCs/>
              </w:rPr>
              <w:t>:</w:t>
            </w:r>
            <w:r>
              <w:t xml:space="preserve"> Probabilistische Photovoltaik-Vorhersage im direkten Architekturvergleich (Datensatz April 2026, 60-minütige Auflösung).</w:t>
            </w:r>
          </w:p>
        </w:tc>
      </w:tr>
    </w:tbl>
    <w:p w14:paraId="58FDAB77" w14:textId="38EF0A69" w:rsidR="00B00DCC" w:rsidRDefault="00B00DCC" w:rsidP="00C501FD">
      <w:pPr>
        <w:rPr>
          <w:rFonts w:cs="Times New Roman"/>
        </w:rPr>
      </w:pPr>
      <w:r>
        <w:rPr>
          <w:rFonts w:cs="Times New Roman"/>
        </w:rPr>
        <w:lastRenderedPageBreak/>
        <w:t>Die Vorhersagen und 80 %</w:t>
      </w:r>
      <w:proofErr w:type="spellStart"/>
      <w:r>
        <w:rPr>
          <w:rFonts w:cs="Times New Roman"/>
        </w:rPr>
        <w:t>igen</w:t>
      </w:r>
      <w:proofErr w:type="spellEnd"/>
      <w:r>
        <w:rPr>
          <w:rFonts w:cs="Times New Roman"/>
        </w:rPr>
        <w:t xml:space="preserve"> Konfidenzbänder im direkten Architekturvergleich des April 2026 Datensatzes mit 15-minütiger Auflösung ist in Abbildung 4.5 und mit 60-minütiger Auflösung in Abbildung 4.6 gezeigt. Vorhersagen und Konfidenzbänder des März-April 2026 Datensatzes sind in Abbildung 4.7 dargestellt.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00DCC" w14:paraId="509E34CD" w14:textId="77777777" w:rsidTr="001A35B5">
        <w:tc>
          <w:tcPr>
            <w:tcW w:w="9062" w:type="dxa"/>
          </w:tcPr>
          <w:p w14:paraId="086FB978" w14:textId="2A357C2C" w:rsidR="00D25BC5" w:rsidRPr="00D25BC5" w:rsidRDefault="00D25BC5" w:rsidP="00D25BC5">
            <w:pPr>
              <w:spacing w:after="0" w:line="240" w:lineRule="auto"/>
              <w:rPr>
                <w:rFonts w:cs="Times New Roman"/>
              </w:rPr>
            </w:pPr>
            <w:r w:rsidRPr="00D25BC5">
              <w:rPr>
                <w:rFonts w:cs="Times New Roman"/>
                <w:noProof/>
              </w:rPr>
              <w:drawing>
                <wp:inline distT="0" distB="0" distL="0" distR="0" wp14:anchorId="5E414137" wp14:editId="321CAE10">
                  <wp:extent cx="5760720" cy="3360420"/>
                  <wp:effectExtent l="0" t="0" r="0" b="0"/>
                  <wp:docPr id="148440406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0A14877B" w14:textId="05285EC6" w:rsidR="00B00DCC" w:rsidRDefault="00B00DCC" w:rsidP="00B00DCC">
            <w:pPr>
              <w:spacing w:after="0" w:line="240" w:lineRule="auto"/>
              <w:rPr>
                <w:rFonts w:cs="Times New Roman"/>
              </w:rPr>
            </w:pPr>
          </w:p>
        </w:tc>
      </w:tr>
      <w:tr w:rsidR="00B00DCC" w14:paraId="580277E9" w14:textId="77777777" w:rsidTr="001A35B5">
        <w:tc>
          <w:tcPr>
            <w:tcW w:w="9062" w:type="dxa"/>
          </w:tcPr>
          <w:p w14:paraId="605C8260" w14:textId="1018F708" w:rsidR="00B00DCC" w:rsidRDefault="001A35B5" w:rsidP="001A35B5">
            <w:pPr>
              <w:pStyle w:val="Bildunterschrift"/>
              <w:rPr>
                <w:rFonts w:cs="Times New Roman"/>
              </w:rPr>
            </w:pPr>
            <w:r w:rsidRPr="00F17A00">
              <w:rPr>
                <w:b/>
                <w:bCs/>
              </w:rPr>
              <w:t xml:space="preserve">Abbildung </w:t>
            </w:r>
            <w:r>
              <w:rPr>
                <w:b/>
                <w:bCs/>
              </w:rPr>
              <w:t>4.7</w:t>
            </w:r>
            <w:r w:rsidRPr="00F17A00">
              <w:rPr>
                <w:b/>
                <w:bCs/>
              </w:rPr>
              <w:t>:</w:t>
            </w:r>
            <w:r>
              <w:t xml:space="preserve"> Probabilistische Photovoltaik-Vorhersage im direkten Architekturvergleich (Datensatz März-April 2026, 15-minütige Auflösung).</w:t>
            </w:r>
          </w:p>
        </w:tc>
      </w:tr>
    </w:tbl>
    <w:p w14:paraId="0A5DCEA4" w14:textId="6A8ACFBD" w:rsidR="00B00DCC" w:rsidRDefault="00DC5D29" w:rsidP="00C501FD">
      <w:pPr>
        <w:rPr>
          <w:rFonts w:cs="Times New Roman"/>
        </w:rPr>
      </w:pPr>
      <w:r>
        <w:rPr>
          <w:rFonts w:cs="Times New Roman"/>
        </w:rPr>
        <w:t>Die kombinierten Lernkurven zeigen den Verlauf des Pinball-Loss über die Epochen, wobei nach den Architekturen LSTM (Abbildung 4.4 links) und RNN (Abbildung 4.4 rechts) getrennt wurde. In beiden Modellen zeigt sich ein stabiles Konvergenzverhalten, das durch einen integrierten Early-</w:t>
      </w:r>
      <w:proofErr w:type="spellStart"/>
      <w:r>
        <w:rPr>
          <w:rFonts w:cs="Times New Roman"/>
        </w:rPr>
        <w:t>Stopping</w:t>
      </w:r>
      <w:proofErr w:type="spellEnd"/>
      <w:r>
        <w:rPr>
          <w:rFonts w:cs="Times New Roman"/>
        </w:rPr>
        <w:t>-Mechanismus vorzeitig abgebrochen wurde, nachdem der Validierungsverlust stagnierte.</w:t>
      </w:r>
    </w:p>
    <w:p w14:paraId="5E01CB12" w14:textId="14AF79E2" w:rsidR="00DC5D29" w:rsidRDefault="00DC5D29" w:rsidP="00C501FD">
      <w:pPr>
        <w:rPr>
          <w:rFonts w:cs="Times New Roman"/>
        </w:rPr>
      </w:pPr>
      <w:r>
        <w:rPr>
          <w:rFonts w:cs="Times New Roman"/>
        </w:rPr>
        <w:t xml:space="preserve">Die Auswertung der Vorhersagediagramme in den Abbildungen 4.4 bis 4.7 zeigen den präzisen solaren Glockenverlauf und wie sich die Unsicherheitsbänder (80 % Konfidenzintervalle) verhalten. Im April 2026 Datensatz (15-minütige Auflösung) treffen sowohl LSTM als auch RNN den realen Verlauf (schwarze Linie), siehe Abbildung 4.5. Das hellblaue (LSTM) bzw. hellgrüne (RNN) Band schmiegt sich extrem an die Kurven an. Insgesamt weisen die Modelle bei dieser hohen Auflösung und klarem Wetter eine sehr hohe Vorhersagesicherheit auf. Nachts verengt sich dieses Band auf die Nulllinie. Somit haben die Modelle gelernt, dass ohne Sonnenlicht </w:t>
      </w:r>
      <w:r>
        <w:rPr>
          <w:rFonts w:cs="Times New Roman"/>
        </w:rPr>
        <w:lastRenderedPageBreak/>
        <w:t>keine solare Varianz existieren kann.</w:t>
      </w:r>
      <w:r w:rsidR="000F48C1">
        <w:rPr>
          <w:rFonts w:cs="Times New Roman"/>
        </w:rPr>
        <w:t xml:space="preserve"> Der April 2026 Datensatz (60-minütige Auflösung) zeigt, dass das LSTM am ersten Tag die absolute Spitze leicht überschätzt, während das RNN diese Spitze präzise trifft, siehe Abbildung 4.6. Da sich durch die stündliche Aggregation die mathematische Unsicherheit des Modells pro Zeitschritt erhöht, führt dies dazu, dass das Unsicherheitsband signifikant breiter ist als im 15-Minuten-Szenario. Der März-April 2026 Datensatz (15-minütige Auflösung) weist über den längeren Testzeitraum die höchste Robustheit auf. Der Median schmiegt sich fehlerfrei an die unterschiedlichen Peak-Höhen der Testtage an. Bedingt durch den längeren Zeitraum und die größere Datenmenge, ist das Unsicherheitsband extrem scharf und schmal kalibriert. Das Modell hat durch die erhöhte Datenmenge eine so hohe statistische Sicherheit gewonnen, dass der Risikokorridor minimiert werden konnte. Die PICP bleibt jedoch hoch.</w:t>
      </w:r>
    </w:p>
    <w:p w14:paraId="70140915" w14:textId="38EDCA47" w:rsidR="00E80326" w:rsidRDefault="00E80326" w:rsidP="00C501FD">
      <w:pPr>
        <w:rPr>
          <w:rFonts w:cs="Times New Roman"/>
        </w:rPr>
      </w:pPr>
      <w:r>
        <w:rPr>
          <w:rFonts w:cs="Times New Roman"/>
        </w:rPr>
        <w:t>Insgesamt liefern die Modelle keine starren Werte, sondern einen dynamischen Sicherheitskorridor. Je feiner die Auflösung und je größer der Datensatz, desto mehr schärft sich das Konfidenzband. Genau diese Dynamik liefert dem Netzbetreiber den gewünschten Mehrwert: an der Breite des Konfidenzbandes kann sofort das mathematische Risiko für den Handelseinsatz abgeschätzt werden.</w:t>
      </w:r>
    </w:p>
    <w:p w14:paraId="784576EC" w14:textId="0A0C409F" w:rsidR="00E61B10" w:rsidRDefault="00E61B10" w:rsidP="00E61B10">
      <w:pPr>
        <w:pStyle w:val="Tabelle"/>
      </w:pPr>
      <w:r w:rsidRPr="00E61B10">
        <w:rPr>
          <w:b/>
          <w:bCs/>
        </w:rPr>
        <w:t>Tabelle 4.1:</w:t>
      </w:r>
      <w:r>
        <w:t xml:space="preserve"> Vergleich der Güteparameter aus den drei Datensätzen.</w:t>
      </w:r>
    </w:p>
    <w:tbl>
      <w:tblPr>
        <w:tblStyle w:val="Tabellenraster"/>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5"/>
        <w:gridCol w:w="2265"/>
        <w:gridCol w:w="2266"/>
        <w:gridCol w:w="2266"/>
      </w:tblGrid>
      <w:tr w:rsidR="007D5ADE" w14:paraId="4179550F" w14:textId="77777777" w:rsidTr="00E61B10">
        <w:trPr>
          <w:jc w:val="center"/>
        </w:trPr>
        <w:tc>
          <w:tcPr>
            <w:tcW w:w="2265" w:type="dxa"/>
            <w:vAlign w:val="center"/>
          </w:tcPr>
          <w:p w14:paraId="7C5B3302" w14:textId="36178464" w:rsidR="007D5ADE" w:rsidRPr="00D601BC" w:rsidRDefault="007D5ADE" w:rsidP="007D5ADE">
            <w:pPr>
              <w:spacing w:after="0" w:line="240" w:lineRule="auto"/>
              <w:jc w:val="center"/>
              <w:rPr>
                <w:rFonts w:cs="Times New Roman"/>
                <w:b/>
                <w:bCs/>
              </w:rPr>
            </w:pPr>
            <w:r w:rsidRPr="00D601BC">
              <w:rPr>
                <w:rFonts w:cs="Times New Roman"/>
                <w:b/>
                <w:bCs/>
              </w:rPr>
              <w:t>Parameter</w:t>
            </w:r>
          </w:p>
        </w:tc>
        <w:tc>
          <w:tcPr>
            <w:tcW w:w="2265" w:type="dxa"/>
            <w:vAlign w:val="center"/>
          </w:tcPr>
          <w:p w14:paraId="51C0D01B" w14:textId="4F7458B4" w:rsidR="007D5ADE" w:rsidRPr="00D601BC" w:rsidRDefault="007D5ADE" w:rsidP="007D5ADE">
            <w:pPr>
              <w:spacing w:after="0" w:line="240" w:lineRule="auto"/>
              <w:jc w:val="center"/>
              <w:rPr>
                <w:rFonts w:cs="Times New Roman"/>
                <w:b/>
                <w:bCs/>
              </w:rPr>
            </w:pPr>
            <w:r w:rsidRPr="00D601BC">
              <w:rPr>
                <w:rFonts w:cs="Times New Roman"/>
                <w:b/>
                <w:bCs/>
              </w:rPr>
              <w:t>Datensatz April 2026, 15-minütige Auflösung</w:t>
            </w:r>
          </w:p>
        </w:tc>
        <w:tc>
          <w:tcPr>
            <w:tcW w:w="2266" w:type="dxa"/>
            <w:vAlign w:val="center"/>
          </w:tcPr>
          <w:p w14:paraId="6CFC89BA" w14:textId="2E994558" w:rsidR="007D5ADE" w:rsidRPr="00D601BC" w:rsidRDefault="007D5ADE" w:rsidP="007D5ADE">
            <w:pPr>
              <w:spacing w:after="0" w:line="240" w:lineRule="auto"/>
              <w:jc w:val="center"/>
              <w:rPr>
                <w:rFonts w:cs="Times New Roman"/>
                <w:b/>
                <w:bCs/>
              </w:rPr>
            </w:pPr>
            <w:r w:rsidRPr="00D601BC">
              <w:rPr>
                <w:rFonts w:cs="Times New Roman"/>
                <w:b/>
                <w:bCs/>
              </w:rPr>
              <w:t>Datensatz April 2026, 60-minütige Auflösung</w:t>
            </w:r>
          </w:p>
        </w:tc>
        <w:tc>
          <w:tcPr>
            <w:tcW w:w="2266" w:type="dxa"/>
            <w:vAlign w:val="center"/>
          </w:tcPr>
          <w:p w14:paraId="2F3C9052" w14:textId="57864A88" w:rsidR="007D5ADE" w:rsidRPr="00D601BC" w:rsidRDefault="007D5ADE" w:rsidP="007D5ADE">
            <w:pPr>
              <w:spacing w:after="0" w:line="240" w:lineRule="auto"/>
              <w:jc w:val="center"/>
              <w:rPr>
                <w:rFonts w:cs="Times New Roman"/>
                <w:b/>
                <w:bCs/>
              </w:rPr>
            </w:pPr>
            <w:r w:rsidRPr="00D601BC">
              <w:rPr>
                <w:rFonts w:cs="Times New Roman"/>
                <w:b/>
                <w:bCs/>
              </w:rPr>
              <w:t>Datensatz März-April 2026, 15-minütige Auflösung</w:t>
            </w:r>
          </w:p>
        </w:tc>
      </w:tr>
      <w:tr w:rsidR="007D5ADE" w14:paraId="41299B3A" w14:textId="77777777" w:rsidTr="00E61B10">
        <w:trPr>
          <w:jc w:val="center"/>
        </w:trPr>
        <w:tc>
          <w:tcPr>
            <w:tcW w:w="2265" w:type="dxa"/>
            <w:vAlign w:val="center"/>
          </w:tcPr>
          <w:p w14:paraId="66C0EDEC" w14:textId="0841C5A6" w:rsidR="007D5ADE" w:rsidRDefault="00D601BC" w:rsidP="007D5ADE">
            <w:pPr>
              <w:spacing w:after="0" w:line="240" w:lineRule="auto"/>
              <w:jc w:val="center"/>
              <w:rPr>
                <w:rFonts w:cs="Times New Roman"/>
              </w:rPr>
            </w:pPr>
            <w:r>
              <w:rPr>
                <w:rFonts w:cs="Times New Roman"/>
              </w:rPr>
              <w:t>LSTM-PICP</w:t>
            </w:r>
          </w:p>
        </w:tc>
        <w:tc>
          <w:tcPr>
            <w:tcW w:w="2265" w:type="dxa"/>
            <w:vAlign w:val="center"/>
          </w:tcPr>
          <w:p w14:paraId="12746FE6" w14:textId="5A7BD1FD" w:rsidR="007D5ADE" w:rsidRDefault="00D601BC" w:rsidP="007D5ADE">
            <w:pPr>
              <w:spacing w:after="0" w:line="240" w:lineRule="auto"/>
              <w:jc w:val="center"/>
              <w:rPr>
                <w:rFonts w:cs="Times New Roman"/>
              </w:rPr>
            </w:pPr>
            <w:r>
              <w:rPr>
                <w:rFonts w:cs="Times New Roman"/>
              </w:rPr>
              <w:t>62.50 %</w:t>
            </w:r>
          </w:p>
        </w:tc>
        <w:tc>
          <w:tcPr>
            <w:tcW w:w="2266" w:type="dxa"/>
            <w:vAlign w:val="center"/>
          </w:tcPr>
          <w:p w14:paraId="17F57305" w14:textId="3B16A337" w:rsidR="007D5ADE" w:rsidRDefault="00D601BC" w:rsidP="007D5ADE">
            <w:pPr>
              <w:spacing w:after="0" w:line="240" w:lineRule="auto"/>
              <w:jc w:val="center"/>
              <w:rPr>
                <w:rFonts w:cs="Times New Roman"/>
              </w:rPr>
            </w:pPr>
            <w:r>
              <w:rPr>
                <w:rFonts w:cs="Times New Roman"/>
              </w:rPr>
              <w:t>56.25 %</w:t>
            </w:r>
          </w:p>
        </w:tc>
        <w:tc>
          <w:tcPr>
            <w:tcW w:w="2266" w:type="dxa"/>
            <w:vAlign w:val="center"/>
          </w:tcPr>
          <w:p w14:paraId="3E4A3D97" w14:textId="0F992012" w:rsidR="007D5ADE" w:rsidRDefault="00B93CC6" w:rsidP="007D5ADE">
            <w:pPr>
              <w:spacing w:after="0" w:line="240" w:lineRule="auto"/>
              <w:jc w:val="center"/>
              <w:rPr>
                <w:rFonts w:cs="Times New Roman"/>
              </w:rPr>
            </w:pPr>
            <w:r>
              <w:rPr>
                <w:rFonts w:cs="Times New Roman"/>
              </w:rPr>
              <w:t>82.23 %</w:t>
            </w:r>
          </w:p>
        </w:tc>
      </w:tr>
      <w:tr w:rsidR="007D5ADE" w14:paraId="44F7B084" w14:textId="77777777" w:rsidTr="00E61B10">
        <w:trPr>
          <w:jc w:val="center"/>
        </w:trPr>
        <w:tc>
          <w:tcPr>
            <w:tcW w:w="2265" w:type="dxa"/>
            <w:vAlign w:val="center"/>
          </w:tcPr>
          <w:p w14:paraId="7434E3F2" w14:textId="0B92E35D" w:rsidR="007D5ADE" w:rsidRDefault="00D601BC" w:rsidP="007D5ADE">
            <w:pPr>
              <w:spacing w:after="0" w:line="240" w:lineRule="auto"/>
              <w:jc w:val="center"/>
              <w:rPr>
                <w:rFonts w:cs="Times New Roman"/>
              </w:rPr>
            </w:pPr>
            <w:r>
              <w:rPr>
                <w:rFonts w:cs="Times New Roman"/>
              </w:rPr>
              <w:t>LSTM-RMSE</w:t>
            </w:r>
          </w:p>
        </w:tc>
        <w:tc>
          <w:tcPr>
            <w:tcW w:w="2265" w:type="dxa"/>
            <w:vAlign w:val="center"/>
          </w:tcPr>
          <w:p w14:paraId="2C19BFFD" w14:textId="078E2126" w:rsidR="007D5ADE" w:rsidRDefault="00D601BC" w:rsidP="007D5ADE">
            <w:pPr>
              <w:spacing w:after="0" w:line="240" w:lineRule="auto"/>
              <w:jc w:val="center"/>
              <w:rPr>
                <w:rFonts w:cs="Times New Roman"/>
              </w:rPr>
            </w:pPr>
            <w:r>
              <w:rPr>
                <w:rFonts w:cs="Times New Roman"/>
              </w:rPr>
              <w:t>935.94</w:t>
            </w:r>
          </w:p>
        </w:tc>
        <w:tc>
          <w:tcPr>
            <w:tcW w:w="2266" w:type="dxa"/>
            <w:vAlign w:val="center"/>
          </w:tcPr>
          <w:p w14:paraId="72E71729" w14:textId="504B1547" w:rsidR="007D5ADE" w:rsidRDefault="00D601BC" w:rsidP="007D5ADE">
            <w:pPr>
              <w:spacing w:after="0" w:line="240" w:lineRule="auto"/>
              <w:jc w:val="center"/>
              <w:rPr>
                <w:rFonts w:cs="Times New Roman"/>
              </w:rPr>
            </w:pPr>
            <w:r>
              <w:rPr>
                <w:rFonts w:cs="Times New Roman"/>
              </w:rPr>
              <w:t>5204</w:t>
            </w:r>
          </w:p>
        </w:tc>
        <w:tc>
          <w:tcPr>
            <w:tcW w:w="2266" w:type="dxa"/>
            <w:vAlign w:val="center"/>
          </w:tcPr>
          <w:p w14:paraId="26708053" w14:textId="6C2FFD75" w:rsidR="007D5ADE" w:rsidRDefault="00B93CC6" w:rsidP="007D5ADE">
            <w:pPr>
              <w:spacing w:after="0" w:line="240" w:lineRule="auto"/>
              <w:jc w:val="center"/>
              <w:rPr>
                <w:rFonts w:cs="Times New Roman"/>
              </w:rPr>
            </w:pPr>
            <w:r>
              <w:rPr>
                <w:rFonts w:cs="Times New Roman"/>
              </w:rPr>
              <w:t>154.21</w:t>
            </w:r>
          </w:p>
        </w:tc>
      </w:tr>
      <w:tr w:rsidR="007D5ADE" w14:paraId="3E320ADB" w14:textId="77777777" w:rsidTr="00E61B10">
        <w:trPr>
          <w:jc w:val="center"/>
        </w:trPr>
        <w:tc>
          <w:tcPr>
            <w:tcW w:w="2265" w:type="dxa"/>
            <w:vAlign w:val="center"/>
          </w:tcPr>
          <w:p w14:paraId="6D3B92EA" w14:textId="1E0B0F43" w:rsidR="007D5ADE" w:rsidRDefault="00D601BC" w:rsidP="007D5ADE">
            <w:pPr>
              <w:spacing w:after="0" w:line="240" w:lineRule="auto"/>
              <w:jc w:val="center"/>
              <w:rPr>
                <w:rFonts w:cs="Times New Roman"/>
              </w:rPr>
            </w:pPr>
            <w:r>
              <w:rPr>
                <w:rFonts w:cs="Times New Roman"/>
              </w:rPr>
              <w:t>LSTM-Breite</w:t>
            </w:r>
          </w:p>
        </w:tc>
        <w:tc>
          <w:tcPr>
            <w:tcW w:w="2265" w:type="dxa"/>
            <w:vAlign w:val="center"/>
          </w:tcPr>
          <w:p w14:paraId="2180087B" w14:textId="7981F059" w:rsidR="007D5ADE" w:rsidRDefault="00D601BC" w:rsidP="007D5ADE">
            <w:pPr>
              <w:spacing w:after="0" w:line="240" w:lineRule="auto"/>
              <w:jc w:val="center"/>
              <w:rPr>
                <w:rFonts w:cs="Times New Roman"/>
              </w:rPr>
            </w:pPr>
            <w:r>
              <w:rPr>
                <w:rFonts w:cs="Times New Roman"/>
              </w:rPr>
              <w:t>696.60</w:t>
            </w:r>
          </w:p>
        </w:tc>
        <w:tc>
          <w:tcPr>
            <w:tcW w:w="2266" w:type="dxa"/>
            <w:vAlign w:val="center"/>
          </w:tcPr>
          <w:p w14:paraId="47D218B2" w14:textId="3BC689AF" w:rsidR="007D5ADE" w:rsidRDefault="00D601BC" w:rsidP="007D5ADE">
            <w:pPr>
              <w:spacing w:after="0" w:line="240" w:lineRule="auto"/>
              <w:jc w:val="center"/>
              <w:rPr>
                <w:rFonts w:cs="Times New Roman"/>
              </w:rPr>
            </w:pPr>
            <w:r>
              <w:rPr>
                <w:rFonts w:cs="Times New Roman"/>
              </w:rPr>
              <w:t>6673</w:t>
            </w:r>
          </w:p>
        </w:tc>
        <w:tc>
          <w:tcPr>
            <w:tcW w:w="2266" w:type="dxa"/>
            <w:vAlign w:val="center"/>
          </w:tcPr>
          <w:p w14:paraId="620A3F7A" w14:textId="76ABFEB7" w:rsidR="007D5ADE" w:rsidRDefault="00B93CC6" w:rsidP="007D5ADE">
            <w:pPr>
              <w:spacing w:after="0" w:line="240" w:lineRule="auto"/>
              <w:jc w:val="center"/>
              <w:rPr>
                <w:rFonts w:cs="Times New Roman"/>
              </w:rPr>
            </w:pPr>
            <w:r>
              <w:rPr>
                <w:rFonts w:cs="Times New Roman"/>
              </w:rPr>
              <w:t>291.60</w:t>
            </w:r>
          </w:p>
        </w:tc>
      </w:tr>
      <w:tr w:rsidR="007D5ADE" w14:paraId="16AEB4DB" w14:textId="77777777" w:rsidTr="00E61B10">
        <w:trPr>
          <w:jc w:val="center"/>
        </w:trPr>
        <w:tc>
          <w:tcPr>
            <w:tcW w:w="2265" w:type="dxa"/>
            <w:vAlign w:val="center"/>
          </w:tcPr>
          <w:p w14:paraId="20D73DBD" w14:textId="11579100" w:rsidR="007D5ADE" w:rsidRDefault="00D601BC" w:rsidP="007D5ADE">
            <w:pPr>
              <w:spacing w:after="0" w:line="240" w:lineRule="auto"/>
              <w:jc w:val="center"/>
              <w:rPr>
                <w:rFonts w:cs="Times New Roman"/>
              </w:rPr>
            </w:pPr>
            <w:r>
              <w:rPr>
                <w:rFonts w:cs="Times New Roman"/>
              </w:rPr>
              <w:t>LSTM-Crossing</w:t>
            </w:r>
          </w:p>
        </w:tc>
        <w:tc>
          <w:tcPr>
            <w:tcW w:w="2265" w:type="dxa"/>
            <w:vAlign w:val="center"/>
          </w:tcPr>
          <w:p w14:paraId="7C684EC1" w14:textId="2D5BD4B2" w:rsidR="007D5ADE" w:rsidRDefault="00D601BC" w:rsidP="007D5ADE">
            <w:pPr>
              <w:spacing w:after="0" w:line="240" w:lineRule="auto"/>
              <w:jc w:val="center"/>
              <w:rPr>
                <w:rFonts w:cs="Times New Roman"/>
              </w:rPr>
            </w:pPr>
            <w:r>
              <w:rPr>
                <w:rFonts w:cs="Times New Roman"/>
              </w:rPr>
              <w:t>0.00 %</w:t>
            </w:r>
          </w:p>
        </w:tc>
        <w:tc>
          <w:tcPr>
            <w:tcW w:w="2266" w:type="dxa"/>
            <w:vAlign w:val="center"/>
          </w:tcPr>
          <w:p w14:paraId="48A22CD0" w14:textId="6E4102F1" w:rsidR="007D5ADE" w:rsidRDefault="00D601BC" w:rsidP="007D5ADE">
            <w:pPr>
              <w:spacing w:after="0" w:line="240" w:lineRule="auto"/>
              <w:jc w:val="center"/>
              <w:rPr>
                <w:rFonts w:cs="Times New Roman"/>
              </w:rPr>
            </w:pPr>
            <w:r>
              <w:rPr>
                <w:rFonts w:cs="Times New Roman"/>
              </w:rPr>
              <w:t>0.00 %</w:t>
            </w:r>
          </w:p>
        </w:tc>
        <w:tc>
          <w:tcPr>
            <w:tcW w:w="2266" w:type="dxa"/>
            <w:vAlign w:val="center"/>
          </w:tcPr>
          <w:p w14:paraId="109DF438" w14:textId="086AFC88" w:rsidR="007D5ADE" w:rsidRDefault="00B93CC6" w:rsidP="007D5ADE">
            <w:pPr>
              <w:spacing w:after="0" w:line="240" w:lineRule="auto"/>
              <w:jc w:val="center"/>
              <w:rPr>
                <w:rFonts w:cs="Times New Roman"/>
              </w:rPr>
            </w:pPr>
            <w:r>
              <w:rPr>
                <w:rFonts w:cs="Times New Roman"/>
              </w:rPr>
              <w:t>0.00 %</w:t>
            </w:r>
          </w:p>
        </w:tc>
      </w:tr>
      <w:tr w:rsidR="007D5ADE" w14:paraId="5CA3C01E" w14:textId="77777777" w:rsidTr="00E61B10">
        <w:trPr>
          <w:jc w:val="center"/>
        </w:trPr>
        <w:tc>
          <w:tcPr>
            <w:tcW w:w="2265" w:type="dxa"/>
            <w:vAlign w:val="center"/>
          </w:tcPr>
          <w:p w14:paraId="475CE4FD" w14:textId="59304481" w:rsidR="007D5ADE" w:rsidRDefault="00D601BC" w:rsidP="007D5ADE">
            <w:pPr>
              <w:spacing w:after="0" w:line="240" w:lineRule="auto"/>
              <w:jc w:val="center"/>
              <w:rPr>
                <w:rFonts w:cs="Times New Roman"/>
              </w:rPr>
            </w:pPr>
            <w:r>
              <w:rPr>
                <w:rFonts w:cs="Times New Roman"/>
              </w:rPr>
              <w:t>RNN-PICP</w:t>
            </w:r>
          </w:p>
        </w:tc>
        <w:tc>
          <w:tcPr>
            <w:tcW w:w="2265" w:type="dxa"/>
            <w:vAlign w:val="center"/>
          </w:tcPr>
          <w:p w14:paraId="51C996ED" w14:textId="6F1E0EE5" w:rsidR="007D5ADE" w:rsidRDefault="00D601BC" w:rsidP="007D5ADE">
            <w:pPr>
              <w:spacing w:after="0" w:line="240" w:lineRule="auto"/>
              <w:jc w:val="center"/>
              <w:rPr>
                <w:rFonts w:cs="Times New Roman"/>
              </w:rPr>
            </w:pPr>
            <w:r>
              <w:rPr>
                <w:rFonts w:cs="Times New Roman"/>
              </w:rPr>
              <w:t>92.19 %</w:t>
            </w:r>
          </w:p>
        </w:tc>
        <w:tc>
          <w:tcPr>
            <w:tcW w:w="2266" w:type="dxa"/>
            <w:vAlign w:val="center"/>
          </w:tcPr>
          <w:p w14:paraId="3DAFD3D8" w14:textId="31A6B08B" w:rsidR="007D5ADE" w:rsidRDefault="00D601BC" w:rsidP="007D5ADE">
            <w:pPr>
              <w:spacing w:after="0" w:line="240" w:lineRule="auto"/>
              <w:jc w:val="center"/>
              <w:rPr>
                <w:rFonts w:cs="Times New Roman"/>
              </w:rPr>
            </w:pPr>
            <w:r>
              <w:rPr>
                <w:rFonts w:cs="Times New Roman"/>
              </w:rPr>
              <w:t>91.67 %</w:t>
            </w:r>
          </w:p>
        </w:tc>
        <w:tc>
          <w:tcPr>
            <w:tcW w:w="2266" w:type="dxa"/>
            <w:vAlign w:val="center"/>
          </w:tcPr>
          <w:p w14:paraId="1D5EE5D4" w14:textId="07F489C0" w:rsidR="007D5ADE" w:rsidRDefault="00B93CC6" w:rsidP="007D5ADE">
            <w:pPr>
              <w:spacing w:after="0" w:line="240" w:lineRule="auto"/>
              <w:jc w:val="center"/>
              <w:rPr>
                <w:rFonts w:cs="Times New Roman"/>
              </w:rPr>
            </w:pPr>
            <w:r>
              <w:rPr>
                <w:rFonts w:cs="Times New Roman"/>
              </w:rPr>
              <w:t>97.55 %</w:t>
            </w:r>
          </w:p>
        </w:tc>
      </w:tr>
      <w:tr w:rsidR="007D5ADE" w14:paraId="6B9F5466" w14:textId="77777777" w:rsidTr="00E61B10">
        <w:trPr>
          <w:jc w:val="center"/>
        </w:trPr>
        <w:tc>
          <w:tcPr>
            <w:tcW w:w="2265" w:type="dxa"/>
            <w:vAlign w:val="center"/>
          </w:tcPr>
          <w:p w14:paraId="110E3164" w14:textId="69E720EC" w:rsidR="007D5ADE" w:rsidRDefault="00D601BC" w:rsidP="007D5ADE">
            <w:pPr>
              <w:spacing w:after="0" w:line="240" w:lineRule="auto"/>
              <w:jc w:val="center"/>
              <w:rPr>
                <w:rFonts w:cs="Times New Roman"/>
              </w:rPr>
            </w:pPr>
            <w:r>
              <w:rPr>
                <w:rFonts w:cs="Times New Roman"/>
              </w:rPr>
              <w:t>RNN-RMSE</w:t>
            </w:r>
          </w:p>
        </w:tc>
        <w:tc>
          <w:tcPr>
            <w:tcW w:w="2265" w:type="dxa"/>
            <w:vAlign w:val="center"/>
          </w:tcPr>
          <w:p w14:paraId="688991C8" w14:textId="0B6466B1" w:rsidR="007D5ADE" w:rsidRDefault="00D601BC" w:rsidP="007D5ADE">
            <w:pPr>
              <w:spacing w:after="0" w:line="240" w:lineRule="auto"/>
              <w:jc w:val="center"/>
              <w:rPr>
                <w:rFonts w:cs="Times New Roman"/>
              </w:rPr>
            </w:pPr>
            <w:r>
              <w:rPr>
                <w:rFonts w:cs="Times New Roman"/>
              </w:rPr>
              <w:t>126.23</w:t>
            </w:r>
          </w:p>
        </w:tc>
        <w:tc>
          <w:tcPr>
            <w:tcW w:w="2266" w:type="dxa"/>
            <w:vAlign w:val="center"/>
          </w:tcPr>
          <w:p w14:paraId="00AA984D" w14:textId="52B2F91E" w:rsidR="007D5ADE" w:rsidRDefault="00D601BC" w:rsidP="007D5ADE">
            <w:pPr>
              <w:spacing w:after="0" w:line="240" w:lineRule="auto"/>
              <w:jc w:val="center"/>
              <w:rPr>
                <w:rFonts w:cs="Times New Roman"/>
              </w:rPr>
            </w:pPr>
            <w:r>
              <w:rPr>
                <w:rFonts w:cs="Times New Roman"/>
              </w:rPr>
              <w:t>1945</w:t>
            </w:r>
          </w:p>
        </w:tc>
        <w:tc>
          <w:tcPr>
            <w:tcW w:w="2266" w:type="dxa"/>
            <w:vAlign w:val="center"/>
          </w:tcPr>
          <w:p w14:paraId="2BA17201" w14:textId="79F0BA41" w:rsidR="007D5ADE" w:rsidRDefault="00B93CC6" w:rsidP="007D5ADE">
            <w:pPr>
              <w:spacing w:after="0" w:line="240" w:lineRule="auto"/>
              <w:jc w:val="center"/>
              <w:rPr>
                <w:rFonts w:cs="Times New Roman"/>
              </w:rPr>
            </w:pPr>
            <w:r>
              <w:rPr>
                <w:rFonts w:cs="Times New Roman"/>
              </w:rPr>
              <w:t>56.83</w:t>
            </w:r>
          </w:p>
        </w:tc>
      </w:tr>
      <w:tr w:rsidR="007D5ADE" w14:paraId="6772C48E" w14:textId="77777777" w:rsidTr="00E61B10">
        <w:trPr>
          <w:jc w:val="center"/>
        </w:trPr>
        <w:tc>
          <w:tcPr>
            <w:tcW w:w="2265" w:type="dxa"/>
            <w:vAlign w:val="center"/>
          </w:tcPr>
          <w:p w14:paraId="5A75AFB2" w14:textId="402510B5" w:rsidR="007D5ADE" w:rsidRDefault="00D601BC" w:rsidP="007D5ADE">
            <w:pPr>
              <w:spacing w:after="0" w:line="240" w:lineRule="auto"/>
              <w:jc w:val="center"/>
              <w:rPr>
                <w:rFonts w:cs="Times New Roman"/>
              </w:rPr>
            </w:pPr>
            <w:r>
              <w:rPr>
                <w:rFonts w:cs="Times New Roman"/>
              </w:rPr>
              <w:t>RNN-Breite</w:t>
            </w:r>
          </w:p>
        </w:tc>
        <w:tc>
          <w:tcPr>
            <w:tcW w:w="2265" w:type="dxa"/>
            <w:vAlign w:val="center"/>
          </w:tcPr>
          <w:p w14:paraId="6FE231C7" w14:textId="2ACDE4C7" w:rsidR="007D5ADE" w:rsidRDefault="00D601BC" w:rsidP="007D5ADE">
            <w:pPr>
              <w:spacing w:after="0" w:line="240" w:lineRule="auto"/>
              <w:jc w:val="center"/>
              <w:rPr>
                <w:rFonts w:cs="Times New Roman"/>
              </w:rPr>
            </w:pPr>
            <w:r>
              <w:rPr>
                <w:rFonts w:cs="Times New Roman"/>
              </w:rPr>
              <w:t>409.91</w:t>
            </w:r>
          </w:p>
        </w:tc>
        <w:tc>
          <w:tcPr>
            <w:tcW w:w="2266" w:type="dxa"/>
            <w:vAlign w:val="center"/>
          </w:tcPr>
          <w:p w14:paraId="539C91A2" w14:textId="510BE21B" w:rsidR="007D5ADE" w:rsidRDefault="00D601BC" w:rsidP="007D5ADE">
            <w:pPr>
              <w:spacing w:after="0" w:line="240" w:lineRule="auto"/>
              <w:jc w:val="center"/>
              <w:rPr>
                <w:rFonts w:cs="Times New Roman"/>
              </w:rPr>
            </w:pPr>
            <w:r>
              <w:rPr>
                <w:rFonts w:cs="Times New Roman"/>
              </w:rPr>
              <w:t>6222</w:t>
            </w:r>
          </w:p>
        </w:tc>
        <w:tc>
          <w:tcPr>
            <w:tcW w:w="2266" w:type="dxa"/>
            <w:vAlign w:val="center"/>
          </w:tcPr>
          <w:p w14:paraId="388BD4E2" w14:textId="7628C7EB" w:rsidR="007D5ADE" w:rsidRDefault="00B93CC6" w:rsidP="007D5ADE">
            <w:pPr>
              <w:spacing w:after="0" w:line="240" w:lineRule="auto"/>
              <w:jc w:val="center"/>
              <w:rPr>
                <w:rFonts w:cs="Times New Roman"/>
              </w:rPr>
            </w:pPr>
            <w:r>
              <w:rPr>
                <w:rFonts w:cs="Times New Roman"/>
              </w:rPr>
              <w:t>233.33</w:t>
            </w:r>
          </w:p>
        </w:tc>
      </w:tr>
      <w:tr w:rsidR="007D5ADE" w14:paraId="5956FD5B" w14:textId="77777777" w:rsidTr="00E61B10">
        <w:trPr>
          <w:jc w:val="center"/>
        </w:trPr>
        <w:tc>
          <w:tcPr>
            <w:tcW w:w="2265" w:type="dxa"/>
            <w:vAlign w:val="center"/>
          </w:tcPr>
          <w:p w14:paraId="38EB6F5A" w14:textId="492BF556" w:rsidR="007D5ADE" w:rsidRDefault="00D601BC" w:rsidP="007D5ADE">
            <w:pPr>
              <w:spacing w:after="0" w:line="240" w:lineRule="auto"/>
              <w:jc w:val="center"/>
              <w:rPr>
                <w:rFonts w:cs="Times New Roman"/>
              </w:rPr>
            </w:pPr>
            <w:r>
              <w:rPr>
                <w:rFonts w:cs="Times New Roman"/>
              </w:rPr>
              <w:t>RNN-Crossing</w:t>
            </w:r>
          </w:p>
        </w:tc>
        <w:tc>
          <w:tcPr>
            <w:tcW w:w="2265" w:type="dxa"/>
            <w:vAlign w:val="center"/>
          </w:tcPr>
          <w:p w14:paraId="3B1B9B86" w14:textId="06D77DE6" w:rsidR="007D5ADE" w:rsidRDefault="00D601BC" w:rsidP="007D5ADE">
            <w:pPr>
              <w:spacing w:after="0" w:line="240" w:lineRule="auto"/>
              <w:jc w:val="center"/>
              <w:rPr>
                <w:rFonts w:cs="Times New Roman"/>
              </w:rPr>
            </w:pPr>
            <w:r>
              <w:rPr>
                <w:rFonts w:cs="Times New Roman"/>
              </w:rPr>
              <w:t>0.00 %</w:t>
            </w:r>
          </w:p>
        </w:tc>
        <w:tc>
          <w:tcPr>
            <w:tcW w:w="2266" w:type="dxa"/>
            <w:vAlign w:val="center"/>
          </w:tcPr>
          <w:p w14:paraId="2D2A36A0" w14:textId="0A61CA2D" w:rsidR="007D5ADE" w:rsidRDefault="00D601BC" w:rsidP="007D5ADE">
            <w:pPr>
              <w:spacing w:after="0" w:line="240" w:lineRule="auto"/>
              <w:jc w:val="center"/>
              <w:rPr>
                <w:rFonts w:cs="Times New Roman"/>
              </w:rPr>
            </w:pPr>
            <w:r>
              <w:rPr>
                <w:rFonts w:cs="Times New Roman"/>
              </w:rPr>
              <w:t>0.00 %</w:t>
            </w:r>
          </w:p>
        </w:tc>
        <w:tc>
          <w:tcPr>
            <w:tcW w:w="2266" w:type="dxa"/>
            <w:vAlign w:val="center"/>
          </w:tcPr>
          <w:p w14:paraId="477E74E3" w14:textId="1F48FEE6" w:rsidR="007D5ADE" w:rsidRDefault="00B93CC6" w:rsidP="007D5ADE">
            <w:pPr>
              <w:spacing w:after="0" w:line="240" w:lineRule="auto"/>
              <w:jc w:val="center"/>
              <w:rPr>
                <w:rFonts w:cs="Times New Roman"/>
              </w:rPr>
            </w:pPr>
            <w:r>
              <w:rPr>
                <w:rFonts w:cs="Times New Roman"/>
              </w:rPr>
              <w:t>0.00 %</w:t>
            </w:r>
          </w:p>
        </w:tc>
      </w:tr>
      <w:tr w:rsidR="007D5ADE" w14:paraId="1B878949" w14:textId="77777777" w:rsidTr="00E61B10">
        <w:trPr>
          <w:jc w:val="center"/>
        </w:trPr>
        <w:tc>
          <w:tcPr>
            <w:tcW w:w="2265" w:type="dxa"/>
            <w:vAlign w:val="center"/>
          </w:tcPr>
          <w:p w14:paraId="7942848A" w14:textId="32E72B9C" w:rsidR="007D5ADE" w:rsidRDefault="00D601BC" w:rsidP="007D5ADE">
            <w:pPr>
              <w:spacing w:after="0" w:line="240" w:lineRule="auto"/>
              <w:jc w:val="center"/>
              <w:rPr>
                <w:rFonts w:cs="Times New Roman"/>
              </w:rPr>
            </w:pPr>
            <w:r>
              <w:rPr>
                <w:rFonts w:cs="Times New Roman"/>
              </w:rPr>
              <w:t>Train</w:t>
            </w:r>
          </w:p>
        </w:tc>
        <w:tc>
          <w:tcPr>
            <w:tcW w:w="2265" w:type="dxa"/>
            <w:vAlign w:val="center"/>
          </w:tcPr>
          <w:p w14:paraId="07E3A556" w14:textId="5B3463A4" w:rsidR="007D5ADE" w:rsidRDefault="00D601BC" w:rsidP="007D5ADE">
            <w:pPr>
              <w:spacing w:after="0" w:line="240" w:lineRule="auto"/>
              <w:jc w:val="center"/>
              <w:rPr>
                <w:rFonts w:cs="Times New Roman"/>
              </w:rPr>
            </w:pPr>
            <w:r>
              <w:rPr>
                <w:rFonts w:cs="Times New Roman"/>
              </w:rPr>
              <w:t>692</w:t>
            </w:r>
          </w:p>
        </w:tc>
        <w:tc>
          <w:tcPr>
            <w:tcW w:w="2266" w:type="dxa"/>
            <w:vAlign w:val="center"/>
          </w:tcPr>
          <w:p w14:paraId="434A89D1" w14:textId="5A64E44E" w:rsidR="007D5ADE" w:rsidRDefault="00D601BC" w:rsidP="007D5ADE">
            <w:pPr>
              <w:spacing w:after="0" w:line="240" w:lineRule="auto"/>
              <w:jc w:val="center"/>
              <w:rPr>
                <w:rFonts w:cs="Times New Roman"/>
              </w:rPr>
            </w:pPr>
            <w:r>
              <w:rPr>
                <w:rFonts w:cs="Times New Roman"/>
              </w:rPr>
              <w:t>173</w:t>
            </w:r>
          </w:p>
        </w:tc>
        <w:tc>
          <w:tcPr>
            <w:tcW w:w="2266" w:type="dxa"/>
            <w:vAlign w:val="center"/>
          </w:tcPr>
          <w:p w14:paraId="1D95EBE6" w14:textId="75D409ED" w:rsidR="007D5ADE" w:rsidRDefault="00B93CC6" w:rsidP="007D5ADE">
            <w:pPr>
              <w:spacing w:after="0" w:line="240" w:lineRule="auto"/>
              <w:jc w:val="center"/>
              <w:rPr>
                <w:rFonts w:cs="Times New Roman"/>
              </w:rPr>
            </w:pPr>
            <w:r>
              <w:rPr>
                <w:rFonts w:cs="Times New Roman"/>
              </w:rPr>
              <w:t>3384</w:t>
            </w:r>
          </w:p>
        </w:tc>
      </w:tr>
      <w:tr w:rsidR="007D5ADE" w14:paraId="68A60158" w14:textId="77777777" w:rsidTr="00E61B10">
        <w:trPr>
          <w:jc w:val="center"/>
        </w:trPr>
        <w:tc>
          <w:tcPr>
            <w:tcW w:w="2265" w:type="dxa"/>
            <w:vAlign w:val="center"/>
          </w:tcPr>
          <w:p w14:paraId="39AA67DF" w14:textId="6FDB293E" w:rsidR="007D5ADE" w:rsidRDefault="00D601BC" w:rsidP="007D5ADE">
            <w:pPr>
              <w:spacing w:after="0" w:line="240" w:lineRule="auto"/>
              <w:jc w:val="center"/>
              <w:rPr>
                <w:rFonts w:cs="Times New Roman"/>
              </w:rPr>
            </w:pPr>
            <w:r>
              <w:rPr>
                <w:rFonts w:cs="Times New Roman"/>
              </w:rPr>
              <w:t>Validierung</w:t>
            </w:r>
          </w:p>
        </w:tc>
        <w:tc>
          <w:tcPr>
            <w:tcW w:w="2265" w:type="dxa"/>
            <w:vAlign w:val="center"/>
          </w:tcPr>
          <w:p w14:paraId="595FB23F" w14:textId="770E6103" w:rsidR="007D5ADE" w:rsidRDefault="00D601BC" w:rsidP="007D5ADE">
            <w:pPr>
              <w:spacing w:after="0" w:line="240" w:lineRule="auto"/>
              <w:jc w:val="center"/>
              <w:rPr>
                <w:rFonts w:cs="Times New Roman"/>
              </w:rPr>
            </w:pPr>
            <w:r>
              <w:rPr>
                <w:rFonts w:cs="Times New Roman"/>
              </w:rPr>
              <w:t>76</w:t>
            </w:r>
          </w:p>
        </w:tc>
        <w:tc>
          <w:tcPr>
            <w:tcW w:w="2266" w:type="dxa"/>
            <w:vAlign w:val="center"/>
          </w:tcPr>
          <w:p w14:paraId="47460BBB" w14:textId="2A5A4E72" w:rsidR="007D5ADE" w:rsidRDefault="00D601BC" w:rsidP="007D5ADE">
            <w:pPr>
              <w:spacing w:after="0" w:line="240" w:lineRule="auto"/>
              <w:jc w:val="center"/>
              <w:rPr>
                <w:rFonts w:cs="Times New Roman"/>
              </w:rPr>
            </w:pPr>
            <w:r>
              <w:rPr>
                <w:rFonts w:cs="Times New Roman"/>
              </w:rPr>
              <w:t>19</w:t>
            </w:r>
          </w:p>
        </w:tc>
        <w:tc>
          <w:tcPr>
            <w:tcW w:w="2266" w:type="dxa"/>
            <w:vAlign w:val="center"/>
          </w:tcPr>
          <w:p w14:paraId="653CCD8A" w14:textId="0AC934E8" w:rsidR="007D5ADE" w:rsidRDefault="00B93CC6" w:rsidP="007D5ADE">
            <w:pPr>
              <w:spacing w:after="0" w:line="240" w:lineRule="auto"/>
              <w:jc w:val="center"/>
              <w:rPr>
                <w:rFonts w:cs="Times New Roman"/>
              </w:rPr>
            </w:pPr>
            <w:r>
              <w:rPr>
                <w:rFonts w:cs="Times New Roman"/>
              </w:rPr>
              <w:t>376</w:t>
            </w:r>
          </w:p>
        </w:tc>
      </w:tr>
      <w:tr w:rsidR="007D5ADE" w14:paraId="73FF060E" w14:textId="77777777" w:rsidTr="00E61B10">
        <w:trPr>
          <w:jc w:val="center"/>
        </w:trPr>
        <w:tc>
          <w:tcPr>
            <w:tcW w:w="2265" w:type="dxa"/>
            <w:vAlign w:val="center"/>
          </w:tcPr>
          <w:p w14:paraId="438E817B" w14:textId="0A2BB92F" w:rsidR="007D5ADE" w:rsidRDefault="00D601BC" w:rsidP="007D5ADE">
            <w:pPr>
              <w:spacing w:after="0" w:line="240" w:lineRule="auto"/>
              <w:jc w:val="center"/>
              <w:rPr>
                <w:rFonts w:cs="Times New Roman"/>
              </w:rPr>
            </w:pPr>
            <w:r>
              <w:rPr>
                <w:rFonts w:cs="Times New Roman"/>
              </w:rPr>
              <w:t>Test</w:t>
            </w:r>
          </w:p>
        </w:tc>
        <w:tc>
          <w:tcPr>
            <w:tcW w:w="2265" w:type="dxa"/>
            <w:vAlign w:val="center"/>
          </w:tcPr>
          <w:p w14:paraId="4D0A36D5" w14:textId="09E6E1CE" w:rsidR="007D5ADE" w:rsidRDefault="00D601BC" w:rsidP="007D5ADE">
            <w:pPr>
              <w:spacing w:after="0" w:line="240" w:lineRule="auto"/>
              <w:jc w:val="center"/>
              <w:rPr>
                <w:rFonts w:cs="Times New Roman"/>
              </w:rPr>
            </w:pPr>
            <w:r>
              <w:rPr>
                <w:rFonts w:cs="Times New Roman"/>
              </w:rPr>
              <w:t>192</w:t>
            </w:r>
          </w:p>
        </w:tc>
        <w:tc>
          <w:tcPr>
            <w:tcW w:w="2266" w:type="dxa"/>
            <w:vAlign w:val="center"/>
          </w:tcPr>
          <w:p w14:paraId="1BE6597B" w14:textId="71C4FC90" w:rsidR="007D5ADE" w:rsidRDefault="00D601BC" w:rsidP="007D5ADE">
            <w:pPr>
              <w:spacing w:after="0" w:line="240" w:lineRule="auto"/>
              <w:jc w:val="center"/>
              <w:rPr>
                <w:rFonts w:cs="Times New Roman"/>
              </w:rPr>
            </w:pPr>
            <w:r>
              <w:rPr>
                <w:rFonts w:cs="Times New Roman"/>
              </w:rPr>
              <w:t>48</w:t>
            </w:r>
          </w:p>
        </w:tc>
        <w:tc>
          <w:tcPr>
            <w:tcW w:w="2266" w:type="dxa"/>
            <w:vAlign w:val="center"/>
          </w:tcPr>
          <w:p w14:paraId="6F037DD3" w14:textId="7DF6C0B4" w:rsidR="007D5ADE" w:rsidRDefault="00B93CC6" w:rsidP="007D5ADE">
            <w:pPr>
              <w:spacing w:after="0" w:line="240" w:lineRule="auto"/>
              <w:jc w:val="center"/>
              <w:rPr>
                <w:rFonts w:cs="Times New Roman"/>
              </w:rPr>
            </w:pPr>
            <w:r>
              <w:rPr>
                <w:rFonts w:cs="Times New Roman"/>
              </w:rPr>
              <w:t>940</w:t>
            </w:r>
          </w:p>
        </w:tc>
      </w:tr>
      <w:tr w:rsidR="007D5ADE" w14:paraId="3C71B04F" w14:textId="77777777" w:rsidTr="00E61B10">
        <w:trPr>
          <w:jc w:val="center"/>
        </w:trPr>
        <w:tc>
          <w:tcPr>
            <w:tcW w:w="2265" w:type="dxa"/>
            <w:vAlign w:val="center"/>
          </w:tcPr>
          <w:p w14:paraId="19983169" w14:textId="4D22A1BA" w:rsidR="007D5ADE" w:rsidRDefault="00D601BC" w:rsidP="007D5ADE">
            <w:pPr>
              <w:spacing w:after="0" w:line="240" w:lineRule="auto"/>
              <w:jc w:val="center"/>
              <w:rPr>
                <w:rFonts w:cs="Times New Roman"/>
              </w:rPr>
            </w:pPr>
            <w:r>
              <w:rPr>
                <w:rFonts w:cs="Times New Roman"/>
              </w:rPr>
              <w:t>Fenster</w:t>
            </w:r>
          </w:p>
        </w:tc>
        <w:tc>
          <w:tcPr>
            <w:tcW w:w="2265" w:type="dxa"/>
            <w:vAlign w:val="center"/>
          </w:tcPr>
          <w:p w14:paraId="7EAC5964" w14:textId="30075ED9" w:rsidR="007D5ADE" w:rsidRDefault="00D601BC" w:rsidP="007D5ADE">
            <w:pPr>
              <w:spacing w:after="0" w:line="240" w:lineRule="auto"/>
              <w:jc w:val="center"/>
              <w:rPr>
                <w:rFonts w:cs="Times New Roman"/>
              </w:rPr>
            </w:pPr>
            <w:r>
              <w:rPr>
                <w:rFonts w:cs="Times New Roman"/>
              </w:rPr>
              <w:t>96</w:t>
            </w:r>
          </w:p>
        </w:tc>
        <w:tc>
          <w:tcPr>
            <w:tcW w:w="2266" w:type="dxa"/>
            <w:vAlign w:val="center"/>
          </w:tcPr>
          <w:p w14:paraId="34EE3FC6" w14:textId="59616B25" w:rsidR="007D5ADE" w:rsidRDefault="00D601BC" w:rsidP="007D5ADE">
            <w:pPr>
              <w:spacing w:after="0" w:line="240" w:lineRule="auto"/>
              <w:jc w:val="center"/>
              <w:rPr>
                <w:rFonts w:cs="Times New Roman"/>
              </w:rPr>
            </w:pPr>
            <w:r>
              <w:rPr>
                <w:rFonts w:cs="Times New Roman"/>
              </w:rPr>
              <w:t>24</w:t>
            </w:r>
          </w:p>
        </w:tc>
        <w:tc>
          <w:tcPr>
            <w:tcW w:w="2266" w:type="dxa"/>
            <w:vAlign w:val="center"/>
          </w:tcPr>
          <w:p w14:paraId="33115EE1" w14:textId="402D5894" w:rsidR="007D5ADE" w:rsidRDefault="00B93CC6" w:rsidP="007D5ADE">
            <w:pPr>
              <w:spacing w:after="0" w:line="240" w:lineRule="auto"/>
              <w:jc w:val="center"/>
              <w:rPr>
                <w:rFonts w:cs="Times New Roman"/>
              </w:rPr>
            </w:pPr>
            <w:r>
              <w:rPr>
                <w:rFonts w:cs="Times New Roman"/>
              </w:rPr>
              <w:t>96</w:t>
            </w:r>
          </w:p>
        </w:tc>
      </w:tr>
    </w:tbl>
    <w:p w14:paraId="225E9869" w14:textId="77777777" w:rsidR="007D5ADE" w:rsidRDefault="007D5ADE" w:rsidP="00C501FD">
      <w:pPr>
        <w:rPr>
          <w:rFonts w:cs="Times New Roman"/>
        </w:rPr>
      </w:pPr>
    </w:p>
    <w:p w14:paraId="7DD50F45" w14:textId="27A47344" w:rsidR="00AD583A" w:rsidRDefault="00AD583A" w:rsidP="00C501FD">
      <w:pPr>
        <w:rPr>
          <w:rFonts w:cs="Times New Roman"/>
        </w:rPr>
      </w:pPr>
      <w:r>
        <w:rPr>
          <w:rFonts w:cs="Times New Roman"/>
        </w:rPr>
        <w:t xml:space="preserve">Im direkten Vergleich der Modellarchitekturen </w:t>
      </w:r>
      <w:r w:rsidR="00B74F7A">
        <w:rPr>
          <w:rFonts w:cs="Times New Roman"/>
        </w:rPr>
        <w:t xml:space="preserve">(Tabelle 4.1) </w:t>
      </w:r>
      <w:r>
        <w:rPr>
          <w:rFonts w:cs="Times New Roman"/>
        </w:rPr>
        <w:t xml:space="preserve">erzielt das RNN konsistent bessere Punktprognosen und breitere, konservativere Intervallabdeckungen. Während das LSTM im kurzen 15-Minuten-Datensatz einen RMSE von 935.94 MWh aufweist, liegt der RMSE des </w:t>
      </w:r>
      <w:r>
        <w:rPr>
          <w:rFonts w:cs="Times New Roman"/>
        </w:rPr>
        <w:lastRenderedPageBreak/>
        <w:t>RNN mit 126.23 MWh um ein Vielfaches niedriger. Das RNN erreicht hinsichtlich der Intervallabdeckung im umfangreichen Datensatz (März-April 2026) einen PICP-Wert von 97.55 %, während das LSTM mit 82.23 % sehr nahe am nominellen Zielwert des 80 %-Konfidenzintervalls liegt.</w:t>
      </w:r>
    </w:p>
    <w:p w14:paraId="1D57A3DC" w14:textId="406CB722" w:rsidR="00AD583A" w:rsidRDefault="00AD583A" w:rsidP="00C501FD">
      <w:pPr>
        <w:rPr>
          <w:rFonts w:cs="Times New Roman"/>
        </w:rPr>
      </w:pPr>
      <w:r>
        <w:rPr>
          <w:rFonts w:cs="Times New Roman"/>
        </w:rPr>
        <w:t>Mit Vergrößerung des Schrittintervalls von 15 auf 60 Minuten nimmt die Modellunsicherheit deutlich zu. Dabei steigt der Median-RMSE des LSTMs von 935.94 auf 5204 MWh, wobei sich die mittlere Intervallbreite von 696.60 auf 6673 MWh ungefähr verzehnfacht. Diese Beobachtung lässt sich dadurch begründen, dass pro Zeitschritt ein wesentlich größerer Energiebetrag aggregiert wird und flüchtige Zwischenschwankungen verloren gehen.</w:t>
      </w:r>
    </w:p>
    <w:p w14:paraId="761216A8" w14:textId="70ED4096" w:rsidR="00AD583A" w:rsidRDefault="00AD583A" w:rsidP="00C501FD">
      <w:pPr>
        <w:rPr>
          <w:rFonts w:cs="Times New Roman"/>
        </w:rPr>
      </w:pPr>
      <w:r>
        <w:rPr>
          <w:rFonts w:cs="Times New Roman"/>
        </w:rPr>
        <w:t xml:space="preserve">Die Vervielfachung des Trainingsumfangs von 692 auf 3384 Sequenzen im März-April Datensatz führt zu einer signifikanten Verschärfung und Präzisierung der Vorhersageintervalle. Dabei sinkt die mittlere Intervallbreite </w:t>
      </w:r>
      <w:r w:rsidR="00B74F7A">
        <w:rPr>
          <w:rFonts w:cs="Times New Roman"/>
        </w:rPr>
        <w:t xml:space="preserve">von </w:t>
      </w:r>
      <w:r>
        <w:rPr>
          <w:rFonts w:cs="Times New Roman"/>
        </w:rPr>
        <w:t>696.60 auf 291.60 MWh, während der PICP-Wert von 62.50 auf 82.23 % ansteigt.</w:t>
      </w:r>
      <w:r w:rsidR="00574B3A">
        <w:rPr>
          <w:rFonts w:cs="Times New Roman"/>
        </w:rPr>
        <w:t xml:space="preserve"> Damit wird die angestrebte 80 % Abdeckung des Konfidenzintervalls nahezu perfekt getroffen. Beim RNN verringert sich die Intervallbreite von 409.91 auf 233.33 MWh bei einer hohen Abdeckungsrate von 97.55 %. Durch das zusätzliche Datenvolumen wird den Modellen somit ein deutlich schärferes Unsicherheitsband bei gleichzeitig hoher Verlässlichkeit ermöglicht.</w:t>
      </w:r>
    </w:p>
    <w:p w14:paraId="5A9B8413" w14:textId="3C88F20D" w:rsidR="00574B3A" w:rsidRPr="00C501FD" w:rsidRDefault="00574B3A" w:rsidP="00C501FD">
      <w:pPr>
        <w:rPr>
          <w:rFonts w:cs="Times New Roman"/>
        </w:rPr>
      </w:pPr>
      <w:r>
        <w:rPr>
          <w:rFonts w:cs="Times New Roman"/>
        </w:rPr>
        <w:t>Sowohl das LSTM als auch das RNN weisen eine Quantile Crossing Rate von 0.00 % auf. Das bedeutet, dass die mathematische Reihenfolge der ausgegebenen Quantile (</w:t>
      </w:r>
      <w:r w:rsidRPr="00C3652F">
        <w:rPr>
          <w:rFonts w:cs="Times New Roman"/>
          <w:i/>
          <w:iCs/>
        </w:rPr>
        <w:t>q</w:t>
      </w:r>
      <w:r w:rsidRPr="00C3652F">
        <w:rPr>
          <w:rFonts w:cs="Times New Roman"/>
          <w:vertAlign w:val="subscript"/>
        </w:rPr>
        <w:t>0.1</w:t>
      </w:r>
      <w:r>
        <w:rPr>
          <w:rFonts w:cs="Times New Roman"/>
        </w:rPr>
        <w:t> </w:t>
      </w:r>
      <m:oMath>
        <m:r>
          <m:rPr>
            <m:nor/>
          </m:rPr>
          <w:rPr>
            <w:rFonts w:cs="Times New Roman"/>
          </w:rPr>
          <m:t>≤</m:t>
        </m:r>
      </m:oMath>
      <w:r>
        <w:rPr>
          <w:rFonts w:cs="Times New Roman"/>
        </w:rPr>
        <w:t> </w:t>
      </w:r>
      <w:r w:rsidR="00C3652F" w:rsidRPr="00C3652F">
        <w:rPr>
          <w:rFonts w:cs="Times New Roman"/>
          <w:i/>
          <w:iCs/>
        </w:rPr>
        <w:t>q</w:t>
      </w:r>
      <w:r w:rsidR="00C3652F" w:rsidRPr="00C3652F">
        <w:rPr>
          <w:rFonts w:cs="Times New Roman"/>
          <w:vertAlign w:val="subscript"/>
        </w:rPr>
        <w:t>0.5</w:t>
      </w:r>
      <w:r w:rsidR="00C3652F">
        <w:rPr>
          <w:rFonts w:cs="Times New Roman"/>
        </w:rPr>
        <w:t> </w:t>
      </w:r>
      <m:oMath>
        <m:r>
          <m:rPr>
            <m:nor/>
          </m:rPr>
          <w:rPr>
            <w:rFonts w:cs="Times New Roman"/>
          </w:rPr>
          <m:t>≤</m:t>
        </m:r>
      </m:oMath>
      <w:r w:rsidR="00C3652F">
        <w:rPr>
          <w:rFonts w:eastAsiaTheme="minorEastAsia" w:cs="Times New Roman"/>
        </w:rPr>
        <w:t> </w:t>
      </w:r>
      <w:r w:rsidR="00C3652F" w:rsidRPr="00C3652F">
        <w:rPr>
          <w:rFonts w:eastAsiaTheme="minorEastAsia" w:cs="Times New Roman"/>
          <w:i/>
          <w:iCs/>
        </w:rPr>
        <w:t>q</w:t>
      </w:r>
      <w:r w:rsidR="00C3652F" w:rsidRPr="00C3652F">
        <w:rPr>
          <w:rFonts w:eastAsiaTheme="minorEastAsia" w:cs="Times New Roman"/>
          <w:vertAlign w:val="subscript"/>
        </w:rPr>
        <w:t>0.9</w:t>
      </w:r>
      <w:r w:rsidR="00C3652F">
        <w:rPr>
          <w:rFonts w:eastAsiaTheme="minorEastAsia" w:cs="Times New Roman"/>
        </w:rPr>
        <w:t>) eingehalten wird und fachlich inkonsistente Überkreuzungen vollständig unterdrückt werden.</w:t>
      </w:r>
    </w:p>
    <w:p w14:paraId="03369AF6" w14:textId="65F7F05E" w:rsidR="00754692" w:rsidRDefault="00754692" w:rsidP="00754692">
      <w:pPr>
        <w:pStyle w:val="berschrift1"/>
      </w:pPr>
      <w:bookmarkStart w:id="25" w:name="_Toc236481627"/>
      <w:r>
        <w:lastRenderedPageBreak/>
        <w:t>Fazit und Reflexion</w:t>
      </w:r>
      <w:bookmarkEnd w:id="25"/>
    </w:p>
    <w:p w14:paraId="5588E744" w14:textId="47AE3800" w:rsidR="00E80326" w:rsidRDefault="00BD3981" w:rsidP="00E80326">
      <w:r>
        <w:t>Im Rahmen dieses Projektes wurde eine Docker-basierte Laufzeitumgebung bereitgestellt</w:t>
      </w:r>
      <w:r w:rsidR="00EC5516">
        <w:t xml:space="preserve">, mit der SMARD-Zeitreihendaten zur probabilistischen PV-Einspeisungsprognose verarbeitet werden können. </w:t>
      </w:r>
      <w:r w:rsidR="00FE5FE8">
        <w:t>Mittels Verknüpfung von rekurrenten Schichten mit einem nicht-parametrischen Pinball Loss konnte ein dynamischer Risikokorridor konstruiert werden, der statt starrer Punktprognosen einen verlässlichen Sicherheitskorridor liefert.</w:t>
      </w:r>
      <w:r w:rsidR="00EC5516">
        <w:t xml:space="preserve"> Insgesamt erfüllt das Projekt alle Anforderungen der AP.</w:t>
      </w:r>
    </w:p>
    <w:p w14:paraId="4CBDAB20" w14:textId="796ECE72" w:rsidR="00EC5516" w:rsidRDefault="00EC5516" w:rsidP="00E80326">
      <w:r>
        <w:t>Das finale Produkt stellt ein kostenloses Tool dar, das</w:t>
      </w:r>
      <w:r>
        <w:t xml:space="preserve"> es Netzbetreibern ermöglicht vorab zu planen, um den Bedarf an kostenintensiver Ausgleichsenergie zu minimieren. Durch die explizite Visualisierung der Unsicherheit sind Netzbetreiber in der Lage die Unsicherheit in die jeweiligen Kalkulationen einzubeziehen. Daher erfüllt das Projekt seinen Nutzen und eignet sich nun für erste Testläufe einer realen Nutzerschaft durch Netzbetreiber.</w:t>
      </w:r>
    </w:p>
    <w:p w14:paraId="2C3BB550" w14:textId="7BD0EF5E" w:rsidR="00FE5FE8" w:rsidRDefault="00FE5FE8" w:rsidP="00E80326">
      <w:r>
        <w:t>Die empirischen Ergebnisse erlauben folgende Kernkomponenten der Untersuchung zu bilanzieren:</w:t>
      </w:r>
    </w:p>
    <w:p w14:paraId="3C9415BC" w14:textId="40CED467" w:rsidR="00FE5FE8" w:rsidRDefault="00FE5FE8" w:rsidP="00FE5FE8">
      <w:pPr>
        <w:pStyle w:val="Listenabsatz"/>
        <w:numPr>
          <w:ilvl w:val="0"/>
          <w:numId w:val="35"/>
        </w:numPr>
      </w:pPr>
      <w:r>
        <w:t xml:space="preserve">Architekturvergleich: Beide Architekturen können den solaren Verlauf präzise abbilden. Teilweise zeigt das LSTM aufgrund seiner komplexen </w:t>
      </w:r>
      <w:proofErr w:type="spellStart"/>
      <w:r>
        <w:t>Gating</w:t>
      </w:r>
      <w:proofErr w:type="spellEnd"/>
      <w:r>
        <w:t xml:space="preserve">-Struktur eine höhere Robustheit bei der Speicherung </w:t>
      </w:r>
      <w:proofErr w:type="spellStart"/>
      <w:r>
        <w:t>langreichweitiger</w:t>
      </w:r>
      <w:proofErr w:type="spellEnd"/>
      <w:r>
        <w:t xml:space="preserve"> meteorologischer Abhängigkeiten, was sich in einer stabileren Konvergenz im Training widerspiegelt.</w:t>
      </w:r>
    </w:p>
    <w:p w14:paraId="60685B53" w14:textId="603B1D04" w:rsidR="00FE5FE8" w:rsidRDefault="00FE5FE8" w:rsidP="00FE5FE8">
      <w:pPr>
        <w:pStyle w:val="Listenabsatz"/>
        <w:numPr>
          <w:ilvl w:val="0"/>
          <w:numId w:val="35"/>
        </w:numPr>
      </w:pPr>
      <w:r>
        <w:t>Einfluss von Datenvolumen und Auflösung: Durch die zeitliche Granularität und die Datenmenge wird die Schärfe des Unsicherheitsbandes maßgeblich bestimmt. Die grobe 60-Minuten-Auflösung führt zu signifikant breiteren Bändern, während die Erweiterung der Datenbasis eine präzise Verengung des Sicherheitskorridors bewirkt. Das Modell passt die statistische Unsicherheit dynamisch an den Informationsgehalt der Daten an.</w:t>
      </w:r>
    </w:p>
    <w:p w14:paraId="61B38DA2" w14:textId="092691FB" w:rsidR="00FE5FE8" w:rsidRDefault="00FE5FE8" w:rsidP="00FE5FE8">
      <w:pPr>
        <w:pStyle w:val="Listenabsatz"/>
        <w:numPr>
          <w:ilvl w:val="0"/>
          <w:numId w:val="35"/>
        </w:numPr>
      </w:pPr>
      <w:r>
        <w:t xml:space="preserve">Erklärbarkeit: Mittels Permutation Feature </w:t>
      </w:r>
      <w:proofErr w:type="spellStart"/>
      <w:r>
        <w:t>Importance</w:t>
      </w:r>
      <w:proofErr w:type="spellEnd"/>
      <w:r>
        <w:t xml:space="preserve"> wurde die mathematische Black-Box-Struktur der tiefen neuronalen Netze erfolgreich aufgebrochen. Der Nachweis, dass neben den solaren Basis-Features auch multivariate Wechselwirkungen (z. B. die physikalisch begründete, schwache negative Korrelation zur Windkraft) den Verlust steuern, schafft die benötigte Transparenz für den realen Handelseinsatz.</w:t>
      </w:r>
    </w:p>
    <w:p w14:paraId="67633E2C" w14:textId="657739B5" w:rsidR="00FE5FE8" w:rsidRDefault="00FE5FE8" w:rsidP="00FE5FE8">
      <w:r>
        <w:lastRenderedPageBreak/>
        <w:t xml:space="preserve">Mit dem entwickelten System können wetterbedingte Planungsunsicherheiten im Stromnetz mathematisch exakt quantifiziert werden. Die Kombination aus Docker-Containerisierung, </w:t>
      </w:r>
      <w:proofErr w:type="spellStart"/>
      <w:r>
        <w:t>Streamlit</w:t>
      </w:r>
      <w:proofErr w:type="spellEnd"/>
      <w:r>
        <w:t xml:space="preserve">-Oberfläche und interpretierbaren </w:t>
      </w:r>
      <w:proofErr w:type="spellStart"/>
      <w:r>
        <w:t>Machine</w:t>
      </w:r>
      <w:proofErr w:type="spellEnd"/>
      <w:r>
        <w:t>-Learning-Strukturen bietet die valide Grundlage, um den Bedarf an kostenintensiver Ausgleichsenergie effektiv zu minimieren.</w:t>
      </w:r>
    </w:p>
    <w:p w14:paraId="603A01C5" w14:textId="44450829" w:rsidR="00EC5516" w:rsidRDefault="00EC5516" w:rsidP="00EC5516">
      <w:pPr>
        <w:pStyle w:val="berschrift1"/>
      </w:pPr>
      <w:bookmarkStart w:id="26" w:name="_Toc236481628"/>
      <w:r>
        <w:lastRenderedPageBreak/>
        <w:t>Ausblick</w:t>
      </w:r>
      <w:bookmarkEnd w:id="26"/>
    </w:p>
    <w:p w14:paraId="1DBE1821" w14:textId="7A942617" w:rsidR="00EC5516" w:rsidRDefault="00EC5516" w:rsidP="00EC5516">
      <w:r>
        <w:t>Um das Projekt zukünftig fortzuführen, können folgende Punkte benannt werden:</w:t>
      </w:r>
    </w:p>
    <w:p w14:paraId="496BA5C2" w14:textId="05A269BA" w:rsidR="00EC5516" w:rsidRDefault="00EC5516" w:rsidP="00EC5516">
      <w:pPr>
        <w:pStyle w:val="Listenabsatz"/>
        <w:numPr>
          <w:ilvl w:val="0"/>
          <w:numId w:val="37"/>
        </w:numPr>
      </w:pPr>
      <w:r>
        <w:t>Einbezug realer meteorologischer Wetterdaten</w:t>
      </w:r>
    </w:p>
    <w:p w14:paraId="6D4ADE7A" w14:textId="6769D373" w:rsidR="00EC5516" w:rsidRDefault="00EC5516" w:rsidP="00EC5516">
      <w:r>
        <w:t xml:space="preserve">Die im Rahmen dieses Modells generierten Prognosen ersetzen keine realen Wetterdaten. PV ist ein physikalischer Prozess, der stark vom Wetter abhängt. In einem nächsten Schritt wäre es daher sinnvoll echte Wetterdaten </w:t>
      </w:r>
      <w:r w:rsidR="002E712D">
        <w:t xml:space="preserve">zwangsläufig </w:t>
      </w:r>
      <w:r>
        <w:t>miteinzubeziehen und die Prognosen basierend auf Wetterdaten zu verfeinern.</w:t>
      </w:r>
    </w:p>
    <w:p w14:paraId="403D9E0C" w14:textId="2D241AE3" w:rsidR="002E712D" w:rsidRDefault="002E712D" w:rsidP="002E712D">
      <w:pPr>
        <w:pStyle w:val="Listenabsatz"/>
        <w:numPr>
          <w:ilvl w:val="0"/>
          <w:numId w:val="37"/>
        </w:numPr>
      </w:pPr>
      <w:r>
        <w:t>Von der Prognose hin zum Deep-Learning</w:t>
      </w:r>
    </w:p>
    <w:p w14:paraId="13982618" w14:textId="1BD5B7C4" w:rsidR="002E712D" w:rsidRDefault="002E712D" w:rsidP="002E712D">
      <w:r>
        <w:t>In das Modell könnte künftig ein Large-Language Modell (LLM) integriert werden, dass bereits eine Vorabinterpretation der Daten vornimmt und dem Nutzer bereits erste Handlungsvorschläge präsentiert. Es muss allerdings beachtet werden, dass ein LLM den Menschen nicht komplett ersetzen darf. Eine vorsichtige Eigeninterpretation der generierten Daten sollte weiterhin stattfinden.</w:t>
      </w:r>
    </w:p>
    <w:p w14:paraId="5A4AE78F" w14:textId="77777777" w:rsidR="00EC5516" w:rsidRPr="00EC5516" w:rsidRDefault="00EC5516" w:rsidP="00EC5516"/>
    <w:p w14:paraId="3955D245" w14:textId="00B9E625" w:rsidR="00754692" w:rsidRDefault="00754692" w:rsidP="00754692">
      <w:pPr>
        <w:pStyle w:val="berschrift1"/>
      </w:pPr>
      <w:bookmarkStart w:id="27" w:name="_Toc236481629"/>
      <w:r>
        <w:lastRenderedPageBreak/>
        <w:t>Literatur</w:t>
      </w:r>
      <w:bookmarkEnd w:id="27"/>
    </w:p>
    <w:p w14:paraId="673A572D" w14:textId="1D416FA3" w:rsidR="007D5ADE" w:rsidRPr="007D5ADE" w:rsidRDefault="00F2093D" w:rsidP="007D5ADE">
      <w:pPr>
        <w:widowControl w:val="0"/>
        <w:autoSpaceDE w:val="0"/>
        <w:autoSpaceDN w:val="0"/>
        <w:adjustRightInd w:val="0"/>
        <w:ind w:left="640" w:hanging="640"/>
        <w:rPr>
          <w:rFonts w:cs="Times New Roman"/>
          <w:noProof/>
          <w:kern w:val="0"/>
        </w:rPr>
      </w:pPr>
      <w:r>
        <w:fldChar w:fldCharType="begin" w:fldLock="1"/>
      </w:r>
      <w:r>
        <w:instrText xml:space="preserve">ADDIN Mendeley Bibliography CSL_BIBLIOGRAPHY </w:instrText>
      </w:r>
      <w:r>
        <w:fldChar w:fldCharType="separate"/>
      </w:r>
      <w:r w:rsidR="007D5ADE" w:rsidRPr="007D5ADE">
        <w:rPr>
          <w:rFonts w:cs="Times New Roman"/>
          <w:noProof/>
          <w:kern w:val="0"/>
        </w:rPr>
        <w:t>[1]</w:t>
      </w:r>
      <w:r w:rsidR="007D5ADE" w:rsidRPr="007D5ADE">
        <w:rPr>
          <w:rFonts w:cs="Times New Roman"/>
          <w:noProof/>
          <w:kern w:val="0"/>
        </w:rPr>
        <w:tab/>
        <w:t xml:space="preserve">T. Hong, P. Pinson, S. Fan, H. Zareipour, A. Troccoli, R. J. Hyndman, </w:t>
      </w:r>
      <w:r w:rsidR="007D5ADE" w:rsidRPr="007D5ADE">
        <w:rPr>
          <w:rFonts w:cs="Times New Roman"/>
          <w:i/>
          <w:iCs/>
          <w:noProof/>
          <w:kern w:val="0"/>
        </w:rPr>
        <w:t>Int. J. Forecast.</w:t>
      </w:r>
      <w:r w:rsidR="007D5ADE" w:rsidRPr="007D5ADE">
        <w:rPr>
          <w:rFonts w:cs="Times New Roman"/>
          <w:noProof/>
          <w:kern w:val="0"/>
        </w:rPr>
        <w:t xml:space="preserve"> </w:t>
      </w:r>
      <w:r w:rsidR="007D5ADE" w:rsidRPr="007D5ADE">
        <w:rPr>
          <w:rFonts w:cs="Times New Roman"/>
          <w:b/>
          <w:bCs/>
          <w:noProof/>
          <w:kern w:val="0"/>
        </w:rPr>
        <w:t>2016</w:t>
      </w:r>
      <w:r w:rsidR="007D5ADE" w:rsidRPr="007D5ADE">
        <w:rPr>
          <w:rFonts w:cs="Times New Roman"/>
          <w:noProof/>
          <w:kern w:val="0"/>
        </w:rPr>
        <w:t xml:space="preserve">, </w:t>
      </w:r>
      <w:r w:rsidR="007D5ADE" w:rsidRPr="007D5ADE">
        <w:rPr>
          <w:rFonts w:cs="Times New Roman"/>
          <w:i/>
          <w:iCs/>
          <w:noProof/>
          <w:kern w:val="0"/>
        </w:rPr>
        <w:t>32</w:t>
      </w:r>
      <w:r w:rsidR="007D5ADE" w:rsidRPr="007D5ADE">
        <w:rPr>
          <w:rFonts w:cs="Times New Roman"/>
          <w:noProof/>
          <w:kern w:val="0"/>
        </w:rPr>
        <w:t>, 896–913.</w:t>
      </w:r>
    </w:p>
    <w:p w14:paraId="442F356F" w14:textId="77777777" w:rsidR="007D5ADE" w:rsidRPr="007D5ADE" w:rsidRDefault="007D5ADE" w:rsidP="007D5ADE">
      <w:pPr>
        <w:widowControl w:val="0"/>
        <w:autoSpaceDE w:val="0"/>
        <w:autoSpaceDN w:val="0"/>
        <w:adjustRightInd w:val="0"/>
        <w:ind w:left="640" w:hanging="640"/>
        <w:rPr>
          <w:rFonts w:cs="Times New Roman"/>
          <w:noProof/>
          <w:kern w:val="0"/>
        </w:rPr>
      </w:pPr>
      <w:r w:rsidRPr="007D5ADE">
        <w:rPr>
          <w:rFonts w:cs="Times New Roman"/>
          <w:noProof/>
          <w:kern w:val="0"/>
        </w:rPr>
        <w:t>[2]</w:t>
      </w:r>
      <w:r w:rsidRPr="007D5ADE">
        <w:rPr>
          <w:rFonts w:cs="Times New Roman"/>
          <w:noProof/>
          <w:kern w:val="0"/>
        </w:rPr>
        <w:tab/>
        <w:t xml:space="preserve">D. Salinas, V. Flunkert, J. Gasthaus, T. Januschowski, </w:t>
      </w:r>
      <w:r w:rsidRPr="007D5ADE">
        <w:rPr>
          <w:rFonts w:cs="Times New Roman"/>
          <w:i/>
          <w:iCs/>
          <w:noProof/>
          <w:kern w:val="0"/>
        </w:rPr>
        <w:t>Int. J. Forecast.</w:t>
      </w:r>
      <w:r w:rsidRPr="007D5ADE">
        <w:rPr>
          <w:rFonts w:cs="Times New Roman"/>
          <w:noProof/>
          <w:kern w:val="0"/>
        </w:rPr>
        <w:t xml:space="preserve"> </w:t>
      </w:r>
      <w:r w:rsidRPr="007D5ADE">
        <w:rPr>
          <w:rFonts w:cs="Times New Roman"/>
          <w:b/>
          <w:bCs/>
          <w:noProof/>
          <w:kern w:val="0"/>
        </w:rPr>
        <w:t>2020</w:t>
      </w:r>
      <w:r w:rsidRPr="007D5ADE">
        <w:rPr>
          <w:rFonts w:cs="Times New Roman"/>
          <w:noProof/>
          <w:kern w:val="0"/>
        </w:rPr>
        <w:t xml:space="preserve">, </w:t>
      </w:r>
      <w:r w:rsidRPr="007D5ADE">
        <w:rPr>
          <w:rFonts w:cs="Times New Roman"/>
          <w:i/>
          <w:iCs/>
          <w:noProof/>
          <w:kern w:val="0"/>
        </w:rPr>
        <w:t>36</w:t>
      </w:r>
      <w:r w:rsidRPr="007D5ADE">
        <w:rPr>
          <w:rFonts w:cs="Times New Roman"/>
          <w:noProof/>
          <w:kern w:val="0"/>
        </w:rPr>
        <w:t>, 1181–1191.</w:t>
      </w:r>
    </w:p>
    <w:p w14:paraId="6221C63A" w14:textId="77777777" w:rsidR="007D5ADE" w:rsidRPr="007D5ADE" w:rsidRDefault="007D5ADE" w:rsidP="007D5ADE">
      <w:pPr>
        <w:widowControl w:val="0"/>
        <w:autoSpaceDE w:val="0"/>
        <w:autoSpaceDN w:val="0"/>
        <w:adjustRightInd w:val="0"/>
        <w:ind w:left="640" w:hanging="640"/>
        <w:rPr>
          <w:rFonts w:cs="Times New Roman"/>
          <w:noProof/>
          <w:kern w:val="0"/>
        </w:rPr>
      </w:pPr>
      <w:r w:rsidRPr="007D5ADE">
        <w:rPr>
          <w:rFonts w:cs="Times New Roman"/>
          <w:noProof/>
          <w:kern w:val="0"/>
        </w:rPr>
        <w:t>[3]</w:t>
      </w:r>
      <w:r w:rsidRPr="007D5ADE">
        <w:rPr>
          <w:rFonts w:cs="Times New Roman"/>
          <w:noProof/>
          <w:kern w:val="0"/>
        </w:rPr>
        <w:tab/>
        <w:t xml:space="preserve">B. Xiong, Y. Chen, D. Chen, J. Fu, D. Zhang, </w:t>
      </w:r>
      <w:r w:rsidRPr="007D5ADE">
        <w:rPr>
          <w:rFonts w:cs="Times New Roman"/>
          <w:i/>
          <w:iCs/>
          <w:noProof/>
          <w:kern w:val="0"/>
        </w:rPr>
        <w:t>Appl. Energy</w:t>
      </w:r>
      <w:r w:rsidRPr="007D5ADE">
        <w:rPr>
          <w:rFonts w:cs="Times New Roman"/>
          <w:noProof/>
          <w:kern w:val="0"/>
        </w:rPr>
        <w:t xml:space="preserve"> </w:t>
      </w:r>
      <w:r w:rsidRPr="007D5ADE">
        <w:rPr>
          <w:rFonts w:cs="Times New Roman"/>
          <w:b/>
          <w:bCs/>
          <w:noProof/>
          <w:kern w:val="0"/>
        </w:rPr>
        <w:t>2025</w:t>
      </w:r>
      <w:r w:rsidRPr="007D5ADE">
        <w:rPr>
          <w:rFonts w:cs="Times New Roman"/>
          <w:noProof/>
          <w:kern w:val="0"/>
        </w:rPr>
        <w:t xml:space="preserve">, </w:t>
      </w:r>
      <w:r w:rsidRPr="007D5ADE">
        <w:rPr>
          <w:rFonts w:cs="Times New Roman"/>
          <w:i/>
          <w:iCs/>
          <w:noProof/>
          <w:kern w:val="0"/>
        </w:rPr>
        <w:t>382</w:t>
      </w:r>
      <w:r w:rsidRPr="007D5ADE">
        <w:rPr>
          <w:rFonts w:cs="Times New Roman"/>
          <w:noProof/>
          <w:kern w:val="0"/>
        </w:rPr>
        <w:t>, 125294.</w:t>
      </w:r>
    </w:p>
    <w:p w14:paraId="44BE9648" w14:textId="77777777" w:rsidR="007D5ADE" w:rsidRPr="007D5ADE" w:rsidRDefault="007D5ADE" w:rsidP="007D5ADE">
      <w:pPr>
        <w:widowControl w:val="0"/>
        <w:autoSpaceDE w:val="0"/>
        <w:autoSpaceDN w:val="0"/>
        <w:adjustRightInd w:val="0"/>
        <w:ind w:left="640" w:hanging="640"/>
        <w:rPr>
          <w:rFonts w:cs="Times New Roman"/>
          <w:noProof/>
          <w:kern w:val="0"/>
        </w:rPr>
      </w:pPr>
      <w:r w:rsidRPr="007D5ADE">
        <w:rPr>
          <w:rFonts w:cs="Times New Roman"/>
          <w:noProof/>
          <w:kern w:val="0"/>
        </w:rPr>
        <w:t>[4]</w:t>
      </w:r>
      <w:r w:rsidRPr="007D5ADE">
        <w:rPr>
          <w:rFonts w:cs="Times New Roman"/>
          <w:noProof/>
          <w:kern w:val="0"/>
        </w:rPr>
        <w:tab/>
        <w:t xml:space="preserve">B. Lim, S. Ö. Arık, N. Loeff, T. Pfister, </w:t>
      </w:r>
      <w:r w:rsidRPr="007D5ADE">
        <w:rPr>
          <w:rFonts w:cs="Times New Roman"/>
          <w:i/>
          <w:iCs/>
          <w:noProof/>
          <w:kern w:val="0"/>
        </w:rPr>
        <w:t>Int. J. Forecast.</w:t>
      </w:r>
      <w:r w:rsidRPr="007D5ADE">
        <w:rPr>
          <w:rFonts w:cs="Times New Roman"/>
          <w:noProof/>
          <w:kern w:val="0"/>
        </w:rPr>
        <w:t xml:space="preserve"> </w:t>
      </w:r>
      <w:r w:rsidRPr="007D5ADE">
        <w:rPr>
          <w:rFonts w:cs="Times New Roman"/>
          <w:b/>
          <w:bCs/>
          <w:noProof/>
          <w:kern w:val="0"/>
        </w:rPr>
        <w:t>2021</w:t>
      </w:r>
      <w:r w:rsidRPr="007D5ADE">
        <w:rPr>
          <w:rFonts w:cs="Times New Roman"/>
          <w:noProof/>
          <w:kern w:val="0"/>
        </w:rPr>
        <w:t xml:space="preserve">, </w:t>
      </w:r>
      <w:r w:rsidRPr="007D5ADE">
        <w:rPr>
          <w:rFonts w:cs="Times New Roman"/>
          <w:i/>
          <w:iCs/>
          <w:noProof/>
          <w:kern w:val="0"/>
        </w:rPr>
        <w:t>37</w:t>
      </w:r>
      <w:r w:rsidRPr="007D5ADE">
        <w:rPr>
          <w:rFonts w:cs="Times New Roman"/>
          <w:noProof/>
          <w:kern w:val="0"/>
        </w:rPr>
        <w:t>, 1748–1764.</w:t>
      </w:r>
    </w:p>
    <w:p w14:paraId="5E98219E" w14:textId="77777777" w:rsidR="007D5ADE" w:rsidRPr="007D5ADE" w:rsidRDefault="007D5ADE" w:rsidP="007D5ADE">
      <w:pPr>
        <w:widowControl w:val="0"/>
        <w:autoSpaceDE w:val="0"/>
        <w:autoSpaceDN w:val="0"/>
        <w:adjustRightInd w:val="0"/>
        <w:ind w:left="640" w:hanging="640"/>
        <w:rPr>
          <w:rFonts w:cs="Times New Roman"/>
          <w:noProof/>
        </w:rPr>
      </w:pPr>
      <w:r w:rsidRPr="007D5ADE">
        <w:rPr>
          <w:rFonts w:cs="Times New Roman"/>
          <w:noProof/>
          <w:kern w:val="0"/>
        </w:rPr>
        <w:t>[5]</w:t>
      </w:r>
      <w:r w:rsidRPr="007D5ADE">
        <w:rPr>
          <w:rFonts w:cs="Times New Roman"/>
          <w:noProof/>
          <w:kern w:val="0"/>
        </w:rPr>
        <w:tab/>
        <w:t xml:space="preserve">Bundesnetzagentur, “SMARD,” can be found under https://www.smard.de/home/downloadcenter/download-marktdaten/, </w:t>
      </w:r>
      <w:r w:rsidRPr="007D5ADE">
        <w:rPr>
          <w:rFonts w:cs="Times New Roman"/>
          <w:b/>
          <w:bCs/>
          <w:noProof/>
          <w:kern w:val="0"/>
        </w:rPr>
        <w:t>2026</w:t>
      </w:r>
      <w:r w:rsidRPr="007D5ADE">
        <w:rPr>
          <w:rFonts w:cs="Times New Roman"/>
          <w:noProof/>
          <w:kern w:val="0"/>
        </w:rPr>
        <w:t>.</w:t>
      </w:r>
    </w:p>
    <w:p w14:paraId="64A76E37" w14:textId="499EFD21" w:rsidR="00EF73F3" w:rsidRPr="00476318" w:rsidRDefault="00F2093D" w:rsidP="001A35B5">
      <w:r>
        <w:fldChar w:fldCharType="end"/>
      </w:r>
    </w:p>
    <w:sectPr w:rsidR="00EF73F3" w:rsidRPr="00476318" w:rsidSect="001A35B5">
      <w:headerReference w:type="default" r:id="rId29"/>
      <w:footerReference w:type="default" r:id="rId30"/>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BC724" w14:textId="77777777" w:rsidR="00765D89" w:rsidRDefault="00765D89" w:rsidP="008744F7">
      <w:pPr>
        <w:spacing w:after="0" w:line="240" w:lineRule="auto"/>
      </w:pPr>
      <w:r>
        <w:separator/>
      </w:r>
    </w:p>
  </w:endnote>
  <w:endnote w:type="continuationSeparator" w:id="0">
    <w:p w14:paraId="5123230D" w14:textId="77777777" w:rsidR="00765D89" w:rsidRDefault="00765D89" w:rsidP="0087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1419" w14:textId="77777777" w:rsidR="008744F7" w:rsidRDefault="008744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AC90" w14:textId="77777777" w:rsidR="008744F7" w:rsidRDefault="008744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left w:val="none" w:sz="0" w:space="0" w:color="auto"/>
        <w:bottom w:val="none" w:sz="0" w:space="0" w:color="auto"/>
        <w:right w:val="none" w:sz="0" w:space="0" w:color="auto"/>
      </w:tblBorders>
      <w:tblLook w:val="04A0" w:firstRow="1" w:lastRow="0" w:firstColumn="1" w:lastColumn="0" w:noHBand="0" w:noVBand="1"/>
    </w:tblPr>
    <w:tblGrid>
      <w:gridCol w:w="9062"/>
    </w:tblGrid>
    <w:tr w:rsidR="00215D31" w:rsidRPr="009652A1" w14:paraId="484CAE3E" w14:textId="77777777" w:rsidTr="000F6804">
      <w:tc>
        <w:tcPr>
          <w:tcW w:w="9062" w:type="dxa"/>
        </w:tcPr>
        <w:sdt>
          <w:sdtPr>
            <w:rPr>
              <w:rFonts w:ascii="Times New Roman" w:hAnsi="Times New Roman" w:cs="Times New Roman"/>
            </w:rPr>
            <w:id w:val="80184951"/>
            <w:docPartObj>
              <w:docPartGallery w:val="Page Numbers (Bottom of Page)"/>
              <w:docPartUnique/>
            </w:docPartObj>
          </w:sdtPr>
          <w:sdtContent>
            <w:p w14:paraId="6C6DB885" w14:textId="77777777" w:rsidR="00215D31" w:rsidRPr="009652A1" w:rsidRDefault="00215D31" w:rsidP="000F6804">
              <w:pPr>
                <w:pStyle w:val="Fuzeile"/>
                <w:spacing w:before="240"/>
                <w:jc w:val="right"/>
                <w:rPr>
                  <w:rFonts w:ascii="Times New Roman" w:hAnsi="Times New Roman" w:cs="Times New Roman"/>
                </w:rPr>
              </w:pPr>
              <w:r w:rsidRPr="009652A1">
                <w:rPr>
                  <w:rFonts w:ascii="Times New Roman" w:hAnsi="Times New Roman" w:cs="Times New Roman"/>
                </w:rPr>
                <w:fldChar w:fldCharType="begin"/>
              </w:r>
              <w:r w:rsidRPr="009652A1">
                <w:rPr>
                  <w:rFonts w:ascii="Times New Roman" w:hAnsi="Times New Roman" w:cs="Times New Roman"/>
                </w:rPr>
                <w:instrText>PAGE   \* MERGEFORMAT</w:instrText>
              </w:r>
              <w:r w:rsidRPr="009652A1">
                <w:rPr>
                  <w:rFonts w:ascii="Times New Roman" w:hAnsi="Times New Roman" w:cs="Times New Roman"/>
                </w:rPr>
                <w:fldChar w:fldCharType="separate"/>
              </w:r>
              <w:r w:rsidRPr="009652A1">
                <w:rPr>
                  <w:rFonts w:ascii="Times New Roman" w:hAnsi="Times New Roman" w:cs="Times New Roman"/>
                </w:rPr>
                <w:t>5</w:t>
              </w:r>
              <w:r w:rsidRPr="009652A1">
                <w:rPr>
                  <w:rFonts w:ascii="Times New Roman" w:hAnsi="Times New Roman" w:cs="Times New Roman"/>
                </w:rPr>
                <w:fldChar w:fldCharType="end"/>
              </w:r>
            </w:p>
          </w:sdtContent>
        </w:sdt>
      </w:tc>
    </w:tr>
  </w:tbl>
  <w:p w14:paraId="40C557F7" w14:textId="77777777" w:rsidR="00215D31" w:rsidRDefault="00215D3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6D90" w14:textId="77777777" w:rsidR="00765D89" w:rsidRDefault="00765D89" w:rsidP="008744F7">
      <w:pPr>
        <w:spacing w:after="0" w:line="240" w:lineRule="auto"/>
      </w:pPr>
      <w:r>
        <w:separator/>
      </w:r>
    </w:p>
  </w:footnote>
  <w:footnote w:type="continuationSeparator" w:id="0">
    <w:p w14:paraId="74E3E80D" w14:textId="77777777" w:rsidR="00765D89" w:rsidRDefault="00765D89" w:rsidP="00874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A1F7" w14:textId="77777777" w:rsidR="008744F7" w:rsidRDefault="008744F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04B0" w14:textId="77777777" w:rsidR="008744F7" w:rsidRDefault="008744F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tblBorders>
      <w:tblLook w:val="04A0" w:firstRow="1" w:lastRow="0" w:firstColumn="1" w:lastColumn="0" w:noHBand="0" w:noVBand="1"/>
    </w:tblPr>
    <w:tblGrid>
      <w:gridCol w:w="9062"/>
    </w:tblGrid>
    <w:tr w:rsidR="00215D31" w14:paraId="09AC5F24" w14:textId="77777777" w:rsidTr="000F6804">
      <w:tc>
        <w:tcPr>
          <w:tcW w:w="9062" w:type="dxa"/>
        </w:tcPr>
        <w:p w14:paraId="0AD788EB" w14:textId="63BA15A2" w:rsidR="00215D31" w:rsidRPr="009652A1" w:rsidRDefault="001A35B5" w:rsidP="000F6804">
          <w:pPr>
            <w:pStyle w:val="Kopfzeile"/>
            <w:spacing w:after="24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STYLEREF  "Überschrift 1"  \* MERGEFORMAT </w:instrText>
          </w:r>
          <w:r>
            <w:rPr>
              <w:rFonts w:ascii="Times New Roman" w:hAnsi="Times New Roman" w:cs="Times New Roman"/>
            </w:rPr>
            <w:fldChar w:fldCharType="separate"/>
          </w:r>
          <w:r w:rsidR="002E712D">
            <w:rPr>
              <w:rFonts w:ascii="Times New Roman" w:hAnsi="Times New Roman" w:cs="Times New Roman"/>
              <w:noProof/>
            </w:rPr>
            <w:t>Ergebnisse und Diskussion</w:t>
          </w:r>
          <w:r>
            <w:rPr>
              <w:rFonts w:ascii="Times New Roman" w:hAnsi="Times New Roman" w:cs="Times New Roman"/>
            </w:rPr>
            <w:fldChar w:fldCharType="end"/>
          </w:r>
        </w:p>
      </w:tc>
    </w:tr>
  </w:tbl>
  <w:p w14:paraId="34CA8B4C" w14:textId="77777777" w:rsidR="00215D31" w:rsidRDefault="00215D3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AD"/>
    <w:multiLevelType w:val="hybridMultilevel"/>
    <w:tmpl w:val="E8CA52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E0A49FD"/>
    <w:multiLevelType w:val="hybridMultilevel"/>
    <w:tmpl w:val="4F9435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F74046C"/>
    <w:multiLevelType w:val="hybridMultilevel"/>
    <w:tmpl w:val="979014B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11145C45"/>
    <w:multiLevelType w:val="hybridMultilevel"/>
    <w:tmpl w:val="2460B8F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2429852"/>
    <w:multiLevelType w:val="hybridMultilevel"/>
    <w:tmpl w:val="FFFFFFFF"/>
    <w:lvl w:ilvl="0" w:tplc="C48A7480">
      <w:start w:val="1"/>
      <w:numFmt w:val="bullet"/>
      <w:lvlText w:val=""/>
      <w:lvlJc w:val="left"/>
      <w:pPr>
        <w:ind w:left="720" w:hanging="360"/>
      </w:pPr>
      <w:rPr>
        <w:rFonts w:ascii="Symbol" w:hAnsi="Symbol" w:hint="default"/>
      </w:rPr>
    </w:lvl>
    <w:lvl w:ilvl="1" w:tplc="DFFC5DE0">
      <w:start w:val="1"/>
      <w:numFmt w:val="bullet"/>
      <w:lvlText w:val="o"/>
      <w:lvlJc w:val="left"/>
      <w:pPr>
        <w:ind w:left="1440" w:hanging="360"/>
      </w:pPr>
      <w:rPr>
        <w:rFonts w:ascii="Courier New" w:hAnsi="Courier New" w:hint="default"/>
      </w:rPr>
    </w:lvl>
    <w:lvl w:ilvl="2" w:tplc="D6E6D66E">
      <w:start w:val="1"/>
      <w:numFmt w:val="bullet"/>
      <w:lvlText w:val=""/>
      <w:lvlJc w:val="left"/>
      <w:pPr>
        <w:ind w:left="2160" w:hanging="360"/>
      </w:pPr>
      <w:rPr>
        <w:rFonts w:ascii="Wingdings" w:hAnsi="Wingdings" w:hint="default"/>
      </w:rPr>
    </w:lvl>
    <w:lvl w:ilvl="3" w:tplc="E9F643F4">
      <w:start w:val="1"/>
      <w:numFmt w:val="bullet"/>
      <w:lvlText w:val=""/>
      <w:lvlJc w:val="left"/>
      <w:pPr>
        <w:ind w:left="2880" w:hanging="360"/>
      </w:pPr>
      <w:rPr>
        <w:rFonts w:ascii="Symbol" w:hAnsi="Symbol" w:hint="default"/>
      </w:rPr>
    </w:lvl>
    <w:lvl w:ilvl="4" w:tplc="58D8CECA">
      <w:start w:val="1"/>
      <w:numFmt w:val="bullet"/>
      <w:lvlText w:val="o"/>
      <w:lvlJc w:val="left"/>
      <w:pPr>
        <w:ind w:left="3600" w:hanging="360"/>
      </w:pPr>
      <w:rPr>
        <w:rFonts w:ascii="Courier New" w:hAnsi="Courier New" w:hint="default"/>
      </w:rPr>
    </w:lvl>
    <w:lvl w:ilvl="5" w:tplc="9BCA1980">
      <w:start w:val="1"/>
      <w:numFmt w:val="bullet"/>
      <w:lvlText w:val=""/>
      <w:lvlJc w:val="left"/>
      <w:pPr>
        <w:ind w:left="4320" w:hanging="360"/>
      </w:pPr>
      <w:rPr>
        <w:rFonts w:ascii="Wingdings" w:hAnsi="Wingdings" w:hint="default"/>
      </w:rPr>
    </w:lvl>
    <w:lvl w:ilvl="6" w:tplc="AAFE615E">
      <w:start w:val="1"/>
      <w:numFmt w:val="bullet"/>
      <w:lvlText w:val=""/>
      <w:lvlJc w:val="left"/>
      <w:pPr>
        <w:ind w:left="5040" w:hanging="360"/>
      </w:pPr>
      <w:rPr>
        <w:rFonts w:ascii="Symbol" w:hAnsi="Symbol" w:hint="default"/>
      </w:rPr>
    </w:lvl>
    <w:lvl w:ilvl="7" w:tplc="F23A4920">
      <w:start w:val="1"/>
      <w:numFmt w:val="bullet"/>
      <w:lvlText w:val="o"/>
      <w:lvlJc w:val="left"/>
      <w:pPr>
        <w:ind w:left="5760" w:hanging="360"/>
      </w:pPr>
      <w:rPr>
        <w:rFonts w:ascii="Courier New" w:hAnsi="Courier New" w:hint="default"/>
      </w:rPr>
    </w:lvl>
    <w:lvl w:ilvl="8" w:tplc="D0C80306">
      <w:start w:val="1"/>
      <w:numFmt w:val="bullet"/>
      <w:lvlText w:val=""/>
      <w:lvlJc w:val="left"/>
      <w:pPr>
        <w:ind w:left="6480" w:hanging="360"/>
      </w:pPr>
      <w:rPr>
        <w:rFonts w:ascii="Wingdings" w:hAnsi="Wingdings" w:hint="default"/>
      </w:rPr>
    </w:lvl>
  </w:abstractNum>
  <w:abstractNum w:abstractNumId="5" w15:restartNumberingAfterBreak="0">
    <w:nsid w:val="1A2F1659"/>
    <w:multiLevelType w:val="hybridMultilevel"/>
    <w:tmpl w:val="FFFFFFFF"/>
    <w:lvl w:ilvl="0" w:tplc="B82AA9F4">
      <w:start w:val="1"/>
      <w:numFmt w:val="bullet"/>
      <w:lvlText w:val=""/>
      <w:lvlJc w:val="left"/>
      <w:pPr>
        <w:ind w:left="720" w:hanging="360"/>
      </w:pPr>
      <w:rPr>
        <w:rFonts w:ascii="Symbol" w:hAnsi="Symbol" w:hint="default"/>
      </w:rPr>
    </w:lvl>
    <w:lvl w:ilvl="1" w:tplc="71BE15EA">
      <w:start w:val="1"/>
      <w:numFmt w:val="bullet"/>
      <w:lvlText w:val="o"/>
      <w:lvlJc w:val="left"/>
      <w:pPr>
        <w:ind w:left="1440" w:hanging="360"/>
      </w:pPr>
      <w:rPr>
        <w:rFonts w:ascii="Courier New" w:hAnsi="Courier New" w:hint="default"/>
      </w:rPr>
    </w:lvl>
    <w:lvl w:ilvl="2" w:tplc="257A1ED8">
      <w:start w:val="1"/>
      <w:numFmt w:val="bullet"/>
      <w:lvlText w:val=""/>
      <w:lvlJc w:val="left"/>
      <w:pPr>
        <w:ind w:left="2160" w:hanging="360"/>
      </w:pPr>
      <w:rPr>
        <w:rFonts w:ascii="Wingdings" w:hAnsi="Wingdings" w:hint="default"/>
      </w:rPr>
    </w:lvl>
    <w:lvl w:ilvl="3" w:tplc="B266A13C">
      <w:start w:val="1"/>
      <w:numFmt w:val="bullet"/>
      <w:lvlText w:val=""/>
      <w:lvlJc w:val="left"/>
      <w:pPr>
        <w:ind w:left="2880" w:hanging="360"/>
      </w:pPr>
      <w:rPr>
        <w:rFonts w:ascii="Symbol" w:hAnsi="Symbol" w:hint="default"/>
      </w:rPr>
    </w:lvl>
    <w:lvl w:ilvl="4" w:tplc="29A64FAC">
      <w:start w:val="1"/>
      <w:numFmt w:val="bullet"/>
      <w:lvlText w:val="o"/>
      <w:lvlJc w:val="left"/>
      <w:pPr>
        <w:ind w:left="3600" w:hanging="360"/>
      </w:pPr>
      <w:rPr>
        <w:rFonts w:ascii="Courier New" w:hAnsi="Courier New" w:hint="default"/>
      </w:rPr>
    </w:lvl>
    <w:lvl w:ilvl="5" w:tplc="04A22012">
      <w:start w:val="1"/>
      <w:numFmt w:val="bullet"/>
      <w:lvlText w:val=""/>
      <w:lvlJc w:val="left"/>
      <w:pPr>
        <w:ind w:left="4320" w:hanging="360"/>
      </w:pPr>
      <w:rPr>
        <w:rFonts w:ascii="Wingdings" w:hAnsi="Wingdings" w:hint="default"/>
      </w:rPr>
    </w:lvl>
    <w:lvl w:ilvl="6" w:tplc="AE72F73C">
      <w:start w:val="1"/>
      <w:numFmt w:val="bullet"/>
      <w:lvlText w:val=""/>
      <w:lvlJc w:val="left"/>
      <w:pPr>
        <w:ind w:left="5040" w:hanging="360"/>
      </w:pPr>
      <w:rPr>
        <w:rFonts w:ascii="Symbol" w:hAnsi="Symbol" w:hint="default"/>
      </w:rPr>
    </w:lvl>
    <w:lvl w:ilvl="7" w:tplc="7BEA310A">
      <w:start w:val="1"/>
      <w:numFmt w:val="bullet"/>
      <w:lvlText w:val="o"/>
      <w:lvlJc w:val="left"/>
      <w:pPr>
        <w:ind w:left="5760" w:hanging="360"/>
      </w:pPr>
      <w:rPr>
        <w:rFonts w:ascii="Courier New" w:hAnsi="Courier New" w:hint="default"/>
      </w:rPr>
    </w:lvl>
    <w:lvl w:ilvl="8" w:tplc="C1CAF944">
      <w:start w:val="1"/>
      <w:numFmt w:val="bullet"/>
      <w:lvlText w:val=""/>
      <w:lvlJc w:val="left"/>
      <w:pPr>
        <w:ind w:left="6480" w:hanging="360"/>
      </w:pPr>
      <w:rPr>
        <w:rFonts w:ascii="Wingdings" w:hAnsi="Wingdings" w:hint="default"/>
      </w:rPr>
    </w:lvl>
  </w:abstractNum>
  <w:abstractNum w:abstractNumId="6" w15:restartNumberingAfterBreak="0">
    <w:nsid w:val="1A98732F"/>
    <w:multiLevelType w:val="hybridMultilevel"/>
    <w:tmpl w:val="5B22B8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1BD56944"/>
    <w:multiLevelType w:val="hybridMultilevel"/>
    <w:tmpl w:val="3254220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35F3E00"/>
    <w:multiLevelType w:val="hybridMultilevel"/>
    <w:tmpl w:val="67AA738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26682729"/>
    <w:multiLevelType w:val="hybridMultilevel"/>
    <w:tmpl w:val="F47002A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2C6D0352"/>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2EC74CDA"/>
    <w:multiLevelType w:val="hybridMultilevel"/>
    <w:tmpl w:val="FE4C2D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30613905"/>
    <w:multiLevelType w:val="hybridMultilevel"/>
    <w:tmpl w:val="5BF8C3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9802F4E"/>
    <w:multiLevelType w:val="hybridMultilevel"/>
    <w:tmpl w:val="F6108D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3CF8458F"/>
    <w:multiLevelType w:val="hybridMultilevel"/>
    <w:tmpl w:val="A0FA40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3F6D1F15"/>
    <w:multiLevelType w:val="hybridMultilevel"/>
    <w:tmpl w:val="9208B40E"/>
    <w:lvl w:ilvl="0" w:tplc="2B887B10">
      <w:start w:val="1"/>
      <w:numFmt w:val="bullet"/>
      <w:lvlText w:val=""/>
      <w:lvlJc w:val="left"/>
      <w:pPr>
        <w:ind w:left="360" w:hanging="360"/>
      </w:pPr>
      <w:rPr>
        <w:rFonts w:ascii="Symbol" w:hAnsi="Symbol" w:hint="default"/>
      </w:rPr>
    </w:lvl>
    <w:lvl w:ilvl="1" w:tplc="781435EC">
      <w:start w:val="1"/>
      <w:numFmt w:val="bullet"/>
      <w:lvlText w:val="o"/>
      <w:lvlJc w:val="left"/>
      <w:pPr>
        <w:ind w:left="1080" w:hanging="360"/>
      </w:pPr>
      <w:rPr>
        <w:rFonts w:ascii="Courier New" w:hAnsi="Courier New" w:hint="default"/>
      </w:rPr>
    </w:lvl>
    <w:lvl w:ilvl="2" w:tplc="10D29C8C">
      <w:start w:val="1"/>
      <w:numFmt w:val="bullet"/>
      <w:lvlText w:val=""/>
      <w:lvlJc w:val="left"/>
      <w:pPr>
        <w:ind w:left="1800" w:hanging="360"/>
      </w:pPr>
      <w:rPr>
        <w:rFonts w:ascii="Wingdings" w:hAnsi="Wingdings" w:hint="default"/>
      </w:rPr>
    </w:lvl>
    <w:lvl w:ilvl="3" w:tplc="2918D50E">
      <w:start w:val="1"/>
      <w:numFmt w:val="bullet"/>
      <w:lvlText w:val=""/>
      <w:lvlJc w:val="left"/>
      <w:pPr>
        <w:ind w:left="2520" w:hanging="360"/>
      </w:pPr>
      <w:rPr>
        <w:rFonts w:ascii="Symbol" w:hAnsi="Symbol" w:hint="default"/>
      </w:rPr>
    </w:lvl>
    <w:lvl w:ilvl="4" w:tplc="000ABA24">
      <w:start w:val="1"/>
      <w:numFmt w:val="bullet"/>
      <w:lvlText w:val="o"/>
      <w:lvlJc w:val="left"/>
      <w:pPr>
        <w:ind w:left="3240" w:hanging="360"/>
      </w:pPr>
      <w:rPr>
        <w:rFonts w:ascii="Courier New" w:hAnsi="Courier New" w:hint="default"/>
      </w:rPr>
    </w:lvl>
    <w:lvl w:ilvl="5" w:tplc="6F94061A">
      <w:start w:val="1"/>
      <w:numFmt w:val="bullet"/>
      <w:lvlText w:val=""/>
      <w:lvlJc w:val="left"/>
      <w:pPr>
        <w:ind w:left="3960" w:hanging="360"/>
      </w:pPr>
      <w:rPr>
        <w:rFonts w:ascii="Wingdings" w:hAnsi="Wingdings" w:hint="default"/>
      </w:rPr>
    </w:lvl>
    <w:lvl w:ilvl="6" w:tplc="55147AC6">
      <w:start w:val="1"/>
      <w:numFmt w:val="bullet"/>
      <w:lvlText w:val=""/>
      <w:lvlJc w:val="left"/>
      <w:pPr>
        <w:ind w:left="4680" w:hanging="360"/>
      </w:pPr>
      <w:rPr>
        <w:rFonts w:ascii="Symbol" w:hAnsi="Symbol" w:hint="default"/>
      </w:rPr>
    </w:lvl>
    <w:lvl w:ilvl="7" w:tplc="A0324976">
      <w:start w:val="1"/>
      <w:numFmt w:val="bullet"/>
      <w:lvlText w:val="o"/>
      <w:lvlJc w:val="left"/>
      <w:pPr>
        <w:ind w:left="5400" w:hanging="360"/>
      </w:pPr>
      <w:rPr>
        <w:rFonts w:ascii="Courier New" w:hAnsi="Courier New" w:hint="default"/>
      </w:rPr>
    </w:lvl>
    <w:lvl w:ilvl="8" w:tplc="95CC16F2">
      <w:start w:val="1"/>
      <w:numFmt w:val="bullet"/>
      <w:lvlText w:val=""/>
      <w:lvlJc w:val="left"/>
      <w:pPr>
        <w:ind w:left="6120" w:hanging="360"/>
      </w:pPr>
      <w:rPr>
        <w:rFonts w:ascii="Wingdings" w:hAnsi="Wingdings" w:hint="default"/>
      </w:rPr>
    </w:lvl>
  </w:abstractNum>
  <w:abstractNum w:abstractNumId="16" w15:restartNumberingAfterBreak="0">
    <w:nsid w:val="43C46E56"/>
    <w:multiLevelType w:val="hybridMultilevel"/>
    <w:tmpl w:val="692C1E0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52C7EA7"/>
    <w:multiLevelType w:val="hybridMultilevel"/>
    <w:tmpl w:val="2462366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487575A6"/>
    <w:multiLevelType w:val="hybridMultilevel"/>
    <w:tmpl w:val="628281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92D088E"/>
    <w:multiLevelType w:val="hybridMultilevel"/>
    <w:tmpl w:val="D39E089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4A5A172F"/>
    <w:multiLevelType w:val="hybridMultilevel"/>
    <w:tmpl w:val="8E584854"/>
    <w:lvl w:ilvl="0" w:tplc="47561906">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4BEE1EB8"/>
    <w:multiLevelType w:val="hybridMultilevel"/>
    <w:tmpl w:val="5DDC22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4D296CE7"/>
    <w:multiLevelType w:val="hybridMultilevel"/>
    <w:tmpl w:val="3AECDBB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4E9510D1"/>
    <w:multiLevelType w:val="hybridMultilevel"/>
    <w:tmpl w:val="E438CFA2"/>
    <w:lvl w:ilvl="0" w:tplc="2EBAF266">
      <w:start w:val="1"/>
      <w:numFmt w:val="bullet"/>
      <w:lvlText w:val=""/>
      <w:lvlJc w:val="left"/>
      <w:pPr>
        <w:ind w:left="720" w:hanging="360"/>
      </w:pPr>
      <w:rPr>
        <w:rFonts w:ascii="Symbol" w:hAnsi="Symbol" w:hint="default"/>
      </w:rPr>
    </w:lvl>
    <w:lvl w:ilvl="1" w:tplc="B7129B5C">
      <w:start w:val="1"/>
      <w:numFmt w:val="bullet"/>
      <w:lvlText w:val="o"/>
      <w:lvlJc w:val="left"/>
      <w:pPr>
        <w:ind w:left="1440" w:hanging="360"/>
      </w:pPr>
      <w:rPr>
        <w:rFonts w:ascii="Courier New" w:hAnsi="Courier New" w:hint="default"/>
      </w:rPr>
    </w:lvl>
    <w:lvl w:ilvl="2" w:tplc="88B4D170">
      <w:start w:val="1"/>
      <w:numFmt w:val="bullet"/>
      <w:lvlText w:val=""/>
      <w:lvlJc w:val="left"/>
      <w:pPr>
        <w:ind w:left="2160" w:hanging="360"/>
      </w:pPr>
      <w:rPr>
        <w:rFonts w:ascii="Wingdings" w:hAnsi="Wingdings" w:hint="default"/>
      </w:rPr>
    </w:lvl>
    <w:lvl w:ilvl="3" w:tplc="6DFCDD92">
      <w:start w:val="1"/>
      <w:numFmt w:val="bullet"/>
      <w:lvlText w:val=""/>
      <w:lvlJc w:val="left"/>
      <w:pPr>
        <w:ind w:left="2880" w:hanging="360"/>
      </w:pPr>
      <w:rPr>
        <w:rFonts w:ascii="Symbol" w:hAnsi="Symbol" w:hint="default"/>
      </w:rPr>
    </w:lvl>
    <w:lvl w:ilvl="4" w:tplc="ED522A06">
      <w:start w:val="1"/>
      <w:numFmt w:val="bullet"/>
      <w:lvlText w:val="o"/>
      <w:lvlJc w:val="left"/>
      <w:pPr>
        <w:ind w:left="3600" w:hanging="360"/>
      </w:pPr>
      <w:rPr>
        <w:rFonts w:ascii="Courier New" w:hAnsi="Courier New" w:hint="default"/>
      </w:rPr>
    </w:lvl>
    <w:lvl w:ilvl="5" w:tplc="725A5DBE">
      <w:start w:val="1"/>
      <w:numFmt w:val="bullet"/>
      <w:lvlText w:val=""/>
      <w:lvlJc w:val="left"/>
      <w:pPr>
        <w:ind w:left="4320" w:hanging="360"/>
      </w:pPr>
      <w:rPr>
        <w:rFonts w:ascii="Wingdings" w:hAnsi="Wingdings" w:hint="default"/>
      </w:rPr>
    </w:lvl>
    <w:lvl w:ilvl="6" w:tplc="CA3271C0">
      <w:start w:val="1"/>
      <w:numFmt w:val="bullet"/>
      <w:lvlText w:val=""/>
      <w:lvlJc w:val="left"/>
      <w:pPr>
        <w:ind w:left="5040" w:hanging="360"/>
      </w:pPr>
      <w:rPr>
        <w:rFonts w:ascii="Symbol" w:hAnsi="Symbol" w:hint="default"/>
      </w:rPr>
    </w:lvl>
    <w:lvl w:ilvl="7" w:tplc="4066D8B4">
      <w:start w:val="1"/>
      <w:numFmt w:val="bullet"/>
      <w:lvlText w:val="o"/>
      <w:lvlJc w:val="left"/>
      <w:pPr>
        <w:ind w:left="5760" w:hanging="360"/>
      </w:pPr>
      <w:rPr>
        <w:rFonts w:ascii="Courier New" w:hAnsi="Courier New" w:hint="default"/>
      </w:rPr>
    </w:lvl>
    <w:lvl w:ilvl="8" w:tplc="2AC8AC92">
      <w:start w:val="1"/>
      <w:numFmt w:val="bullet"/>
      <w:lvlText w:val=""/>
      <w:lvlJc w:val="left"/>
      <w:pPr>
        <w:ind w:left="6480" w:hanging="360"/>
      </w:pPr>
      <w:rPr>
        <w:rFonts w:ascii="Wingdings" w:hAnsi="Wingdings" w:hint="default"/>
      </w:rPr>
    </w:lvl>
  </w:abstractNum>
  <w:abstractNum w:abstractNumId="24" w15:restartNumberingAfterBreak="0">
    <w:nsid w:val="522A38CA"/>
    <w:multiLevelType w:val="hybridMultilevel"/>
    <w:tmpl w:val="FFFFFFFF"/>
    <w:lvl w:ilvl="0" w:tplc="1536205A">
      <w:start w:val="1"/>
      <w:numFmt w:val="bullet"/>
      <w:lvlText w:val=""/>
      <w:lvlJc w:val="left"/>
      <w:pPr>
        <w:ind w:left="720" w:hanging="360"/>
      </w:pPr>
      <w:rPr>
        <w:rFonts w:ascii="Symbol" w:hAnsi="Symbol" w:hint="default"/>
      </w:rPr>
    </w:lvl>
    <w:lvl w:ilvl="1" w:tplc="75B4F01C">
      <w:start w:val="1"/>
      <w:numFmt w:val="bullet"/>
      <w:lvlText w:val="o"/>
      <w:lvlJc w:val="left"/>
      <w:pPr>
        <w:ind w:left="1440" w:hanging="360"/>
      </w:pPr>
      <w:rPr>
        <w:rFonts w:ascii="Courier New" w:hAnsi="Courier New" w:hint="default"/>
      </w:rPr>
    </w:lvl>
    <w:lvl w:ilvl="2" w:tplc="FCBC6712">
      <w:start w:val="1"/>
      <w:numFmt w:val="bullet"/>
      <w:lvlText w:val=""/>
      <w:lvlJc w:val="left"/>
      <w:pPr>
        <w:ind w:left="2160" w:hanging="360"/>
      </w:pPr>
      <w:rPr>
        <w:rFonts w:ascii="Wingdings" w:hAnsi="Wingdings" w:hint="default"/>
      </w:rPr>
    </w:lvl>
    <w:lvl w:ilvl="3" w:tplc="9C863050">
      <w:start w:val="1"/>
      <w:numFmt w:val="bullet"/>
      <w:lvlText w:val=""/>
      <w:lvlJc w:val="left"/>
      <w:pPr>
        <w:ind w:left="2880" w:hanging="360"/>
      </w:pPr>
      <w:rPr>
        <w:rFonts w:ascii="Symbol" w:hAnsi="Symbol" w:hint="default"/>
      </w:rPr>
    </w:lvl>
    <w:lvl w:ilvl="4" w:tplc="CA28ED68">
      <w:start w:val="1"/>
      <w:numFmt w:val="bullet"/>
      <w:lvlText w:val="o"/>
      <w:lvlJc w:val="left"/>
      <w:pPr>
        <w:ind w:left="3600" w:hanging="360"/>
      </w:pPr>
      <w:rPr>
        <w:rFonts w:ascii="Courier New" w:hAnsi="Courier New" w:hint="default"/>
      </w:rPr>
    </w:lvl>
    <w:lvl w:ilvl="5" w:tplc="2F287C56">
      <w:start w:val="1"/>
      <w:numFmt w:val="bullet"/>
      <w:lvlText w:val=""/>
      <w:lvlJc w:val="left"/>
      <w:pPr>
        <w:ind w:left="4320" w:hanging="360"/>
      </w:pPr>
      <w:rPr>
        <w:rFonts w:ascii="Wingdings" w:hAnsi="Wingdings" w:hint="default"/>
      </w:rPr>
    </w:lvl>
    <w:lvl w:ilvl="6" w:tplc="69A07C88">
      <w:start w:val="1"/>
      <w:numFmt w:val="bullet"/>
      <w:lvlText w:val=""/>
      <w:lvlJc w:val="left"/>
      <w:pPr>
        <w:ind w:left="5040" w:hanging="360"/>
      </w:pPr>
      <w:rPr>
        <w:rFonts w:ascii="Symbol" w:hAnsi="Symbol" w:hint="default"/>
      </w:rPr>
    </w:lvl>
    <w:lvl w:ilvl="7" w:tplc="FC12057C">
      <w:start w:val="1"/>
      <w:numFmt w:val="bullet"/>
      <w:lvlText w:val="o"/>
      <w:lvlJc w:val="left"/>
      <w:pPr>
        <w:ind w:left="5760" w:hanging="360"/>
      </w:pPr>
      <w:rPr>
        <w:rFonts w:ascii="Courier New" w:hAnsi="Courier New" w:hint="default"/>
      </w:rPr>
    </w:lvl>
    <w:lvl w:ilvl="8" w:tplc="DD164D70">
      <w:start w:val="1"/>
      <w:numFmt w:val="bullet"/>
      <w:lvlText w:val=""/>
      <w:lvlJc w:val="left"/>
      <w:pPr>
        <w:ind w:left="6480" w:hanging="360"/>
      </w:pPr>
      <w:rPr>
        <w:rFonts w:ascii="Wingdings" w:hAnsi="Wingdings" w:hint="default"/>
      </w:rPr>
    </w:lvl>
  </w:abstractNum>
  <w:abstractNum w:abstractNumId="25" w15:restartNumberingAfterBreak="0">
    <w:nsid w:val="531C1B00"/>
    <w:multiLevelType w:val="hybridMultilevel"/>
    <w:tmpl w:val="1A4088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57907D12"/>
    <w:multiLevelType w:val="hybridMultilevel"/>
    <w:tmpl w:val="B8D2CE2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655B0F4E"/>
    <w:multiLevelType w:val="hybridMultilevel"/>
    <w:tmpl w:val="88DCF11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66801826"/>
    <w:multiLevelType w:val="hybridMultilevel"/>
    <w:tmpl w:val="3356C7F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67EA435D"/>
    <w:multiLevelType w:val="hybridMultilevel"/>
    <w:tmpl w:val="FFE205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68025143"/>
    <w:multiLevelType w:val="hybridMultilevel"/>
    <w:tmpl w:val="830E5A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6A2F5314"/>
    <w:multiLevelType w:val="hybridMultilevel"/>
    <w:tmpl w:val="E9D8835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71D95573"/>
    <w:multiLevelType w:val="hybridMultilevel"/>
    <w:tmpl w:val="AD2E551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77B24815"/>
    <w:multiLevelType w:val="hybridMultilevel"/>
    <w:tmpl w:val="FFFFFFFF"/>
    <w:lvl w:ilvl="0" w:tplc="3190E276">
      <w:start w:val="1"/>
      <w:numFmt w:val="bullet"/>
      <w:lvlText w:val=""/>
      <w:lvlJc w:val="left"/>
      <w:pPr>
        <w:ind w:left="720" w:hanging="360"/>
      </w:pPr>
      <w:rPr>
        <w:rFonts w:ascii="Symbol" w:hAnsi="Symbol" w:hint="default"/>
      </w:rPr>
    </w:lvl>
    <w:lvl w:ilvl="1" w:tplc="73FACF90">
      <w:start w:val="1"/>
      <w:numFmt w:val="bullet"/>
      <w:lvlText w:val="o"/>
      <w:lvlJc w:val="left"/>
      <w:pPr>
        <w:ind w:left="1440" w:hanging="360"/>
      </w:pPr>
      <w:rPr>
        <w:rFonts w:ascii="Courier New" w:hAnsi="Courier New" w:hint="default"/>
      </w:rPr>
    </w:lvl>
    <w:lvl w:ilvl="2" w:tplc="75D600C2">
      <w:start w:val="1"/>
      <w:numFmt w:val="bullet"/>
      <w:lvlText w:val=""/>
      <w:lvlJc w:val="left"/>
      <w:pPr>
        <w:ind w:left="2160" w:hanging="360"/>
      </w:pPr>
      <w:rPr>
        <w:rFonts w:ascii="Wingdings" w:hAnsi="Wingdings" w:hint="default"/>
      </w:rPr>
    </w:lvl>
    <w:lvl w:ilvl="3" w:tplc="5ADACD14">
      <w:start w:val="1"/>
      <w:numFmt w:val="bullet"/>
      <w:lvlText w:val=""/>
      <w:lvlJc w:val="left"/>
      <w:pPr>
        <w:ind w:left="2880" w:hanging="360"/>
      </w:pPr>
      <w:rPr>
        <w:rFonts w:ascii="Symbol" w:hAnsi="Symbol" w:hint="default"/>
      </w:rPr>
    </w:lvl>
    <w:lvl w:ilvl="4" w:tplc="14C87E8E">
      <w:start w:val="1"/>
      <w:numFmt w:val="bullet"/>
      <w:lvlText w:val="o"/>
      <w:lvlJc w:val="left"/>
      <w:pPr>
        <w:ind w:left="3600" w:hanging="360"/>
      </w:pPr>
      <w:rPr>
        <w:rFonts w:ascii="Courier New" w:hAnsi="Courier New" w:hint="default"/>
      </w:rPr>
    </w:lvl>
    <w:lvl w:ilvl="5" w:tplc="9BE41978">
      <w:start w:val="1"/>
      <w:numFmt w:val="bullet"/>
      <w:lvlText w:val=""/>
      <w:lvlJc w:val="left"/>
      <w:pPr>
        <w:ind w:left="4320" w:hanging="360"/>
      </w:pPr>
      <w:rPr>
        <w:rFonts w:ascii="Wingdings" w:hAnsi="Wingdings" w:hint="default"/>
      </w:rPr>
    </w:lvl>
    <w:lvl w:ilvl="6" w:tplc="6394BA2C">
      <w:start w:val="1"/>
      <w:numFmt w:val="bullet"/>
      <w:lvlText w:val=""/>
      <w:lvlJc w:val="left"/>
      <w:pPr>
        <w:ind w:left="5040" w:hanging="360"/>
      </w:pPr>
      <w:rPr>
        <w:rFonts w:ascii="Symbol" w:hAnsi="Symbol" w:hint="default"/>
      </w:rPr>
    </w:lvl>
    <w:lvl w:ilvl="7" w:tplc="A07664B0">
      <w:start w:val="1"/>
      <w:numFmt w:val="bullet"/>
      <w:lvlText w:val="o"/>
      <w:lvlJc w:val="left"/>
      <w:pPr>
        <w:ind w:left="5760" w:hanging="360"/>
      </w:pPr>
      <w:rPr>
        <w:rFonts w:ascii="Courier New" w:hAnsi="Courier New" w:hint="default"/>
      </w:rPr>
    </w:lvl>
    <w:lvl w:ilvl="8" w:tplc="5426987E">
      <w:start w:val="1"/>
      <w:numFmt w:val="bullet"/>
      <w:lvlText w:val=""/>
      <w:lvlJc w:val="left"/>
      <w:pPr>
        <w:ind w:left="6480" w:hanging="360"/>
      </w:pPr>
      <w:rPr>
        <w:rFonts w:ascii="Wingdings" w:hAnsi="Wingdings" w:hint="default"/>
      </w:rPr>
    </w:lvl>
  </w:abstractNum>
  <w:abstractNum w:abstractNumId="34" w15:restartNumberingAfterBreak="0">
    <w:nsid w:val="7AB24940"/>
    <w:multiLevelType w:val="hybridMultilevel"/>
    <w:tmpl w:val="D41E3AD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AF738FD"/>
    <w:multiLevelType w:val="hybridMultilevel"/>
    <w:tmpl w:val="1974EB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7D894E92"/>
    <w:multiLevelType w:val="hybridMultilevel"/>
    <w:tmpl w:val="D7C6680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7DB72452"/>
    <w:multiLevelType w:val="hybridMultilevel"/>
    <w:tmpl w:val="4CE691C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7F5B0A0D"/>
    <w:multiLevelType w:val="hybridMultilevel"/>
    <w:tmpl w:val="29F2AC0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906181981">
    <w:abstractNumId w:val="23"/>
  </w:num>
  <w:num w:numId="2" w16cid:durableId="1545407634">
    <w:abstractNumId w:val="15"/>
  </w:num>
  <w:num w:numId="3" w16cid:durableId="245463820">
    <w:abstractNumId w:val="33"/>
  </w:num>
  <w:num w:numId="4" w16cid:durableId="998000433">
    <w:abstractNumId w:val="5"/>
  </w:num>
  <w:num w:numId="5" w16cid:durableId="1044671288">
    <w:abstractNumId w:val="24"/>
  </w:num>
  <w:num w:numId="6" w16cid:durableId="123694101">
    <w:abstractNumId w:val="4"/>
  </w:num>
  <w:num w:numId="7" w16cid:durableId="1918006494">
    <w:abstractNumId w:val="10"/>
  </w:num>
  <w:num w:numId="8" w16cid:durableId="431097902">
    <w:abstractNumId w:val="37"/>
  </w:num>
  <w:num w:numId="9" w16cid:durableId="1797677711">
    <w:abstractNumId w:val="21"/>
  </w:num>
  <w:num w:numId="10" w16cid:durableId="1955476821">
    <w:abstractNumId w:val="11"/>
  </w:num>
  <w:num w:numId="11" w16cid:durableId="1116870832">
    <w:abstractNumId w:val="19"/>
  </w:num>
  <w:num w:numId="12" w16cid:durableId="1519732832">
    <w:abstractNumId w:val="16"/>
  </w:num>
  <w:num w:numId="13" w16cid:durableId="1420907435">
    <w:abstractNumId w:val="7"/>
  </w:num>
  <w:num w:numId="14" w16cid:durableId="1566334839">
    <w:abstractNumId w:val="6"/>
  </w:num>
  <w:num w:numId="15" w16cid:durableId="718288826">
    <w:abstractNumId w:val="1"/>
  </w:num>
  <w:num w:numId="16" w16cid:durableId="1307927152">
    <w:abstractNumId w:val="8"/>
  </w:num>
  <w:num w:numId="17" w16cid:durableId="845245906">
    <w:abstractNumId w:val="32"/>
  </w:num>
  <w:num w:numId="18" w16cid:durableId="1321152947">
    <w:abstractNumId w:val="28"/>
  </w:num>
  <w:num w:numId="19" w16cid:durableId="1764497738">
    <w:abstractNumId w:val="30"/>
  </w:num>
  <w:num w:numId="20" w16cid:durableId="2091998183">
    <w:abstractNumId w:val="35"/>
  </w:num>
  <w:num w:numId="21" w16cid:durableId="1951547931">
    <w:abstractNumId w:val="25"/>
  </w:num>
  <w:num w:numId="22" w16cid:durableId="768232633">
    <w:abstractNumId w:val="3"/>
  </w:num>
  <w:num w:numId="23" w16cid:durableId="1246495439">
    <w:abstractNumId w:val="31"/>
  </w:num>
  <w:num w:numId="24" w16cid:durableId="453718093">
    <w:abstractNumId w:val="17"/>
  </w:num>
  <w:num w:numId="25" w16cid:durableId="1403604282">
    <w:abstractNumId w:val="34"/>
  </w:num>
  <w:num w:numId="26" w16cid:durableId="1804075343">
    <w:abstractNumId w:val="26"/>
  </w:num>
  <w:num w:numId="27" w16cid:durableId="788354187">
    <w:abstractNumId w:val="12"/>
  </w:num>
  <w:num w:numId="28" w16cid:durableId="699859081">
    <w:abstractNumId w:val="18"/>
  </w:num>
  <w:num w:numId="29" w16cid:durableId="236284648">
    <w:abstractNumId w:val="9"/>
  </w:num>
  <w:num w:numId="30" w16cid:durableId="609897448">
    <w:abstractNumId w:val="13"/>
  </w:num>
  <w:num w:numId="31" w16cid:durableId="684016352">
    <w:abstractNumId w:val="22"/>
  </w:num>
  <w:num w:numId="32" w16cid:durableId="1463768062">
    <w:abstractNumId w:val="2"/>
  </w:num>
  <w:num w:numId="33" w16cid:durableId="757026061">
    <w:abstractNumId w:val="14"/>
  </w:num>
  <w:num w:numId="34" w16cid:durableId="1024481801">
    <w:abstractNumId w:val="20"/>
  </w:num>
  <w:num w:numId="35" w16cid:durableId="1743717571">
    <w:abstractNumId w:val="29"/>
  </w:num>
  <w:num w:numId="36" w16cid:durableId="531378869">
    <w:abstractNumId w:val="0"/>
  </w:num>
  <w:num w:numId="37" w16cid:durableId="575822359">
    <w:abstractNumId w:val="38"/>
  </w:num>
  <w:num w:numId="38" w16cid:durableId="50007523">
    <w:abstractNumId w:val="27"/>
  </w:num>
  <w:num w:numId="39" w16cid:durableId="14094987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F7"/>
    <w:rsid w:val="000034F0"/>
    <w:rsid w:val="00006F7A"/>
    <w:rsid w:val="00007573"/>
    <w:rsid w:val="00013E51"/>
    <w:rsid w:val="00032D28"/>
    <w:rsid w:val="00037ABB"/>
    <w:rsid w:val="0004011F"/>
    <w:rsid w:val="00042336"/>
    <w:rsid w:val="00081EAF"/>
    <w:rsid w:val="0009124D"/>
    <w:rsid w:val="000A482F"/>
    <w:rsid w:val="000A5B25"/>
    <w:rsid w:val="000B4B43"/>
    <w:rsid w:val="000B69E6"/>
    <w:rsid w:val="000C1911"/>
    <w:rsid w:val="000C71F4"/>
    <w:rsid w:val="000F48C1"/>
    <w:rsid w:val="000F6804"/>
    <w:rsid w:val="000F7594"/>
    <w:rsid w:val="00103369"/>
    <w:rsid w:val="00110A03"/>
    <w:rsid w:val="001313C7"/>
    <w:rsid w:val="001367B2"/>
    <w:rsid w:val="00144E62"/>
    <w:rsid w:val="001570F7"/>
    <w:rsid w:val="001600DF"/>
    <w:rsid w:val="001747B7"/>
    <w:rsid w:val="00174F93"/>
    <w:rsid w:val="00194B8C"/>
    <w:rsid w:val="001A35B5"/>
    <w:rsid w:val="001A3618"/>
    <w:rsid w:val="001A5EB1"/>
    <w:rsid w:val="001B5421"/>
    <w:rsid w:val="001C4FAC"/>
    <w:rsid w:val="001D28D6"/>
    <w:rsid w:val="001D2A6B"/>
    <w:rsid w:val="001E108D"/>
    <w:rsid w:val="001F6741"/>
    <w:rsid w:val="00200FC0"/>
    <w:rsid w:val="00203CBE"/>
    <w:rsid w:val="00207C0B"/>
    <w:rsid w:val="002104B7"/>
    <w:rsid w:val="00211A7C"/>
    <w:rsid w:val="00212AEB"/>
    <w:rsid w:val="00215D31"/>
    <w:rsid w:val="00221767"/>
    <w:rsid w:val="00241FAB"/>
    <w:rsid w:val="00245C05"/>
    <w:rsid w:val="0025510F"/>
    <w:rsid w:val="00272D32"/>
    <w:rsid w:val="00273D3D"/>
    <w:rsid w:val="0027626D"/>
    <w:rsid w:val="0029150E"/>
    <w:rsid w:val="00291D3D"/>
    <w:rsid w:val="002A3B9E"/>
    <w:rsid w:val="002B5CDF"/>
    <w:rsid w:val="002B691E"/>
    <w:rsid w:val="002D0C7B"/>
    <w:rsid w:val="002D442C"/>
    <w:rsid w:val="002E60F1"/>
    <w:rsid w:val="002E712D"/>
    <w:rsid w:val="002F4BED"/>
    <w:rsid w:val="0030655F"/>
    <w:rsid w:val="00306928"/>
    <w:rsid w:val="003472B4"/>
    <w:rsid w:val="0035362B"/>
    <w:rsid w:val="00357A5D"/>
    <w:rsid w:val="00367B72"/>
    <w:rsid w:val="00370994"/>
    <w:rsid w:val="00383A8C"/>
    <w:rsid w:val="00396B37"/>
    <w:rsid w:val="00397AE8"/>
    <w:rsid w:val="003A5B03"/>
    <w:rsid w:val="003B635A"/>
    <w:rsid w:val="003D19F8"/>
    <w:rsid w:val="003E1339"/>
    <w:rsid w:val="003E2F1E"/>
    <w:rsid w:val="003F2ADF"/>
    <w:rsid w:val="00412FF0"/>
    <w:rsid w:val="00424C4F"/>
    <w:rsid w:val="00425164"/>
    <w:rsid w:val="00425FC5"/>
    <w:rsid w:val="00427B48"/>
    <w:rsid w:val="00441FCB"/>
    <w:rsid w:val="0045543A"/>
    <w:rsid w:val="0045739F"/>
    <w:rsid w:val="00474ABC"/>
    <w:rsid w:val="00476318"/>
    <w:rsid w:val="00493241"/>
    <w:rsid w:val="00496905"/>
    <w:rsid w:val="004A021F"/>
    <w:rsid w:val="004B09A4"/>
    <w:rsid w:val="004B6F1B"/>
    <w:rsid w:val="004C24C5"/>
    <w:rsid w:val="004C41E1"/>
    <w:rsid w:val="004E2C37"/>
    <w:rsid w:val="004E5D80"/>
    <w:rsid w:val="00501E95"/>
    <w:rsid w:val="00512C28"/>
    <w:rsid w:val="00521B04"/>
    <w:rsid w:val="0052268B"/>
    <w:rsid w:val="00547CBC"/>
    <w:rsid w:val="00572976"/>
    <w:rsid w:val="00574B3A"/>
    <w:rsid w:val="00575301"/>
    <w:rsid w:val="00586B6E"/>
    <w:rsid w:val="0058789B"/>
    <w:rsid w:val="00590829"/>
    <w:rsid w:val="005A16C4"/>
    <w:rsid w:val="005D24F5"/>
    <w:rsid w:val="005E39D4"/>
    <w:rsid w:val="00602469"/>
    <w:rsid w:val="0061780C"/>
    <w:rsid w:val="00622FEF"/>
    <w:rsid w:val="00632A8B"/>
    <w:rsid w:val="00641064"/>
    <w:rsid w:val="00641721"/>
    <w:rsid w:val="00646FF1"/>
    <w:rsid w:val="00650FCA"/>
    <w:rsid w:val="0066108F"/>
    <w:rsid w:val="00661162"/>
    <w:rsid w:val="00672016"/>
    <w:rsid w:val="00672036"/>
    <w:rsid w:val="00672539"/>
    <w:rsid w:val="00677317"/>
    <w:rsid w:val="00681407"/>
    <w:rsid w:val="006816FD"/>
    <w:rsid w:val="0068275F"/>
    <w:rsid w:val="00684A2C"/>
    <w:rsid w:val="00694A38"/>
    <w:rsid w:val="006B1BB2"/>
    <w:rsid w:val="006D7C15"/>
    <w:rsid w:val="00716A5D"/>
    <w:rsid w:val="00734D62"/>
    <w:rsid w:val="0073770C"/>
    <w:rsid w:val="00754692"/>
    <w:rsid w:val="0075608C"/>
    <w:rsid w:val="007600AA"/>
    <w:rsid w:val="00760BF0"/>
    <w:rsid w:val="00764573"/>
    <w:rsid w:val="00765D89"/>
    <w:rsid w:val="007922C2"/>
    <w:rsid w:val="007950FE"/>
    <w:rsid w:val="007A7C0B"/>
    <w:rsid w:val="007C723B"/>
    <w:rsid w:val="007D5ADE"/>
    <w:rsid w:val="007D6913"/>
    <w:rsid w:val="007E6D16"/>
    <w:rsid w:val="007F77CC"/>
    <w:rsid w:val="00801484"/>
    <w:rsid w:val="0080415E"/>
    <w:rsid w:val="0083055C"/>
    <w:rsid w:val="00844732"/>
    <w:rsid w:val="0084760F"/>
    <w:rsid w:val="00854722"/>
    <w:rsid w:val="00854823"/>
    <w:rsid w:val="00861E0B"/>
    <w:rsid w:val="008744F7"/>
    <w:rsid w:val="00876048"/>
    <w:rsid w:val="00880F6C"/>
    <w:rsid w:val="00885685"/>
    <w:rsid w:val="008A0EE1"/>
    <w:rsid w:val="008A3BD7"/>
    <w:rsid w:val="008B495B"/>
    <w:rsid w:val="008C3265"/>
    <w:rsid w:val="008C34D3"/>
    <w:rsid w:val="008D3F59"/>
    <w:rsid w:val="00904055"/>
    <w:rsid w:val="00904D19"/>
    <w:rsid w:val="00911776"/>
    <w:rsid w:val="009125B3"/>
    <w:rsid w:val="009129D1"/>
    <w:rsid w:val="00936C61"/>
    <w:rsid w:val="00950578"/>
    <w:rsid w:val="00956F8A"/>
    <w:rsid w:val="00957F4B"/>
    <w:rsid w:val="009627D0"/>
    <w:rsid w:val="00964BF0"/>
    <w:rsid w:val="009652A1"/>
    <w:rsid w:val="009910EF"/>
    <w:rsid w:val="009B013C"/>
    <w:rsid w:val="009B6049"/>
    <w:rsid w:val="009C3093"/>
    <w:rsid w:val="009D6E91"/>
    <w:rsid w:val="009E552B"/>
    <w:rsid w:val="009E6031"/>
    <w:rsid w:val="009E682C"/>
    <w:rsid w:val="009E71D4"/>
    <w:rsid w:val="009F07D2"/>
    <w:rsid w:val="00A04092"/>
    <w:rsid w:val="00A11C82"/>
    <w:rsid w:val="00A11DF3"/>
    <w:rsid w:val="00A12A92"/>
    <w:rsid w:val="00A150BC"/>
    <w:rsid w:val="00A1547E"/>
    <w:rsid w:val="00A448C8"/>
    <w:rsid w:val="00A464BE"/>
    <w:rsid w:val="00A50AF5"/>
    <w:rsid w:val="00A70EAC"/>
    <w:rsid w:val="00AA376E"/>
    <w:rsid w:val="00AB09D7"/>
    <w:rsid w:val="00AB1F16"/>
    <w:rsid w:val="00AC26C7"/>
    <w:rsid w:val="00AD583A"/>
    <w:rsid w:val="00AF45BC"/>
    <w:rsid w:val="00B00DCC"/>
    <w:rsid w:val="00B05AD7"/>
    <w:rsid w:val="00B2304D"/>
    <w:rsid w:val="00B306E9"/>
    <w:rsid w:val="00B34DCB"/>
    <w:rsid w:val="00B353DE"/>
    <w:rsid w:val="00B41324"/>
    <w:rsid w:val="00B4670B"/>
    <w:rsid w:val="00B46C23"/>
    <w:rsid w:val="00B47AFD"/>
    <w:rsid w:val="00B5138B"/>
    <w:rsid w:val="00B537E6"/>
    <w:rsid w:val="00B671E0"/>
    <w:rsid w:val="00B7139D"/>
    <w:rsid w:val="00B74F7A"/>
    <w:rsid w:val="00B93CC6"/>
    <w:rsid w:val="00B95720"/>
    <w:rsid w:val="00B95857"/>
    <w:rsid w:val="00BA4856"/>
    <w:rsid w:val="00BC3F04"/>
    <w:rsid w:val="00BC78EB"/>
    <w:rsid w:val="00BD238F"/>
    <w:rsid w:val="00BD3981"/>
    <w:rsid w:val="00BD7057"/>
    <w:rsid w:val="00BE2750"/>
    <w:rsid w:val="00BE73F6"/>
    <w:rsid w:val="00BF218C"/>
    <w:rsid w:val="00BF5E32"/>
    <w:rsid w:val="00BF76B3"/>
    <w:rsid w:val="00C00723"/>
    <w:rsid w:val="00C025AC"/>
    <w:rsid w:val="00C03473"/>
    <w:rsid w:val="00C0490E"/>
    <w:rsid w:val="00C0675A"/>
    <w:rsid w:val="00C10E24"/>
    <w:rsid w:val="00C323FC"/>
    <w:rsid w:val="00C354B6"/>
    <w:rsid w:val="00C3652F"/>
    <w:rsid w:val="00C41265"/>
    <w:rsid w:val="00C4151A"/>
    <w:rsid w:val="00C41AC0"/>
    <w:rsid w:val="00C420EC"/>
    <w:rsid w:val="00C4448A"/>
    <w:rsid w:val="00C4604D"/>
    <w:rsid w:val="00C46D64"/>
    <w:rsid w:val="00C501FD"/>
    <w:rsid w:val="00C61760"/>
    <w:rsid w:val="00C6232B"/>
    <w:rsid w:val="00C70F2A"/>
    <w:rsid w:val="00C77921"/>
    <w:rsid w:val="00C81608"/>
    <w:rsid w:val="00C86FA0"/>
    <w:rsid w:val="00CC18B0"/>
    <w:rsid w:val="00CD24FE"/>
    <w:rsid w:val="00CE7C91"/>
    <w:rsid w:val="00CF72FE"/>
    <w:rsid w:val="00D006F6"/>
    <w:rsid w:val="00D042D5"/>
    <w:rsid w:val="00D04A5E"/>
    <w:rsid w:val="00D10364"/>
    <w:rsid w:val="00D11A1C"/>
    <w:rsid w:val="00D12658"/>
    <w:rsid w:val="00D13036"/>
    <w:rsid w:val="00D16EA6"/>
    <w:rsid w:val="00D24422"/>
    <w:rsid w:val="00D25BC5"/>
    <w:rsid w:val="00D25E20"/>
    <w:rsid w:val="00D40EB0"/>
    <w:rsid w:val="00D4398C"/>
    <w:rsid w:val="00D4767D"/>
    <w:rsid w:val="00D601BC"/>
    <w:rsid w:val="00D710B8"/>
    <w:rsid w:val="00D76124"/>
    <w:rsid w:val="00D76D14"/>
    <w:rsid w:val="00D76ED9"/>
    <w:rsid w:val="00D8040D"/>
    <w:rsid w:val="00D9046C"/>
    <w:rsid w:val="00D9208E"/>
    <w:rsid w:val="00DA19DE"/>
    <w:rsid w:val="00DA3D52"/>
    <w:rsid w:val="00DB3F62"/>
    <w:rsid w:val="00DB68A8"/>
    <w:rsid w:val="00DC5D29"/>
    <w:rsid w:val="00DD1420"/>
    <w:rsid w:val="00DE0E00"/>
    <w:rsid w:val="00DE6196"/>
    <w:rsid w:val="00E00551"/>
    <w:rsid w:val="00E1133B"/>
    <w:rsid w:val="00E16AC3"/>
    <w:rsid w:val="00E27341"/>
    <w:rsid w:val="00E367DC"/>
    <w:rsid w:val="00E433BD"/>
    <w:rsid w:val="00E45677"/>
    <w:rsid w:val="00E51DFC"/>
    <w:rsid w:val="00E61B10"/>
    <w:rsid w:val="00E62F11"/>
    <w:rsid w:val="00E735DD"/>
    <w:rsid w:val="00E74707"/>
    <w:rsid w:val="00E80326"/>
    <w:rsid w:val="00E80895"/>
    <w:rsid w:val="00E9310D"/>
    <w:rsid w:val="00E96681"/>
    <w:rsid w:val="00E97D6E"/>
    <w:rsid w:val="00EA1350"/>
    <w:rsid w:val="00EA1F90"/>
    <w:rsid w:val="00EA3D7A"/>
    <w:rsid w:val="00EB11F7"/>
    <w:rsid w:val="00EC146E"/>
    <w:rsid w:val="00EC5516"/>
    <w:rsid w:val="00ED6361"/>
    <w:rsid w:val="00EE0CC1"/>
    <w:rsid w:val="00EE2A7A"/>
    <w:rsid w:val="00EF5B96"/>
    <w:rsid w:val="00EF73F3"/>
    <w:rsid w:val="00F11C21"/>
    <w:rsid w:val="00F15DD0"/>
    <w:rsid w:val="00F17A00"/>
    <w:rsid w:val="00F2093D"/>
    <w:rsid w:val="00F24E1D"/>
    <w:rsid w:val="00F32670"/>
    <w:rsid w:val="00F35D3D"/>
    <w:rsid w:val="00F40267"/>
    <w:rsid w:val="00F44779"/>
    <w:rsid w:val="00F471CF"/>
    <w:rsid w:val="00F50122"/>
    <w:rsid w:val="00F53720"/>
    <w:rsid w:val="00F73210"/>
    <w:rsid w:val="00F81BE4"/>
    <w:rsid w:val="00F9198B"/>
    <w:rsid w:val="00FB2CEF"/>
    <w:rsid w:val="00FC4746"/>
    <w:rsid w:val="00FE1B87"/>
    <w:rsid w:val="00FE32CE"/>
    <w:rsid w:val="00FE5FE8"/>
    <w:rsid w:val="00FF148F"/>
    <w:rsid w:val="01153581"/>
    <w:rsid w:val="016C6F62"/>
    <w:rsid w:val="0229F32E"/>
    <w:rsid w:val="02489B3B"/>
    <w:rsid w:val="02515C6D"/>
    <w:rsid w:val="03BBF9B8"/>
    <w:rsid w:val="043B739F"/>
    <w:rsid w:val="046767DC"/>
    <w:rsid w:val="04938297"/>
    <w:rsid w:val="052AC8FE"/>
    <w:rsid w:val="0552C70F"/>
    <w:rsid w:val="05C6D42F"/>
    <w:rsid w:val="06BE13BF"/>
    <w:rsid w:val="075449A5"/>
    <w:rsid w:val="07D87239"/>
    <w:rsid w:val="082E0A1E"/>
    <w:rsid w:val="084401C7"/>
    <w:rsid w:val="0898DA19"/>
    <w:rsid w:val="08A0DD9E"/>
    <w:rsid w:val="08CF70E7"/>
    <w:rsid w:val="0A4230F7"/>
    <w:rsid w:val="0A500AB0"/>
    <w:rsid w:val="0AD3DAE2"/>
    <w:rsid w:val="0AF46645"/>
    <w:rsid w:val="0B4C2F2B"/>
    <w:rsid w:val="0BC2C2A8"/>
    <w:rsid w:val="0BD63BC6"/>
    <w:rsid w:val="0BFB21D4"/>
    <w:rsid w:val="0CB2F2BD"/>
    <w:rsid w:val="0D5A851A"/>
    <w:rsid w:val="0DD3B423"/>
    <w:rsid w:val="0DEF94C0"/>
    <w:rsid w:val="0E7787DF"/>
    <w:rsid w:val="0F7D10C7"/>
    <w:rsid w:val="11032C7D"/>
    <w:rsid w:val="1185CC7F"/>
    <w:rsid w:val="11EA4FCA"/>
    <w:rsid w:val="12120455"/>
    <w:rsid w:val="128997DF"/>
    <w:rsid w:val="13EAD55A"/>
    <w:rsid w:val="140DAB09"/>
    <w:rsid w:val="145A5193"/>
    <w:rsid w:val="147C7F16"/>
    <w:rsid w:val="15216A07"/>
    <w:rsid w:val="152E4D7F"/>
    <w:rsid w:val="165F1EA3"/>
    <w:rsid w:val="16D50FE8"/>
    <w:rsid w:val="17FA3CEB"/>
    <w:rsid w:val="1851A8AA"/>
    <w:rsid w:val="1858EE9B"/>
    <w:rsid w:val="185DD407"/>
    <w:rsid w:val="19DE007B"/>
    <w:rsid w:val="1A08351C"/>
    <w:rsid w:val="1AAD1950"/>
    <w:rsid w:val="1ACD5D32"/>
    <w:rsid w:val="1AF94397"/>
    <w:rsid w:val="1B70D77E"/>
    <w:rsid w:val="1BC9DADA"/>
    <w:rsid w:val="1C786774"/>
    <w:rsid w:val="1D456E5D"/>
    <w:rsid w:val="1DFEF05C"/>
    <w:rsid w:val="1E668EAD"/>
    <w:rsid w:val="1E7E9A78"/>
    <w:rsid w:val="1FD9FCF9"/>
    <w:rsid w:val="2006492F"/>
    <w:rsid w:val="2065F73D"/>
    <w:rsid w:val="2149E370"/>
    <w:rsid w:val="2179951C"/>
    <w:rsid w:val="21B830D0"/>
    <w:rsid w:val="21BACE32"/>
    <w:rsid w:val="221C1972"/>
    <w:rsid w:val="222708BD"/>
    <w:rsid w:val="22848A82"/>
    <w:rsid w:val="23100922"/>
    <w:rsid w:val="23786904"/>
    <w:rsid w:val="23B56E24"/>
    <w:rsid w:val="23B60818"/>
    <w:rsid w:val="23BC0482"/>
    <w:rsid w:val="23FBAE1F"/>
    <w:rsid w:val="248E3361"/>
    <w:rsid w:val="24B3786C"/>
    <w:rsid w:val="24F571A5"/>
    <w:rsid w:val="25C2BA74"/>
    <w:rsid w:val="25CE158A"/>
    <w:rsid w:val="25D6697B"/>
    <w:rsid w:val="25E9C3A4"/>
    <w:rsid w:val="262627CB"/>
    <w:rsid w:val="265DD00C"/>
    <w:rsid w:val="27732303"/>
    <w:rsid w:val="2799FFC0"/>
    <w:rsid w:val="28867E18"/>
    <w:rsid w:val="2974B016"/>
    <w:rsid w:val="2AB4D0EF"/>
    <w:rsid w:val="2AD0082C"/>
    <w:rsid w:val="2B002844"/>
    <w:rsid w:val="2C149F9D"/>
    <w:rsid w:val="2C297AA5"/>
    <w:rsid w:val="2CB57149"/>
    <w:rsid w:val="2CDC1FE1"/>
    <w:rsid w:val="2CF117C5"/>
    <w:rsid w:val="2D4B8C56"/>
    <w:rsid w:val="2D828B8A"/>
    <w:rsid w:val="2D9225B4"/>
    <w:rsid w:val="2E8271A8"/>
    <w:rsid w:val="2F8655A4"/>
    <w:rsid w:val="2F962F64"/>
    <w:rsid w:val="3004401C"/>
    <w:rsid w:val="302845C3"/>
    <w:rsid w:val="303BDF08"/>
    <w:rsid w:val="30A8A573"/>
    <w:rsid w:val="3149D447"/>
    <w:rsid w:val="31A35E74"/>
    <w:rsid w:val="31B21993"/>
    <w:rsid w:val="3206B524"/>
    <w:rsid w:val="325FEB2F"/>
    <w:rsid w:val="3296245A"/>
    <w:rsid w:val="32CBAB78"/>
    <w:rsid w:val="32CD06C0"/>
    <w:rsid w:val="32D7FCEE"/>
    <w:rsid w:val="337D89BF"/>
    <w:rsid w:val="33A9933E"/>
    <w:rsid w:val="346F3C99"/>
    <w:rsid w:val="3485B99F"/>
    <w:rsid w:val="34FC7B8F"/>
    <w:rsid w:val="3536798C"/>
    <w:rsid w:val="35969B19"/>
    <w:rsid w:val="35DC3DF1"/>
    <w:rsid w:val="36139ADE"/>
    <w:rsid w:val="36746013"/>
    <w:rsid w:val="3694CFBA"/>
    <w:rsid w:val="37550554"/>
    <w:rsid w:val="3775A6D2"/>
    <w:rsid w:val="37BD30CA"/>
    <w:rsid w:val="37C2FE68"/>
    <w:rsid w:val="38562A5F"/>
    <w:rsid w:val="388135BD"/>
    <w:rsid w:val="3886C6FA"/>
    <w:rsid w:val="38A6D19D"/>
    <w:rsid w:val="38BFF639"/>
    <w:rsid w:val="38D5BC5B"/>
    <w:rsid w:val="392228B5"/>
    <w:rsid w:val="392CEFFC"/>
    <w:rsid w:val="393A5012"/>
    <w:rsid w:val="3A2C53EE"/>
    <w:rsid w:val="3A4BC229"/>
    <w:rsid w:val="3A9D351F"/>
    <w:rsid w:val="3AA58618"/>
    <w:rsid w:val="3AFCD158"/>
    <w:rsid w:val="3B4ACB01"/>
    <w:rsid w:val="3C19BEAE"/>
    <w:rsid w:val="3D00FADB"/>
    <w:rsid w:val="3D063D85"/>
    <w:rsid w:val="3D661B07"/>
    <w:rsid w:val="3D6DE3F6"/>
    <w:rsid w:val="3D8DBCD3"/>
    <w:rsid w:val="3DEE1E00"/>
    <w:rsid w:val="3E7665A8"/>
    <w:rsid w:val="3ED85C14"/>
    <w:rsid w:val="3FAD237E"/>
    <w:rsid w:val="4077F8DD"/>
    <w:rsid w:val="41A8E44D"/>
    <w:rsid w:val="42213ACC"/>
    <w:rsid w:val="433F1051"/>
    <w:rsid w:val="4360C14B"/>
    <w:rsid w:val="4378D42B"/>
    <w:rsid w:val="4457848A"/>
    <w:rsid w:val="44866281"/>
    <w:rsid w:val="45B3B2F8"/>
    <w:rsid w:val="45B9FBD3"/>
    <w:rsid w:val="45C013F4"/>
    <w:rsid w:val="4646CBEC"/>
    <w:rsid w:val="465C66D0"/>
    <w:rsid w:val="473E3231"/>
    <w:rsid w:val="47A9016D"/>
    <w:rsid w:val="480349BF"/>
    <w:rsid w:val="480A7E91"/>
    <w:rsid w:val="4981C159"/>
    <w:rsid w:val="4A589432"/>
    <w:rsid w:val="4A88EF4A"/>
    <w:rsid w:val="4A917464"/>
    <w:rsid w:val="4A989D89"/>
    <w:rsid w:val="4B2DFB25"/>
    <w:rsid w:val="4CA9CBF5"/>
    <w:rsid w:val="4D65114A"/>
    <w:rsid w:val="4EB5DCF1"/>
    <w:rsid w:val="4ED6281C"/>
    <w:rsid w:val="4F06FF65"/>
    <w:rsid w:val="4F377228"/>
    <w:rsid w:val="4F55DF1E"/>
    <w:rsid w:val="4F8E29F0"/>
    <w:rsid w:val="4FA98240"/>
    <w:rsid w:val="500A62AC"/>
    <w:rsid w:val="50E34D6A"/>
    <w:rsid w:val="50FE908F"/>
    <w:rsid w:val="51041456"/>
    <w:rsid w:val="5150E9AF"/>
    <w:rsid w:val="51CEADD9"/>
    <w:rsid w:val="521D7E28"/>
    <w:rsid w:val="53CED743"/>
    <w:rsid w:val="544AE418"/>
    <w:rsid w:val="5466852A"/>
    <w:rsid w:val="54AC20ED"/>
    <w:rsid w:val="556299AB"/>
    <w:rsid w:val="55A0FA9C"/>
    <w:rsid w:val="55BBCF00"/>
    <w:rsid w:val="57D08038"/>
    <w:rsid w:val="58380FD4"/>
    <w:rsid w:val="58666B50"/>
    <w:rsid w:val="5880CD30"/>
    <w:rsid w:val="58974BE9"/>
    <w:rsid w:val="5931BB59"/>
    <w:rsid w:val="5A6E3656"/>
    <w:rsid w:val="5AD886BE"/>
    <w:rsid w:val="5B661CD2"/>
    <w:rsid w:val="5BAA27D4"/>
    <w:rsid w:val="5C0BC900"/>
    <w:rsid w:val="5C73517B"/>
    <w:rsid w:val="5C7C4E9D"/>
    <w:rsid w:val="5D327057"/>
    <w:rsid w:val="5D90B9C2"/>
    <w:rsid w:val="5DE989F1"/>
    <w:rsid w:val="5DF3D636"/>
    <w:rsid w:val="5E054DF9"/>
    <w:rsid w:val="5E308CBC"/>
    <w:rsid w:val="5E5F6510"/>
    <w:rsid w:val="5EC34E16"/>
    <w:rsid w:val="5F12A4F4"/>
    <w:rsid w:val="5F477667"/>
    <w:rsid w:val="5F854F18"/>
    <w:rsid w:val="5F969EF0"/>
    <w:rsid w:val="5FD2CDAF"/>
    <w:rsid w:val="600AAFE0"/>
    <w:rsid w:val="6080E973"/>
    <w:rsid w:val="60A45E17"/>
    <w:rsid w:val="61ABAFAE"/>
    <w:rsid w:val="62D54FA3"/>
    <w:rsid w:val="6346A8A9"/>
    <w:rsid w:val="63D5A468"/>
    <w:rsid w:val="63E9C4FE"/>
    <w:rsid w:val="642E4954"/>
    <w:rsid w:val="645181F2"/>
    <w:rsid w:val="645B3477"/>
    <w:rsid w:val="649B8C2A"/>
    <w:rsid w:val="66985369"/>
    <w:rsid w:val="67FB7592"/>
    <w:rsid w:val="69B987D0"/>
    <w:rsid w:val="69BDEE8F"/>
    <w:rsid w:val="69EAC0C8"/>
    <w:rsid w:val="69FF9FBC"/>
    <w:rsid w:val="6A878B3F"/>
    <w:rsid w:val="6DFF4ED8"/>
    <w:rsid w:val="6E727887"/>
    <w:rsid w:val="6E8B447D"/>
    <w:rsid w:val="6E8CE499"/>
    <w:rsid w:val="6ECD26E2"/>
    <w:rsid w:val="6ED2609A"/>
    <w:rsid w:val="6F05E878"/>
    <w:rsid w:val="6F09D9D4"/>
    <w:rsid w:val="6F51EF27"/>
    <w:rsid w:val="700E9F88"/>
    <w:rsid w:val="70F65FBE"/>
    <w:rsid w:val="71DA14FE"/>
    <w:rsid w:val="7336B1FD"/>
    <w:rsid w:val="734355EE"/>
    <w:rsid w:val="74503AC7"/>
    <w:rsid w:val="7616992D"/>
    <w:rsid w:val="7663238C"/>
    <w:rsid w:val="76BD9A2B"/>
    <w:rsid w:val="76F8B665"/>
    <w:rsid w:val="778594EB"/>
    <w:rsid w:val="77B3F99B"/>
    <w:rsid w:val="77B8708B"/>
    <w:rsid w:val="786F3BA2"/>
    <w:rsid w:val="78EFEDC7"/>
    <w:rsid w:val="790C083C"/>
    <w:rsid w:val="791FEC56"/>
    <w:rsid w:val="79A9425E"/>
    <w:rsid w:val="79FCF48C"/>
    <w:rsid w:val="7AB1DF5C"/>
    <w:rsid w:val="7BB40943"/>
    <w:rsid w:val="7CB062AC"/>
    <w:rsid w:val="7E4B7566"/>
    <w:rsid w:val="7E8EBA1E"/>
    <w:rsid w:val="7EA615E2"/>
    <w:rsid w:val="7EB6ED4C"/>
    <w:rsid w:val="7F170BB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B5674"/>
  <w15:chartTrackingRefBased/>
  <w15:docId w15:val="{62FBCA9D-9295-4EC1-B627-2A65E137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15D31"/>
    <w:pPr>
      <w:spacing w:after="240" w:line="360" w:lineRule="auto"/>
      <w:jc w:val="both"/>
    </w:pPr>
    <w:rPr>
      <w:rFonts w:ascii="Times New Roman" w:hAnsi="Times New Roman"/>
    </w:rPr>
  </w:style>
  <w:style w:type="paragraph" w:styleId="berschrift1">
    <w:name w:val="heading 1"/>
    <w:next w:val="Standard"/>
    <w:link w:val="berschrift1Zchn"/>
    <w:uiPriority w:val="9"/>
    <w:qFormat/>
    <w:rsid w:val="00C420EC"/>
    <w:pPr>
      <w:keepNext/>
      <w:keepLines/>
      <w:pageBreakBefore/>
      <w:numPr>
        <w:numId w:val="7"/>
      </w:numPr>
      <w:spacing w:after="240" w:line="360" w:lineRule="auto"/>
      <w:ind w:left="431" w:hanging="431"/>
      <w:jc w:val="both"/>
      <w:outlineLvl w:val="0"/>
    </w:pPr>
    <w:rPr>
      <w:rFonts w:ascii="Times New Roman" w:eastAsia="Times New Roman" w:hAnsi="Times New Roman" w:cs="Times New Roman"/>
      <w:sz w:val="40"/>
      <w:szCs w:val="40"/>
    </w:rPr>
  </w:style>
  <w:style w:type="paragraph" w:styleId="berschrift2">
    <w:name w:val="heading 2"/>
    <w:next w:val="Standard"/>
    <w:link w:val="berschrift2Zchn"/>
    <w:uiPriority w:val="9"/>
    <w:unhideWhenUsed/>
    <w:qFormat/>
    <w:rsid w:val="00032D28"/>
    <w:pPr>
      <w:keepNext/>
      <w:keepLines/>
      <w:numPr>
        <w:ilvl w:val="1"/>
        <w:numId w:val="7"/>
      </w:numPr>
      <w:spacing w:after="240" w:line="360" w:lineRule="auto"/>
      <w:ind w:left="578" w:hanging="578"/>
      <w:jc w:val="both"/>
      <w:outlineLvl w:val="1"/>
    </w:pPr>
    <w:rPr>
      <w:rFonts w:ascii="Times New Roman" w:eastAsia="Times New Roman" w:hAnsi="Times New Roman" w:cs="Times New Roman"/>
      <w:sz w:val="32"/>
      <w:szCs w:val="32"/>
    </w:rPr>
  </w:style>
  <w:style w:type="paragraph" w:styleId="berschrift3">
    <w:name w:val="heading 3"/>
    <w:link w:val="berschrift3Zchn"/>
    <w:uiPriority w:val="9"/>
    <w:unhideWhenUsed/>
    <w:qFormat/>
    <w:rsid w:val="00FE32CE"/>
    <w:pPr>
      <w:keepNext/>
      <w:keepLines/>
      <w:numPr>
        <w:ilvl w:val="2"/>
        <w:numId w:val="7"/>
      </w:numPr>
      <w:spacing w:after="240" w:line="360" w:lineRule="auto"/>
      <w:jc w:val="both"/>
      <w:outlineLvl w:val="2"/>
    </w:pPr>
    <w:rPr>
      <w:rFonts w:ascii="Times New Roman" w:eastAsiaTheme="majorEastAsia" w:hAnsi="Times New Roman" w:cstheme="majorBidi"/>
      <w:sz w:val="28"/>
      <w:szCs w:val="28"/>
    </w:rPr>
  </w:style>
  <w:style w:type="paragraph" w:styleId="berschrift4">
    <w:name w:val="heading 4"/>
    <w:link w:val="berschrift4Zchn"/>
    <w:uiPriority w:val="9"/>
    <w:semiHidden/>
    <w:unhideWhenUsed/>
    <w:qFormat/>
    <w:rsid w:val="51CEADD9"/>
    <w:pPr>
      <w:keepNext/>
      <w:keepLines/>
      <w:numPr>
        <w:ilvl w:val="3"/>
        <w:numId w:val="7"/>
      </w:numPr>
      <w:spacing w:before="80" w:after="40"/>
      <w:outlineLvl w:val="3"/>
    </w:pPr>
    <w:rPr>
      <w:rFonts w:eastAsiaTheme="majorEastAsia" w:cstheme="majorBidi"/>
      <w:i/>
      <w:iCs/>
      <w:color w:val="0F4761" w:themeColor="accent1" w:themeShade="BF"/>
    </w:rPr>
  </w:style>
  <w:style w:type="paragraph" w:styleId="berschrift5">
    <w:name w:val="heading 5"/>
    <w:link w:val="berschrift5Zchn"/>
    <w:uiPriority w:val="9"/>
    <w:semiHidden/>
    <w:unhideWhenUsed/>
    <w:qFormat/>
    <w:rsid w:val="51CEADD9"/>
    <w:pPr>
      <w:keepNext/>
      <w:keepLines/>
      <w:numPr>
        <w:ilvl w:val="4"/>
        <w:numId w:val="7"/>
      </w:numPr>
      <w:spacing w:before="80" w:after="40"/>
      <w:outlineLvl w:val="4"/>
    </w:pPr>
    <w:rPr>
      <w:rFonts w:eastAsiaTheme="majorEastAsia" w:cstheme="majorBidi"/>
      <w:color w:val="0F4761" w:themeColor="accent1" w:themeShade="BF"/>
    </w:rPr>
  </w:style>
  <w:style w:type="paragraph" w:styleId="berschrift6">
    <w:name w:val="heading 6"/>
    <w:link w:val="berschrift6Zchn"/>
    <w:uiPriority w:val="9"/>
    <w:semiHidden/>
    <w:unhideWhenUsed/>
    <w:qFormat/>
    <w:rsid w:val="51CEADD9"/>
    <w:pPr>
      <w:keepNext/>
      <w:keepLines/>
      <w:numPr>
        <w:ilvl w:val="5"/>
        <w:numId w:val="7"/>
      </w:numPr>
      <w:spacing w:before="40" w:after="0"/>
      <w:outlineLvl w:val="5"/>
    </w:pPr>
    <w:rPr>
      <w:rFonts w:eastAsiaTheme="majorEastAsia" w:cstheme="majorBidi"/>
      <w:i/>
      <w:iCs/>
      <w:color w:val="595959" w:themeColor="text1" w:themeTint="A6"/>
    </w:rPr>
  </w:style>
  <w:style w:type="paragraph" w:styleId="berschrift7">
    <w:name w:val="heading 7"/>
    <w:link w:val="berschrift7Zchn"/>
    <w:uiPriority w:val="9"/>
    <w:semiHidden/>
    <w:unhideWhenUsed/>
    <w:qFormat/>
    <w:rsid w:val="51CEADD9"/>
    <w:pPr>
      <w:keepNext/>
      <w:keepLines/>
      <w:numPr>
        <w:ilvl w:val="6"/>
        <w:numId w:val="7"/>
      </w:numPr>
      <w:spacing w:before="40" w:after="0"/>
      <w:outlineLvl w:val="6"/>
    </w:pPr>
    <w:rPr>
      <w:rFonts w:eastAsiaTheme="majorEastAsia" w:cstheme="majorBidi"/>
      <w:color w:val="595959" w:themeColor="text1" w:themeTint="A6"/>
    </w:rPr>
  </w:style>
  <w:style w:type="paragraph" w:styleId="berschrift8">
    <w:name w:val="heading 8"/>
    <w:link w:val="berschrift8Zchn"/>
    <w:uiPriority w:val="9"/>
    <w:semiHidden/>
    <w:unhideWhenUsed/>
    <w:qFormat/>
    <w:rsid w:val="51CEADD9"/>
    <w:pPr>
      <w:keepNext/>
      <w:keepLines/>
      <w:numPr>
        <w:ilvl w:val="7"/>
        <w:numId w:val="7"/>
      </w:numPr>
      <w:spacing w:after="0"/>
      <w:outlineLvl w:val="7"/>
    </w:pPr>
    <w:rPr>
      <w:rFonts w:eastAsiaTheme="majorEastAsia" w:cstheme="majorBidi"/>
      <w:i/>
      <w:iCs/>
      <w:color w:val="272727"/>
    </w:rPr>
  </w:style>
  <w:style w:type="paragraph" w:styleId="berschrift9">
    <w:name w:val="heading 9"/>
    <w:link w:val="berschrift9Zchn"/>
    <w:uiPriority w:val="9"/>
    <w:semiHidden/>
    <w:unhideWhenUsed/>
    <w:qFormat/>
    <w:rsid w:val="51CEADD9"/>
    <w:pPr>
      <w:keepNext/>
      <w:keepLines/>
      <w:numPr>
        <w:ilvl w:val="8"/>
        <w:numId w:val="7"/>
      </w:numPr>
      <w:spacing w:after="0"/>
      <w:outlineLvl w:val="8"/>
    </w:pPr>
    <w:rPr>
      <w:rFonts w:eastAsiaTheme="majorEastAsia" w:cstheme="majorBidi"/>
      <w:color w:val="272727"/>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C420EC"/>
    <w:rPr>
      <w:rFonts w:ascii="Times New Roman" w:eastAsia="Times New Roman" w:hAnsi="Times New Roman" w:cs="Times New Roman"/>
      <w:sz w:val="40"/>
      <w:szCs w:val="40"/>
    </w:rPr>
  </w:style>
  <w:style w:type="character" w:customStyle="1" w:styleId="berschrift2Zchn">
    <w:name w:val="Überschrift 2 Zchn"/>
    <w:link w:val="berschrift2"/>
    <w:uiPriority w:val="9"/>
    <w:rsid w:val="00032D28"/>
    <w:rPr>
      <w:rFonts w:ascii="Times New Roman" w:eastAsia="Times New Roman" w:hAnsi="Times New Roman" w:cs="Times New Roman"/>
      <w:sz w:val="32"/>
      <w:szCs w:val="32"/>
    </w:rPr>
  </w:style>
  <w:style w:type="character" w:customStyle="1" w:styleId="berschrift3Zchn">
    <w:name w:val="Überschrift 3 Zchn"/>
    <w:link w:val="berschrift3"/>
    <w:uiPriority w:val="9"/>
    <w:rsid w:val="00FE32CE"/>
    <w:rPr>
      <w:rFonts w:ascii="Times New Roman" w:eastAsiaTheme="majorEastAsia" w:hAnsi="Times New Roman" w:cstheme="majorBidi"/>
      <w:sz w:val="28"/>
      <w:szCs w:val="28"/>
    </w:rPr>
  </w:style>
  <w:style w:type="character" w:customStyle="1" w:styleId="berschrift4Zchn">
    <w:name w:val="Überschrift 4 Zchn"/>
    <w:link w:val="berschrift4"/>
    <w:uiPriority w:val="9"/>
    <w:semiHidden/>
    <w:rsid w:val="51CEADD9"/>
    <w:rPr>
      <w:rFonts w:eastAsiaTheme="majorEastAsia" w:cstheme="majorBidi"/>
      <w:i/>
      <w:iCs/>
      <w:color w:val="0F4761" w:themeColor="accent1" w:themeShade="BF"/>
    </w:rPr>
  </w:style>
  <w:style w:type="character" w:customStyle="1" w:styleId="berschrift5Zchn">
    <w:name w:val="Überschrift 5 Zchn"/>
    <w:link w:val="berschrift5"/>
    <w:uiPriority w:val="9"/>
    <w:semiHidden/>
    <w:rsid w:val="51CEADD9"/>
    <w:rPr>
      <w:rFonts w:eastAsiaTheme="majorEastAsia" w:cstheme="majorBidi"/>
      <w:color w:val="0F4761" w:themeColor="accent1" w:themeShade="BF"/>
    </w:rPr>
  </w:style>
  <w:style w:type="character" w:customStyle="1" w:styleId="berschrift6Zchn">
    <w:name w:val="Überschrift 6 Zchn"/>
    <w:link w:val="berschrift6"/>
    <w:uiPriority w:val="9"/>
    <w:semiHidden/>
    <w:rsid w:val="51CEADD9"/>
    <w:rPr>
      <w:rFonts w:eastAsiaTheme="majorEastAsia" w:cstheme="majorBidi"/>
      <w:i/>
      <w:iCs/>
      <w:color w:val="595959" w:themeColor="text1" w:themeTint="A6"/>
    </w:rPr>
  </w:style>
  <w:style w:type="character" w:customStyle="1" w:styleId="berschrift7Zchn">
    <w:name w:val="Überschrift 7 Zchn"/>
    <w:link w:val="berschrift7"/>
    <w:uiPriority w:val="9"/>
    <w:semiHidden/>
    <w:rsid w:val="51CEADD9"/>
    <w:rPr>
      <w:rFonts w:eastAsiaTheme="majorEastAsia" w:cstheme="majorBidi"/>
      <w:color w:val="595959" w:themeColor="text1" w:themeTint="A6"/>
    </w:rPr>
  </w:style>
  <w:style w:type="character" w:customStyle="1" w:styleId="berschrift8Zchn">
    <w:name w:val="Überschrift 8 Zchn"/>
    <w:link w:val="berschrift8"/>
    <w:uiPriority w:val="9"/>
    <w:semiHidden/>
    <w:rsid w:val="51CEADD9"/>
    <w:rPr>
      <w:rFonts w:eastAsiaTheme="majorEastAsia" w:cstheme="majorBidi"/>
      <w:i/>
      <w:iCs/>
      <w:color w:val="272727"/>
    </w:rPr>
  </w:style>
  <w:style w:type="character" w:customStyle="1" w:styleId="berschrift9Zchn">
    <w:name w:val="Überschrift 9 Zchn"/>
    <w:link w:val="berschrift9"/>
    <w:uiPriority w:val="9"/>
    <w:semiHidden/>
    <w:rsid w:val="51CEADD9"/>
    <w:rPr>
      <w:rFonts w:eastAsiaTheme="majorEastAsia" w:cstheme="majorBidi"/>
      <w:color w:val="272727"/>
    </w:rPr>
  </w:style>
  <w:style w:type="paragraph" w:styleId="Titel">
    <w:name w:val="Title"/>
    <w:link w:val="TitelZchn"/>
    <w:uiPriority w:val="10"/>
    <w:qFormat/>
    <w:rsid w:val="009652A1"/>
    <w:pPr>
      <w:contextualSpacing/>
      <w:jc w:val="center"/>
    </w:pPr>
    <w:rPr>
      <w:rFonts w:ascii="Times New Roman" w:eastAsiaTheme="majorEastAsia" w:hAnsi="Times New Roman" w:cs="Times New Roman"/>
      <w:b/>
      <w:bCs/>
      <w:sz w:val="56"/>
      <w:szCs w:val="56"/>
    </w:rPr>
  </w:style>
  <w:style w:type="character" w:customStyle="1" w:styleId="TitelZchn">
    <w:name w:val="Titel Zchn"/>
    <w:link w:val="Titel"/>
    <w:uiPriority w:val="10"/>
    <w:rsid w:val="009652A1"/>
    <w:rPr>
      <w:rFonts w:ascii="Times New Roman" w:eastAsiaTheme="majorEastAsia" w:hAnsi="Times New Roman" w:cs="Times New Roman"/>
      <w:b/>
      <w:bCs/>
      <w:sz w:val="56"/>
      <w:szCs w:val="56"/>
    </w:rPr>
  </w:style>
  <w:style w:type="paragraph" w:styleId="Untertitel">
    <w:name w:val="Subtitle"/>
    <w:link w:val="UntertitelZchn"/>
    <w:uiPriority w:val="11"/>
    <w:qFormat/>
    <w:rsid w:val="009652A1"/>
    <w:pPr>
      <w:jc w:val="center"/>
    </w:pPr>
    <w:rPr>
      <w:rFonts w:ascii="Times New Roman" w:eastAsiaTheme="majorEastAsia" w:hAnsi="Times New Roman" w:cs="Times New Roman"/>
      <w:sz w:val="28"/>
      <w:szCs w:val="28"/>
    </w:rPr>
  </w:style>
  <w:style w:type="character" w:customStyle="1" w:styleId="UntertitelZchn">
    <w:name w:val="Untertitel Zchn"/>
    <w:link w:val="Untertitel"/>
    <w:uiPriority w:val="11"/>
    <w:rsid w:val="009652A1"/>
    <w:rPr>
      <w:rFonts w:ascii="Times New Roman" w:eastAsiaTheme="majorEastAsia" w:hAnsi="Times New Roman" w:cs="Times New Roman"/>
      <w:sz w:val="28"/>
      <w:szCs w:val="28"/>
    </w:rPr>
  </w:style>
  <w:style w:type="paragraph" w:styleId="Zitat">
    <w:name w:val="Quote"/>
    <w:link w:val="ZitatZchn"/>
    <w:uiPriority w:val="29"/>
    <w:qFormat/>
    <w:rsid w:val="51CEADD9"/>
    <w:pPr>
      <w:spacing w:before="160"/>
      <w:jc w:val="center"/>
    </w:pPr>
    <w:rPr>
      <w:i/>
      <w:iCs/>
      <w:color w:val="404040" w:themeColor="text1" w:themeTint="BF"/>
    </w:rPr>
  </w:style>
  <w:style w:type="character" w:customStyle="1" w:styleId="ZitatZchn">
    <w:name w:val="Zitat Zchn"/>
    <w:link w:val="Zitat"/>
    <w:uiPriority w:val="29"/>
    <w:rsid w:val="51CEADD9"/>
    <w:rPr>
      <w:i/>
      <w:iCs/>
      <w:color w:val="404040" w:themeColor="text1" w:themeTint="BF"/>
    </w:rPr>
  </w:style>
  <w:style w:type="paragraph" w:styleId="Listenabsatz">
    <w:name w:val="List Paragraph"/>
    <w:uiPriority w:val="34"/>
    <w:qFormat/>
    <w:rsid w:val="00C420EC"/>
    <w:pPr>
      <w:spacing w:after="240" w:line="360" w:lineRule="auto"/>
      <w:ind w:left="720"/>
      <w:contextualSpacing/>
      <w:jc w:val="both"/>
    </w:pPr>
    <w:rPr>
      <w:rFonts w:ascii="Times New Roman" w:hAnsi="Times New Roman"/>
    </w:rPr>
  </w:style>
  <w:style w:type="character" w:styleId="IntensiveHervorhebung">
    <w:name w:val="Intense Emphasis"/>
    <w:uiPriority w:val="21"/>
    <w:qFormat/>
    <w:rsid w:val="51CEADD9"/>
    <w:rPr>
      <w:i/>
      <w:iCs/>
      <w:color w:val="0F4761" w:themeColor="accent1" w:themeShade="BF"/>
    </w:rPr>
  </w:style>
  <w:style w:type="paragraph" w:styleId="IntensivesZitat">
    <w:name w:val="Intense Quote"/>
    <w:link w:val="IntensivesZitatZchn"/>
    <w:uiPriority w:val="30"/>
    <w:qFormat/>
    <w:rsid w:val="51CEA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link w:val="IntensivesZitat"/>
    <w:uiPriority w:val="30"/>
    <w:rsid w:val="51CEADD9"/>
    <w:rPr>
      <w:i/>
      <w:iCs/>
      <w:color w:val="0F4761" w:themeColor="accent1" w:themeShade="BF"/>
    </w:rPr>
  </w:style>
  <w:style w:type="character" w:styleId="IntensiverVerweis">
    <w:name w:val="Intense Reference"/>
    <w:uiPriority w:val="32"/>
    <w:qFormat/>
    <w:rsid w:val="51CEADD9"/>
    <w:rPr>
      <w:b/>
      <w:bCs/>
      <w:smallCaps/>
      <w:color w:val="0F4761" w:themeColor="accent1" w:themeShade="BF"/>
    </w:rPr>
  </w:style>
  <w:style w:type="paragraph" w:styleId="Kopfzeile">
    <w:name w:val="header"/>
    <w:link w:val="KopfzeileZchn"/>
    <w:uiPriority w:val="99"/>
    <w:unhideWhenUsed/>
    <w:rsid w:val="51CEADD9"/>
    <w:pPr>
      <w:tabs>
        <w:tab w:val="center" w:pos="4536"/>
        <w:tab w:val="right" w:pos="9072"/>
      </w:tabs>
      <w:spacing w:after="0" w:line="240" w:lineRule="auto"/>
    </w:pPr>
  </w:style>
  <w:style w:type="character" w:customStyle="1" w:styleId="KopfzeileZchn">
    <w:name w:val="Kopfzeile Zchn"/>
    <w:link w:val="Kopfzeile"/>
    <w:uiPriority w:val="99"/>
    <w:rsid w:val="51CEADD9"/>
    <w:rPr>
      <w:rFonts w:ascii="Times New Roman" w:hAnsi="Times New Roman"/>
    </w:rPr>
  </w:style>
  <w:style w:type="paragraph" w:styleId="Fuzeile">
    <w:name w:val="footer"/>
    <w:link w:val="FuzeileZchn"/>
    <w:uiPriority w:val="99"/>
    <w:unhideWhenUsed/>
    <w:rsid w:val="51CEADD9"/>
    <w:pPr>
      <w:tabs>
        <w:tab w:val="center" w:pos="4536"/>
        <w:tab w:val="right" w:pos="9072"/>
      </w:tabs>
      <w:spacing w:after="0" w:line="240" w:lineRule="auto"/>
    </w:pPr>
  </w:style>
  <w:style w:type="character" w:customStyle="1" w:styleId="FuzeileZchn">
    <w:name w:val="Fußzeile Zchn"/>
    <w:link w:val="Fuzeile"/>
    <w:uiPriority w:val="99"/>
    <w:rsid w:val="51CEADD9"/>
    <w:rPr>
      <w:rFonts w:ascii="Times New Roman" w:hAnsi="Times New Roman"/>
    </w:rPr>
  </w:style>
  <w:style w:type="paragraph" w:customStyle="1" w:styleId="Verzeichnisse">
    <w:name w:val="Verzeichnisse"/>
    <w:link w:val="VerzeichnisseZchn"/>
    <w:uiPriority w:val="1"/>
    <w:qFormat/>
    <w:rsid w:val="67FB7592"/>
    <w:rPr>
      <w:rFonts w:ascii="Times New Roman" w:eastAsia="Times New Roman" w:hAnsi="Times New Roman" w:cs="Times New Roman"/>
      <w:sz w:val="40"/>
      <w:szCs w:val="40"/>
    </w:rPr>
  </w:style>
  <w:style w:type="character" w:customStyle="1" w:styleId="VerzeichnisseZchn">
    <w:name w:val="Verzeichnisse Zchn"/>
    <w:link w:val="Verzeichnisse"/>
    <w:uiPriority w:val="1"/>
    <w:rsid w:val="67FB7592"/>
    <w:rPr>
      <w:rFonts w:ascii="Times New Roman" w:eastAsia="Times New Roman" w:hAnsi="Times New Roman" w:cs="Times New Roman"/>
      <w:sz w:val="40"/>
      <w:szCs w:val="40"/>
    </w:rPr>
  </w:style>
  <w:style w:type="table" w:styleId="Tabellenraster">
    <w:name w:val="Table Grid"/>
    <w:basedOn w:val="NormaleTabelle"/>
    <w:uiPriority w:val="39"/>
    <w:rsid w:val="00632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uiPriority w:val="99"/>
    <w:semiHidden/>
    <w:rsid w:val="51CEADD9"/>
    <w:rPr>
      <w:color w:val="666666"/>
    </w:rPr>
  </w:style>
  <w:style w:type="paragraph" w:styleId="Inhaltsverzeichnisberschrift">
    <w:name w:val="TOC Heading"/>
    <w:basedOn w:val="berschrift1"/>
    <w:next w:val="Standard"/>
    <w:uiPriority w:val="39"/>
    <w:unhideWhenUsed/>
    <w:qFormat/>
    <w:rsid w:val="67FB7592"/>
    <w:pPr>
      <w:spacing w:before="240" w:after="0" w:line="259" w:lineRule="auto"/>
    </w:pPr>
    <w:rPr>
      <w:rFonts w:asciiTheme="majorHAnsi" w:hAnsiTheme="majorHAnsi"/>
      <w:color w:val="0F4761" w:themeColor="accent1" w:themeShade="BF"/>
      <w:sz w:val="32"/>
      <w:szCs w:val="32"/>
      <w:lang w:eastAsia="de-DE"/>
    </w:rPr>
  </w:style>
  <w:style w:type="paragraph" w:styleId="Verzeichnis1">
    <w:name w:val="toc 1"/>
    <w:uiPriority w:val="39"/>
    <w:unhideWhenUsed/>
    <w:rsid w:val="51CEADD9"/>
    <w:pPr>
      <w:spacing w:after="100"/>
    </w:pPr>
  </w:style>
  <w:style w:type="paragraph" w:styleId="Verzeichnis2">
    <w:name w:val="toc 2"/>
    <w:uiPriority w:val="39"/>
    <w:unhideWhenUsed/>
    <w:rsid w:val="51CEADD9"/>
    <w:pPr>
      <w:spacing w:after="100"/>
      <w:ind w:left="240"/>
    </w:pPr>
  </w:style>
  <w:style w:type="character" w:styleId="Hyperlink">
    <w:name w:val="Hyperlink"/>
    <w:uiPriority w:val="99"/>
    <w:unhideWhenUsed/>
    <w:rsid w:val="51CEADD9"/>
    <w:rPr>
      <w:color w:val="467886"/>
      <w:u w:val="single"/>
    </w:rPr>
  </w:style>
  <w:style w:type="paragraph" w:styleId="Verzeichnis3">
    <w:name w:val="toc 3"/>
    <w:uiPriority w:val="39"/>
    <w:unhideWhenUsed/>
    <w:rsid w:val="51CEADD9"/>
    <w:pPr>
      <w:spacing w:after="100"/>
      <w:ind w:left="480"/>
    </w:pPr>
  </w:style>
  <w:style w:type="paragraph" w:customStyle="1" w:styleId="Anhang">
    <w:name w:val="Anhang"/>
    <w:basedOn w:val="berschrift1"/>
    <w:next w:val="Standard"/>
    <w:link w:val="AnhangZchn"/>
    <w:uiPriority w:val="1"/>
    <w:qFormat/>
    <w:rsid w:val="00215D31"/>
    <w:pPr>
      <w:numPr>
        <w:numId w:val="0"/>
      </w:numPr>
    </w:pPr>
  </w:style>
  <w:style w:type="character" w:customStyle="1" w:styleId="AnhangZchn">
    <w:name w:val="Anhang Zchn"/>
    <w:basedOn w:val="berschrift1Zchn"/>
    <w:link w:val="Anhang"/>
    <w:uiPriority w:val="1"/>
    <w:rsid w:val="00D8040D"/>
    <w:rPr>
      <w:rFonts w:ascii="Times New Roman" w:eastAsia="Times New Roman" w:hAnsi="Times New Roman" w:cs="Times New Roman"/>
      <w:sz w:val="40"/>
      <w:szCs w:val="40"/>
    </w:rPr>
  </w:style>
  <w:style w:type="paragraph" w:customStyle="1" w:styleId="Anhang-Ebene1">
    <w:name w:val="Anhang - Ebene 1"/>
    <w:basedOn w:val="berschrift2"/>
    <w:next w:val="Standard"/>
    <w:link w:val="Anhang-Ebene1Zchn"/>
    <w:uiPriority w:val="1"/>
    <w:qFormat/>
    <w:rsid w:val="00D8040D"/>
  </w:style>
  <w:style w:type="character" w:customStyle="1" w:styleId="Anhang-Ebene1Zchn">
    <w:name w:val="Anhang - Ebene 1 Zchn"/>
    <w:basedOn w:val="berschrift2Zchn"/>
    <w:link w:val="Anhang-Ebene1"/>
    <w:uiPriority w:val="1"/>
    <w:rsid w:val="00D8040D"/>
    <w:rPr>
      <w:rFonts w:ascii="Times New Roman" w:eastAsia="Times New Roman" w:hAnsi="Times New Roman" w:cs="Times New Roman"/>
      <w:sz w:val="32"/>
      <w:szCs w:val="32"/>
    </w:rPr>
  </w:style>
  <w:style w:type="paragraph" w:customStyle="1" w:styleId="Bildunterschrift">
    <w:name w:val="Bildunterschrift"/>
    <w:link w:val="BildunterschriftZchn"/>
    <w:uiPriority w:val="1"/>
    <w:qFormat/>
    <w:rsid w:val="00F17A00"/>
    <w:pPr>
      <w:spacing w:after="240" w:line="360" w:lineRule="auto"/>
      <w:jc w:val="both"/>
    </w:pPr>
    <w:rPr>
      <w:rFonts w:ascii="Times New Roman" w:hAnsi="Times New Roman"/>
      <w:sz w:val="20"/>
      <w:szCs w:val="20"/>
    </w:rPr>
  </w:style>
  <w:style w:type="character" w:customStyle="1" w:styleId="BildunterschriftZchn">
    <w:name w:val="Bildunterschrift Zchn"/>
    <w:link w:val="Bildunterschrift"/>
    <w:uiPriority w:val="1"/>
    <w:rsid w:val="00F17A00"/>
    <w:rPr>
      <w:rFonts w:ascii="Times New Roman" w:hAnsi="Times New Roman"/>
      <w:sz w:val="20"/>
      <w:szCs w:val="20"/>
    </w:rPr>
  </w:style>
  <w:style w:type="character" w:styleId="Hervorhebung">
    <w:name w:val="Emphasis"/>
    <w:uiPriority w:val="20"/>
    <w:qFormat/>
    <w:rsid w:val="001570F7"/>
    <w:rPr>
      <w:b/>
      <w:bCs/>
    </w:rPr>
  </w:style>
  <w:style w:type="character" w:styleId="Kommentarzeichen">
    <w:name w:val="annotation reference"/>
    <w:uiPriority w:val="99"/>
    <w:semiHidden/>
    <w:unhideWhenUsed/>
    <w:rsid w:val="51CEADD9"/>
    <w:rPr>
      <w:sz w:val="16"/>
      <w:szCs w:val="16"/>
    </w:rPr>
  </w:style>
  <w:style w:type="paragraph" w:styleId="Kommentartext">
    <w:name w:val="annotation text"/>
    <w:link w:val="KommentartextZchn"/>
    <w:uiPriority w:val="99"/>
    <w:unhideWhenUsed/>
    <w:rsid w:val="51CEADD9"/>
    <w:pPr>
      <w:spacing w:line="240" w:lineRule="auto"/>
    </w:pPr>
    <w:rPr>
      <w:sz w:val="20"/>
      <w:szCs w:val="20"/>
    </w:rPr>
  </w:style>
  <w:style w:type="character" w:customStyle="1" w:styleId="KommentartextZchn">
    <w:name w:val="Kommentartext Zchn"/>
    <w:link w:val="Kommentartext"/>
    <w:uiPriority w:val="99"/>
    <w:rsid w:val="51CEADD9"/>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854823"/>
    <w:rPr>
      <w:b/>
      <w:bCs/>
    </w:rPr>
  </w:style>
  <w:style w:type="character" w:customStyle="1" w:styleId="KommentarthemaZchn">
    <w:name w:val="Kommentarthema Zchn"/>
    <w:basedOn w:val="KommentartextZchn"/>
    <w:link w:val="Kommentarthema"/>
    <w:uiPriority w:val="99"/>
    <w:semiHidden/>
    <w:rsid w:val="00854823"/>
    <w:rPr>
      <w:rFonts w:ascii="Times New Roman" w:hAnsi="Times New Roman"/>
      <w:b/>
      <w:bCs/>
      <w:sz w:val="20"/>
      <w:szCs w:val="20"/>
    </w:rPr>
  </w:style>
  <w:style w:type="paragraph" w:customStyle="1" w:styleId="Tabelle">
    <w:name w:val="Tabelle"/>
    <w:link w:val="TabelleChar"/>
    <w:uiPriority w:val="1"/>
    <w:qFormat/>
    <w:rsid w:val="009652A1"/>
    <w:pPr>
      <w:spacing w:after="240" w:line="360" w:lineRule="auto"/>
      <w:jc w:val="both"/>
    </w:pPr>
    <w:rPr>
      <w:rFonts w:ascii="Times New Roman" w:eastAsiaTheme="minorEastAsia" w:hAnsi="Times New Roman" w:cs="Times New Roman"/>
      <w:sz w:val="20"/>
      <w:szCs w:val="20"/>
    </w:rPr>
  </w:style>
  <w:style w:type="character" w:customStyle="1" w:styleId="TabelleChar">
    <w:name w:val="Tabelle Char"/>
    <w:link w:val="Tabelle"/>
    <w:uiPriority w:val="1"/>
    <w:rsid w:val="009652A1"/>
    <w:rPr>
      <w:rFonts w:ascii="Times New Roman" w:eastAsiaTheme="minorEastAsia" w:hAnsi="Times New Roman" w:cs="Times New Roman"/>
      <w:sz w:val="20"/>
      <w:szCs w:val="20"/>
    </w:rPr>
  </w:style>
  <w:style w:type="character" w:styleId="NichtaufgelsteErwhnung">
    <w:name w:val="Unresolved Mention"/>
    <w:basedOn w:val="Absatz-Standardschriftart"/>
    <w:uiPriority w:val="99"/>
    <w:semiHidden/>
    <w:unhideWhenUsed/>
    <w:rsid w:val="00950578"/>
    <w:rPr>
      <w:color w:val="605E5C"/>
      <w:shd w:val="clear" w:color="auto" w:fill="E1DFDD"/>
    </w:rPr>
  </w:style>
  <w:style w:type="character" w:styleId="BesuchterLink">
    <w:name w:val="FollowedHyperlink"/>
    <w:basedOn w:val="Absatz-Standardschriftart"/>
    <w:uiPriority w:val="99"/>
    <w:semiHidden/>
    <w:unhideWhenUsed/>
    <w:rsid w:val="00950578"/>
    <w:rPr>
      <w:color w:val="96607D" w:themeColor="followedHyperlink"/>
      <w:u w:val="single"/>
    </w:rPr>
  </w:style>
  <w:style w:type="paragraph" w:styleId="StandardWeb">
    <w:name w:val="Normal (Web)"/>
    <w:basedOn w:val="Standard"/>
    <w:uiPriority w:val="99"/>
    <w:unhideWhenUsed/>
    <w:rsid w:val="00F17A00"/>
    <w:pPr>
      <w:spacing w:before="100" w:beforeAutospacing="1" w:after="100" w:afterAutospacing="1" w:line="240" w:lineRule="auto"/>
      <w:jc w:val="left"/>
    </w:pPr>
    <w:rPr>
      <w:rFonts w:eastAsia="Times New Roman" w:cs="Times New Roman"/>
      <w:kern w:val="0"/>
      <w:lang w:eastAsia="de-DE"/>
      <w14:ligatures w14:val="none"/>
    </w:rPr>
  </w:style>
  <w:style w:type="paragraph" w:customStyle="1" w:styleId="Programmcode">
    <w:name w:val="Programmcode"/>
    <w:basedOn w:val="Standard"/>
    <w:link w:val="ProgrammcodeZchn"/>
    <w:qFormat/>
    <w:rsid w:val="00694A38"/>
    <w:pPr>
      <w:spacing w:after="0" w:line="240" w:lineRule="auto"/>
      <w:ind w:left="357" w:hanging="357"/>
      <w:jc w:val="left"/>
    </w:pPr>
    <w:rPr>
      <w:rFonts w:ascii="Consolas" w:hAnsi="Consolas"/>
    </w:rPr>
  </w:style>
  <w:style w:type="character" w:customStyle="1" w:styleId="ProgrammcodeZchn">
    <w:name w:val="Programmcode Zchn"/>
    <w:basedOn w:val="Absatz-Standardschriftart"/>
    <w:link w:val="Programmcode"/>
    <w:rsid w:val="00694A3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github.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smard.de/home/downloadcenter/download-marktdaten/?downloadAttributes=%7B%22selectedCategory%22:1,%22selectedSubCategory%22:1,%22selectedRegion%22:false,%22selectedFileType%22:%22CSV%22,%22from%22:1775685600000,%22to%22:1776635999999%7D" TargetMode="External"/><Relationship Id="rId27" Type="http://schemas.openxmlformats.org/officeDocument/2006/relationships/image" Target="media/image11.png"/><Relationship Id="rId30"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17028DCD71ED499BB3A47D673EB647" ma:contentTypeVersion="3" ma:contentTypeDescription="Create a new document." ma:contentTypeScope="" ma:versionID="c990c6ede0770bf988952e708b9b549f">
  <xsd:schema xmlns:xsd="http://www.w3.org/2001/XMLSchema" xmlns:xs="http://www.w3.org/2001/XMLSchema" xmlns:p="http://schemas.microsoft.com/office/2006/metadata/properties" xmlns:ns2="8168c6f4-37a2-443d-8b28-839686c7401d" targetNamespace="http://schemas.microsoft.com/office/2006/metadata/properties" ma:root="true" ma:fieldsID="a758879897adb8decb15356b0e9342b0" ns2:_="">
    <xsd:import namespace="8168c6f4-37a2-443d-8b28-839686c7401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8c6f4-37a2-443d-8b28-839686c74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5D73BC-AAAA-4632-B534-F56CCB136F47}">
  <ds:schemaRefs>
    <ds:schemaRef ds:uri="http://schemas.openxmlformats.org/officeDocument/2006/bibliography"/>
  </ds:schemaRefs>
</ds:datastoreItem>
</file>

<file path=customXml/itemProps2.xml><?xml version="1.0" encoding="utf-8"?>
<ds:datastoreItem xmlns:ds="http://schemas.openxmlformats.org/officeDocument/2006/customXml" ds:itemID="{3A0BCA95-888B-4C7A-A632-275E741B3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8c6f4-37a2-443d-8b28-839686c74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3808E2-CDD5-44C0-B9AA-7BCFD7F0B5A9}">
  <ds:schemaRefs>
    <ds:schemaRef ds:uri="http://schemas.microsoft.com/sharepoint/v3/contenttype/forms"/>
  </ds:schemaRefs>
</ds:datastoreItem>
</file>

<file path=customXml/itemProps4.xml><?xml version="1.0" encoding="utf-8"?>
<ds:datastoreItem xmlns:ds="http://schemas.openxmlformats.org/officeDocument/2006/customXml" ds:itemID="{4A20A6E0-EC78-4083-A642-C57C7224CD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6392</Words>
  <Characters>40272</Characters>
  <Application>Microsoft Office Word</Application>
  <DocSecurity>0</DocSecurity>
  <Lines>335</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Jan-Christian Raabe</dc:creator>
  <cp:keywords/>
  <dc:description/>
  <cp:lastModifiedBy>Jan-Christian Raabe</cp:lastModifiedBy>
  <cp:revision>103</cp:revision>
  <cp:lastPrinted>2026-07-07T12:42:00Z</cp:lastPrinted>
  <dcterms:created xsi:type="dcterms:W3CDTF">2026-05-18T11:46:00Z</dcterms:created>
  <dcterms:modified xsi:type="dcterms:W3CDTF">2026-08-01T11:00:00Z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http://csl.mendeley.com/styles/656179701/apa-2xy</vt:lpwstr>
  </property>
  <property fmtid="{D5CDD505-2E9C-101B-9397-08002B2CF9AE}" pid="5" name="Mendeley Recent Style Name 1_1">
    <vt:lpwstr>American Psychological Association 7th edition - Jan-Christian Raabe</vt:lpwstr>
  </property>
  <property fmtid="{D5CDD505-2E9C-101B-9397-08002B2CF9AE}" pid="6" name="Mendeley Recent Style Id 2_1">
    <vt:lpwstr>http://csl.mendeley.com/styles/656179701/apa-2neu</vt:lpwstr>
  </property>
  <property fmtid="{D5CDD505-2E9C-101B-9397-08002B2CF9AE}" pid="7" name="Mendeley Recent Style Name 2_1">
    <vt:lpwstr>American Psychological Association 7th edition - Jan-Christian Raabe</vt:lpwstr>
  </property>
  <property fmtid="{D5CDD505-2E9C-101B-9397-08002B2CF9AE}" pid="8" name="Mendeley Recent Style Id 3_1">
    <vt:lpwstr>http://www.zotero.org/styles/angewandte-chemie</vt:lpwstr>
  </property>
  <property fmtid="{D5CDD505-2E9C-101B-9397-08002B2CF9AE}" pid="9" name="Mendeley Recent Style Name 3_1">
    <vt:lpwstr>Angewandte Chemie International Edition</vt:lpwstr>
  </property>
  <property fmtid="{D5CDD505-2E9C-101B-9397-08002B2CF9AE}" pid="10" name="Mendeley Recent Style Id 4_1">
    <vt:lpwstr>http://www.zotero.org/styles/catalysis-today</vt:lpwstr>
  </property>
  <property fmtid="{D5CDD505-2E9C-101B-9397-08002B2CF9AE}" pid="11" name="Mendeley Recent Style Name 4_1">
    <vt:lpwstr>Catalysis Today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http://www.zotero.org/styles/inorganic-chemistry-frontiers</vt:lpwstr>
  </property>
  <property fmtid="{D5CDD505-2E9C-101B-9397-08002B2CF9AE}" pid="19" name="Mendeley Recent Style Name 8_1">
    <vt:lpwstr>Inorganic Chemistry Frontiers</vt:lpwstr>
  </property>
  <property fmtid="{D5CDD505-2E9C-101B-9397-08002B2CF9AE}" pid="20" name="Mendeley Recent Style Id 9_1">
    <vt:lpwstr>http://www.zotero.org/styles/royal-society-of-chemistry</vt:lpwstr>
  </property>
  <property fmtid="{D5CDD505-2E9C-101B-9397-08002B2CF9AE}" pid="21" name="Mendeley Recent Style Name 9_1">
    <vt:lpwstr>Royal Society of Chemistry</vt:lpwstr>
  </property>
  <property fmtid="{D5CDD505-2E9C-101B-9397-08002B2CF9AE}" pid="22" name="Mendeley Document_1">
    <vt:lpwstr>True</vt:lpwstr>
  </property>
  <property fmtid="{D5CDD505-2E9C-101B-9397-08002B2CF9AE}" pid="23" name="Mendeley Unique User Id_1">
    <vt:lpwstr>475936e8-826a-3699-83b6-42b31462b367</vt:lpwstr>
  </property>
  <property fmtid="{D5CDD505-2E9C-101B-9397-08002B2CF9AE}" pid="24" name="Mendeley Citation Style_1">
    <vt:lpwstr>http://www.zotero.org/styles/angewandte-chemie</vt:lpwstr>
  </property>
  <property fmtid="{D5CDD505-2E9C-101B-9397-08002B2CF9AE}" pid="25" name="ContentTypeId">
    <vt:lpwstr>0x0101001D17028DCD71ED499BB3A47D673EB647</vt:lpwstr>
  </property>
</Properties>
</file>