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Modelos e marcas de processadores: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Existem várias marcas e modelos de processadores no mercado, sendo as mais conhecidas a Intel e a AMD. Cada marca oferece uma variedade de modelos que diferem em termos de arquitetura, número de núcleos, velocidade de clock e outros recursos. Cada modelo de processador também possui especificações de temperatura operacional recomendada.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Limites de temperatura: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Cada processador tem um limite de temperatura mínimo e máximo dentro do qual ele deve operar para garantir um funcionamento confiável e evitar danos. Geralmente, os processadores modernos possuem recursos de proteção térmica que reduzem automaticamente a velocidade do clock ou desligam o processador se a temperatura atingir níveis perigosos. Os limites de temperatura podem variar de acordo com o modelo e a geração do processador, mas em geral, os limites típicos de temperatura estão em torno de 60-90°C para operação normal.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Consequências do superaquecimento:</w:t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Se um processador operar continuamente acima das temperaturas recomendadas, isso pode levar a várias consequências negativas: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Desempenho reduzido: Quando um processador superaquece, ele pode diminuir automaticamente sua velocidade de clock para tentar reduzir a temperatura. Isso leva a um desempenho mais baixo, afetando a capacidade de executar tarefas de forma eficiente.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Instabilidade do sistema: O superaquecimento pode causar travamentos frequentes, reinicializações inesperadas e erros do sistema, tornando o dispositivo instável e impraticável de usar.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Danos permanentes: Temperaturas extremamente altas podem causar danos permanentes ao processador, como degradação dos componentes internos ou até mesmo falha completa do processador. Esses danos podem ser irreversíveis.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Diminuição da vida útil: Operar um processador em temperaturas muito altas pode encurtar sua vida útil, resultando em uma necessidade mais rápida de substituição ou atualização do componente.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shd w:fill="f7f7f8" w:val="clear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shd w:fill="f7f7f8" w:val="clear"/>
          <w:rtl w:val="0"/>
        </w:rPr>
        <w:t xml:space="preserve">Risco de incêndio: Em casos extremos de superaquecimento, há um risco muito remoto de danos físicos ao dispositivo ou até mesmo um incêndio.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74151"/>
          <w:sz w:val="24"/>
          <w:szCs w:val="24"/>
          <w:shd w:fill="f7f7f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