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0"/>
        </w:rPr>
        <w:t>Multimodal Acoustic Biomarker Telemonitoring and Longitudinal Disease Progression Tracking for Parkinson's Disease Using Deep Ensemble Learning</w:t>
      </w:r>
    </w:p>
    <w:p>
      <w:pPr>
        <w:spacing w:before="0" w:after="360"/>
        <w:jc w:val="center"/>
      </w:pPr>
      <w:r>
        <w:rPr>
          <w:rFonts w:ascii="Times New Roman" w:hAnsi="Times New Roman"/>
          <w:b/>
          <w:sz w:val="24"/>
        </w:rPr>
        <w:t>Raaghav Agarwal</w:t>
        <w:br/>
      </w:r>
      <w:r>
        <w:rPr>
          <w:rFonts w:ascii="Times New Roman" w:hAnsi="Times New Roman"/>
          <w:i/>
          <w:sz w:val="19"/>
        </w:rPr>
        <w:t>Department of Artificial Intelligence &amp; Data Science</w:t>
        <w:br/>
        <w:t>School of Computer Science and Engineering</w:t>
        <w:br/>
        <w:t>Vellore Institute of Technology (VIT), Vellore, Tamil Nadu, India - 632014</w:t>
        <w:br/>
        <w:t>Registration No.: 24BAI1453  |  Email: raaghav.agarwal2024@vitstudent.ac.in</w:t>
        <w:br/>
        <w:t>Project Repository: https://github.com/RaaghavAgarwal28/parkinsons-voice-companion</w:t>
      </w:r>
    </w:p>
    <w:p>
      <w:pPr>
        <w:spacing w:before="120" w:after="120" w:line="252" w:lineRule="auto"/>
        <w:jc w:val="both"/>
      </w:pPr>
      <w:r>
        <w:rPr>
          <w:rFonts w:ascii="Times New Roman" w:hAnsi="Times New Roman"/>
          <w:b/>
          <w:sz w:val="18"/>
        </w:rPr>
        <w:t>Abstract—</w:t>
      </w:r>
      <w:r>
        <w:rPr>
          <w:rFonts w:ascii="Times New Roman" w:hAnsi="Times New Roman"/>
          <w:b/>
          <w:sz w:val="18"/>
        </w:rPr>
        <w:t>Parkinson's Disease (PD) is an incurable neurodegenerative disorder caused by progressive striatal dopaminergic neuron degradation, resulting in debilitating motor and non-motor symptoms. Emerging clinical evidence indicates that hypokinetic dysarthria and vocal dysphonia manifest in up to 90% of early-stage PD patients, often years prior to the clinical diagnosis of cardinal appendicular tremor and bradykinesia. However, gold-standard clinical evaluations relying on the Movement Disorder Society Unified Parkinson's Disease Rating Scale (MDS-UPDRS) are intermittent, clinic-bound, subjective, and cost-prohibitive. In this work, we design, implement, and empirically validate an end-to-end telemonitoring system—Parkinson's Voice Companion—that integrates deterministic digital signal processing (DSP), deep representation learning, and longitudinal state tracking. The system extracts a 22-dimensional feature vector spanning micro-perturbations (Jitter, Shimmer), harmonic noise measures (HNR, NHR), and non-linear dynamical complexity metrics (Pitch Period Entropy [PPE], Recurrence Period Density Entropy [RPDE], Detrended Fluctuation Analysis [DFA]) from sustained vowel phonation (/a/). A multi-tiered machine learning ensemble consisting of an RBF Support Vector Machine, Random Forest, a deep 1D-CNN-BiLSTM network, and an unsupervised reconstruction Autoencoder yields an overall diagnostic accuracy of 94.87%, sensitivity of 96.15%, and an Area Under the ROC Curve (AUC) of 0.962 on the Oxford clinical benchmark dataset. Furthermore, multi-target regression models estimate continuous MDS-UPDRS total and motor scores with Root Mean Square Errors (RMSE) of 4.12 and 2.85 points, respectively. We introduce Bayesian Online Changepoint Detection (BOCPD) for tracking Levodopa medication-induced 'On/Off' state shifts, a browser-based LSVT LOUD® vocal biofeedback module, and an MDS-UPDRS Item 3.4 motor tapping assessment. The complete pipeline executes with an end-to-end latency of under 1.15 seconds on consumer web clients, demonstrating a viable paradigm for decentralized telemedicine.</w:t>
      </w:r>
    </w:p>
    <w:p>
      <w:pPr>
        <w:spacing w:before="80" w:after="280" w:line="252" w:lineRule="auto"/>
        <w:jc w:val="both"/>
      </w:pPr>
      <w:r>
        <w:rPr>
          <w:rFonts w:ascii="Times New Roman" w:hAnsi="Times New Roman"/>
          <w:b/>
          <w:i/>
          <w:sz w:val="18"/>
        </w:rPr>
        <w:t>Index Terms—</w:t>
      </w:r>
      <w:r>
        <w:rPr>
          <w:rFonts w:ascii="Times New Roman" w:hAnsi="Times New Roman"/>
          <w:i/>
          <w:sz w:val="18"/>
        </w:rPr>
        <w:t>Parkinson's disease, Acoustic biomarkers, Dysphonia, Non-linear dynamics, Ensemble learning, Deep neural networks, UPDRS telemonitoring, Bayesian changepoint detection, LSVT LOUD, Telemedicine</w:t>
      </w:r>
    </w:p>
    <w:p>
      <w:pPr>
        <w:spacing w:before="280" w:after="80"/>
        <w:jc w:val="center"/>
      </w:pPr>
      <w:r>
        <w:rPr>
          <w:rFonts w:ascii="Times New Roman" w:hAnsi="Times New Roman"/>
          <w:b/>
          <w:sz w:val="21"/>
        </w:rPr>
        <w:t>I.  INTRODUCTION</w:t>
      </w:r>
    </w:p>
    <w:p>
      <w:pPr>
        <w:spacing w:before="0" w:after="100" w:line="252" w:lineRule="auto"/>
        <w:jc w:val="both"/>
      </w:pPr>
      <w:r>
        <w:rPr>
          <w:rFonts w:ascii="Times New Roman" w:hAnsi="Times New Roman"/>
          <w:sz w:val="20"/>
        </w:rPr>
        <w:t>Parkinson's Disease (PD) is the second most prevalent neurodegenerative disorder worldwide, affecting over 10 million individuals and presenting a burgeoning socio-economic challenge to global healthcare systems [1]. Pathologically, PD is characterized by the accelerated loss of dopaminergic neurons in the substantia nigra pars compacta and the intraneuronal accumulation of misfolded alpha-synuclein aggregates (Lewy bodies) [2]. The resulting depletion of dopamine within the striatum impairs the basal ganglia-thalamocortical circuitry, giving rise to cardinal motor symptoms: resting tremor, cogwheel rigidity, akinesia/bradykinesia, and postural instability [3].</w:t>
      </w:r>
    </w:p>
    <w:p>
      <w:pPr>
        <w:spacing w:before="0" w:after="100" w:line="252" w:lineRule="auto"/>
        <w:jc w:val="both"/>
      </w:pPr>
      <w:r>
        <w:rPr>
          <w:rFonts w:ascii="Times New Roman" w:hAnsi="Times New Roman"/>
          <w:sz w:val="20"/>
        </w:rPr>
        <w:t>Crucially, speech impairments—collectively termed hypokinetic dysarthria—manifest in up to 90% of individuals with PD and frequently emerge years before visible limb tremors or gait disturbances become clinically evident [1], [4]. Phonatory disturbances in PD arise from incomplete vocal fold closure (hypoadduction), laryngeal muscular rigidity, and reduced respiratory drive [5]. Patients present with reduced vocal loudness (hypophonia), monotone pitch (dysprosody), breathy or hoarse voice quality, and unpredictable pitch breaks. Because sustained vowel phonation (/a/) isolates laryngeal neuromotor control from complex linguistic and articulatory confounders, it provides an exceptionally sensitive, non-invasive acoustic window into neurodegeneration [1].</w:t>
      </w:r>
    </w:p>
    <w:p>
      <w:pPr>
        <w:spacing w:before="0" w:after="100" w:line="252" w:lineRule="auto"/>
        <w:jc w:val="both"/>
      </w:pPr>
      <w:r>
        <w:rPr>
          <w:rFonts w:ascii="Times New Roman" w:hAnsi="Times New Roman"/>
          <w:sz w:val="20"/>
        </w:rPr>
        <w:t>Despite the established diagnostic utility of voice, clinical monitoring remains tethered to intermittent hospital visits employing the Movement Disorder Society Unified Parkinson's Disease Rating Scale (MDS-UPDRS) [4]. This conventional approach suffers from substantial inter-rater subjectivity, high clinical overhead, and an inability to detect rapid day-to-day fluctuations such as Levodopa-induced 'On/Off' motor states [2]. Telemonitoring and automated acoustic biomarker extraction present an attractive alternative, enabling continuous, objective, and decentralized assessment from the patient's home environment [1], [8].</w:t>
      </w:r>
    </w:p>
    <w:p>
      <w:pPr>
        <w:spacing w:before="0" w:after="100" w:line="252" w:lineRule="auto"/>
        <w:jc w:val="both"/>
      </w:pPr>
      <w:r>
        <w:rPr>
          <w:rFonts w:ascii="Times New Roman" w:hAnsi="Times New Roman"/>
          <w:sz w:val="20"/>
        </w:rPr>
        <w:t>In this paper, we present the architecture, mathematical formulations, and empirical validation of Parkinson's Voice Companion, a full-stack clinical telemonitoring system. The primary contributions of this work are summarized as follows:</w:t>
      </w:r>
    </w:p>
    <w:p>
      <w:pPr>
        <w:spacing w:before="0" w:after="100" w:line="252" w:lineRule="auto"/>
        <w:jc w:val="both"/>
      </w:pPr>
      <w:r>
        <w:rPr>
          <w:rFonts w:ascii="Times New Roman" w:hAnsi="Times New Roman"/>
          <w:sz w:val="20"/>
        </w:rPr>
        <w:t>1) An automated, deterministic Digital Signal Processing (DSP) engine extracting 22 clinical acoustic biomarkers spanning classical pitch/amplitude perturbation, harmonic spectral ratios, and non-linear chaotic dynamics (PPE, RPDE, DFA).</w:t>
      </w:r>
    </w:p>
    <w:p>
      <w:pPr>
        <w:spacing w:before="0" w:after="100" w:line="252" w:lineRule="auto"/>
        <w:jc w:val="both"/>
      </w:pPr>
      <w:r>
        <w:rPr>
          <w:rFonts w:ascii="Times New Roman" w:hAnsi="Times New Roman"/>
          <w:sz w:val="20"/>
        </w:rPr>
        <w:t>2) A hybrid deep ensemble diagnostic architecture integrating Support Vector Machines (SVM), Random Forests (RF), a 1D-CNN-BiLSTM spatial-temporal deep network, and an unsupervised reconstruction Autoencoder to achieve state-of-the-art diagnostic discrimination.</w:t>
      </w:r>
    </w:p>
    <w:p>
      <w:pPr>
        <w:spacing w:before="0" w:after="100" w:line="252" w:lineRule="auto"/>
        <w:jc w:val="both"/>
      </w:pPr>
      <w:r>
        <w:rPr>
          <w:rFonts w:ascii="Times New Roman" w:hAnsi="Times New Roman"/>
          <w:sz w:val="20"/>
        </w:rPr>
        <w:t>3) A longitudinal telemonitoring framework delivering continuous MDS-UPDRS motor and total score prediction, coupled with Bayesian Online Changepoint Detection (BOCPD) for tracking medication response fluctuations.</w:t>
      </w:r>
    </w:p>
    <w:p>
      <w:pPr>
        <w:spacing w:before="0" w:after="100" w:line="252" w:lineRule="auto"/>
        <w:jc w:val="both"/>
      </w:pPr>
      <w:r>
        <w:rPr>
          <w:rFonts w:ascii="Times New Roman" w:hAnsi="Times New Roman"/>
          <w:sz w:val="20"/>
        </w:rPr>
        <w:t>4) A clinical biofeedback web interface providing real-time calibrated dB SPL acoustic metering for Lee Silverman Voice Treatment (LSVT LOUD®) therapy, multimodal finger-tapping motor fusion, and 3D visual feedback.</w:t>
      </w:r>
    </w:p>
    <w:p>
      <w:pPr>
        <w:spacing w:before="280" w:after="80"/>
        <w:jc w:val="center"/>
      </w:pPr>
      <w:r>
        <w:rPr>
          <w:rFonts w:ascii="Times New Roman" w:hAnsi="Times New Roman"/>
          <w:b/>
          <w:sz w:val="21"/>
        </w:rPr>
        <w:t>II.  RELATED WORK &amp; LITERATURE SURVEY</w:t>
      </w:r>
    </w:p>
    <w:p>
      <w:pPr>
        <w:spacing w:before="0" w:after="100" w:line="252" w:lineRule="auto"/>
        <w:jc w:val="both"/>
      </w:pPr>
      <w:r>
        <w:rPr>
          <w:rFonts w:ascii="Times New Roman" w:hAnsi="Times New Roman"/>
          <w:sz w:val="20"/>
        </w:rPr>
        <w:t>Automated acoustic assessment of Parkinsonian speech was pioneered by Little et al. [1], who demonstrated that conventional measures of perturbation (jitter and shimmer) are inadequate for distinguishing Parkinsonian dysphonia from healthy controls due to the turbulent, chaotic airflow induced by laryngeal tremor. To overcome this limitation, Little et al. introduced non-linear dynamical measures—notably Pitch Period Entropy (PPE) and Detrended Fluctuation Analysis (DFA)—achieving 91.4% classification accuracy on sustained phonations.</w:t>
      </w:r>
    </w:p>
    <w:p>
      <w:pPr>
        <w:spacing w:before="0" w:after="100" w:line="252" w:lineRule="auto"/>
        <w:jc w:val="both"/>
      </w:pPr>
      <w:r>
        <w:rPr>
          <w:rFonts w:ascii="Times New Roman" w:hAnsi="Times New Roman"/>
          <w:sz w:val="20"/>
        </w:rPr>
        <w:t>Building upon this foundation, Tsanas et al. [2] collected a comprehensive telemonitoring dataset comprising 5,875 speech recordings across 42 early-stage PD patients over a six-month home trial. Employing linear and non-linear regression techniques, they demonstrated that vocal biomarkers could predict total and motor UPDRS scores with mean absolute errors within 10% of the clinical scale range, establishing the feasibility of remote disease progression tracking.</w:t>
      </w:r>
    </w:p>
    <w:p>
      <w:pPr>
        <w:spacing w:before="0" w:after="100" w:line="252" w:lineRule="auto"/>
        <w:jc w:val="both"/>
      </w:pPr>
      <w:r>
        <w:rPr>
          <w:rFonts w:ascii="Times New Roman" w:hAnsi="Times New Roman"/>
          <w:sz w:val="20"/>
        </w:rPr>
        <w:t>Sakar et al. [3] analyzed 252 subjects utilizing a rich feature set encompassing Mel-Frequency Cepstral Coefficients (MFCCs), wavelet transforms, and vocal fold excitation metrics. Their comparative study revealed that combining multiple feature extraction paradigms through ensemble classifiers substantially boosted diagnostic reliability compared to isolated perturbation metrics. Concurrently, deep learning architectures—including Convolutional Neural Networks (CNN) and Recurrent Neural Networks (RNN/LSTM)—have been explored for automated feature representation in speech pathology [8], [15], [16].</w:t>
      </w:r>
    </w:p>
    <w:p>
      <w:pPr>
        <w:spacing w:before="0" w:after="100" w:line="252" w:lineRule="auto"/>
        <w:jc w:val="both"/>
      </w:pPr>
      <w:r>
        <w:rPr>
          <w:rFonts w:ascii="Times New Roman" w:hAnsi="Times New Roman"/>
          <w:sz w:val="20"/>
        </w:rPr>
        <w:t>Despite these methodological advances, significant research gaps persist in the literature: (a) Most published studies operate strictly in offline research settings without real-time client-server implementations capable of live clinical deployment; (b) Existing telemonitoring systems do not account for acute Levodopa medication-state transitions (On/Off changepoints); (c) Therapeutic biofeedback—such as real-time vocal intensity guidance for LSVT LOUD® protocols [5], [10]—is rarely integrated into diagnostic platforms; and (d) Unimodal voice systems lack integration with motor tests (such as finger tapping) to resolve borderline acoustic classifications. The proposed platform systematically addresses each of these critical gaps.</w:t>
      </w:r>
    </w:p>
    <w:p>
      <w:pPr>
        <w:spacing w:before="280" w:after="80"/>
        <w:jc w:val="center"/>
      </w:pPr>
      <w:r>
        <w:rPr>
          <w:rFonts w:ascii="Times New Roman" w:hAnsi="Times New Roman"/>
          <w:b/>
          <w:sz w:val="21"/>
        </w:rPr>
        <w:t>III.  SYSTEM ARCHITECTURE &amp; ACOUSTIC BIOMARKER FORMULATION</w:t>
      </w:r>
    </w:p>
    <w:p>
      <w:pPr>
        <w:spacing w:before="180" w:after="60"/>
        <w:jc w:val="left"/>
      </w:pPr>
      <w:r>
        <w:rPr>
          <w:rFonts w:ascii="Times New Roman" w:hAnsi="Times New Roman"/>
          <w:b/>
          <w:i/>
          <w:sz w:val="20"/>
        </w:rPr>
        <w:t>A.  System Architecture &amp; Processing Pipeline</w:t>
      </w:r>
    </w:p>
    <w:p>
      <w:pPr>
        <w:spacing w:before="0" w:after="100" w:line="252" w:lineRule="auto"/>
        <w:jc w:val="both"/>
      </w:pPr>
      <w:r>
        <w:rPr>
          <w:rFonts w:ascii="Times New Roman" w:hAnsi="Times New Roman"/>
          <w:sz w:val="20"/>
        </w:rPr>
        <w:t>The Parkinson's Voice Companion platform is engineered as a decoupled, microservices-based clinical telemonitoring system. The overall end-to-end dataflow is partitioned into five distinct architectural phases, as visualized in Fig. 1:</w:t>
      </w:r>
    </w:p>
    <w:p>
      <w:pPr>
        <w:spacing w:before="0" w:after="100" w:line="252" w:lineRule="auto"/>
        <w:jc w:val="both"/>
      </w:pPr>
      <w:r>
        <w:rPr>
          <w:rFonts w:ascii="Times New Roman" w:hAnsi="Times New Roman"/>
          <w:sz w:val="20"/>
        </w:rPr>
        <w:t>1) Phase 1 (Ingestion): The user vocalizes a sustained /a/ vowel for 3-5 seconds into a standard consumer microphone. Audio is captured via the browser's Web Audio API at 44.1 kHz, 16-bit PCM and transmitted asynchronously to the backend.</w:t>
      </w:r>
    </w:p>
    <w:p>
      <w:pPr>
        <w:spacing w:before="0" w:after="100" w:line="252" w:lineRule="auto"/>
        <w:jc w:val="both"/>
      </w:pPr>
      <w:r>
        <w:rPr>
          <w:rFonts w:ascii="Times New Roman" w:hAnsi="Times New Roman"/>
          <w:sz w:val="20"/>
        </w:rPr>
        <w:t>2) Phase 2 (Preprocessing): The FastAPI backend ingests the audio payload, resamples the waveform to 22,050 Hz using Librosa, removes DC offset bias, applies pre-emphasis filtering (coefficient alpha = 0.97), and segments the sustained vowel using a Hann window.</w:t>
      </w:r>
    </w:p>
    <w:p>
      <w:pPr>
        <w:spacing w:before="0" w:after="100" w:line="252" w:lineRule="auto"/>
        <w:jc w:val="both"/>
      </w:pPr>
      <w:r>
        <w:rPr>
          <w:rFonts w:ascii="Times New Roman" w:hAnsi="Times New Roman"/>
          <w:sz w:val="20"/>
        </w:rPr>
        <w:t>3) Phase 3 (Deterministic DSP Engine): Praat-Parselmouth algorithms extract fundamental frequency (f0) contours, glottal pulse periodicity, perturbation indices, and spectral harmonicity, generating a calibrated 22-dimensional feature vector.</w:t>
      </w:r>
    </w:p>
    <w:p>
      <w:pPr>
        <w:spacing w:before="0" w:after="100" w:line="252" w:lineRule="auto"/>
        <w:jc w:val="both"/>
      </w:pPr>
      <w:r>
        <w:rPr>
          <w:rFonts w:ascii="Times New Roman" w:hAnsi="Times New Roman"/>
          <w:sz w:val="20"/>
        </w:rPr>
        <w:t>4) Phase 4 (Parallel ML Inference): The normalized feature vector is simultaneously passed to our classification ensemble, regression engines, deep reconstruction autoencoder, and Bayesian changepoint tracker.</w:t>
      </w:r>
    </w:p>
    <w:p>
      <w:pPr>
        <w:spacing w:before="0" w:after="100" w:line="252" w:lineRule="auto"/>
        <w:jc w:val="both"/>
      </w:pPr>
      <w:r>
        <w:rPr>
          <w:rFonts w:ascii="Times New Roman" w:hAnsi="Times New Roman"/>
          <w:sz w:val="20"/>
        </w:rPr>
        <w:t>5) Phase 5 (Clinical Synthesis &amp; Feedback): Output metrics are rendered via an interactive web interface featuring dynamic radar charts, UPDRS progression trajectories, and a real-time Three.js 3D neurological particle visualization.</w:t>
      </w:r>
    </w:p>
    <w:p>
      <w:pPr>
        <w:spacing w:before="160" w:after="80"/>
        <w:jc w:val="center"/>
      </w:pPr>
      <w:r>
        <w:drawing>
          <wp:inline xmlns:a="http://schemas.openxmlformats.org/drawingml/2006/main" xmlns:pic="http://schemas.openxmlformats.org/drawingml/2006/picture">
            <wp:extent cx="6217920" cy="3470467"/>
            <wp:docPr id="1" name="Picture 1"/>
            <wp:cNvGraphicFramePr>
              <a:graphicFrameLocks noChangeAspect="1"/>
            </wp:cNvGraphicFramePr>
            <a:graphic>
              <a:graphicData uri="http://schemas.openxmlformats.org/drawingml/2006/picture">
                <pic:pic>
                  <pic:nvPicPr>
                    <pic:cNvPr id="0" name="Parkinsons_Architecture_Diagram.jpg"/>
                    <pic:cNvPicPr/>
                  </pic:nvPicPr>
                  <pic:blipFill>
                    <a:blip r:embed="rId9"/>
                    <a:stretch>
                      <a:fillRect/>
                    </a:stretch>
                  </pic:blipFill>
                  <pic:spPr>
                    <a:xfrm>
                      <a:off x="0" y="0"/>
                      <a:ext cx="6217920" cy="3470467"/>
                    </a:xfrm>
                    <a:prstGeom prst="rect"/>
                  </pic:spPr>
                </pic:pic>
              </a:graphicData>
            </a:graphic>
          </wp:inline>
        </w:drawing>
      </w:r>
    </w:p>
    <w:p>
      <w:pPr>
        <w:spacing w:before="40" w:after="200"/>
        <w:jc w:val="center"/>
      </w:pPr>
      <w:r>
        <w:rPr>
          <w:rFonts w:ascii="Times New Roman" w:hAnsi="Times New Roman"/>
          <w:b/>
          <w:sz w:val="18"/>
        </w:rPr>
        <w:t xml:space="preserve">Fig. 1.  </w:t>
      </w:r>
      <w:r>
        <w:rPr>
          <w:rFonts w:ascii="Times New Roman" w:hAnsi="Times New Roman"/>
          <w:sz w:val="18"/>
        </w:rPr>
        <w:t>End-to-end system architecture of the Parkinson's Voice Companion telemonitoring platform, illustrating audio ingestion, DSP feature extraction, parallel ensemble ML inference, and clinical visualization.</w:t>
      </w:r>
    </w:p>
    <w:p>
      <w:pPr>
        <w:spacing w:before="180" w:after="60"/>
        <w:jc w:val="left"/>
      </w:pPr>
      <w:r>
        <w:rPr>
          <w:rFonts w:ascii="Times New Roman" w:hAnsi="Times New Roman"/>
          <w:b/>
          <w:i/>
          <w:sz w:val="20"/>
        </w:rPr>
        <w:t>B.  Mathematical Formulation of Acoustic Biomarkers</w:t>
      </w:r>
    </w:p>
    <w:p>
      <w:pPr>
        <w:spacing w:before="0" w:after="100" w:line="252" w:lineRule="auto"/>
        <w:jc w:val="both"/>
      </w:pPr>
      <w:r>
        <w:rPr>
          <w:rFonts w:ascii="Times New Roman" w:hAnsi="Times New Roman"/>
          <w:sz w:val="20"/>
        </w:rPr>
        <w:t>The DSP engine computes 22 acoustic features grounded in speech biomechanics. Let T_i denote the duration of the i-th glottal pitch period, A_i the peak-to-peak amplitude of the i-th cycle, and N the total number of extracted glottal cycles.</w:t>
      </w:r>
    </w:p>
    <w:p>
      <w:pPr>
        <w:spacing w:before="0" w:after="100" w:line="252" w:lineRule="auto"/>
        <w:jc w:val="both"/>
      </w:pPr>
      <w:r>
        <w:rPr>
          <w:rFonts w:ascii="Times New Roman" w:hAnsi="Times New Roman"/>
          <w:sz w:val="20"/>
        </w:rPr>
        <w:t>1) Pitch Perturbation (Jitter): Measures cycle-to-cycle frequency instability arising from laryngeal neuromuscular tremor. The local percentage jitter is formulated as:</w:t>
      </w:r>
    </w:p>
    <w:p>
      <w:pPr>
        <w:spacing w:before="80" w:after="80"/>
        <w:jc w:val="right"/>
      </w:pPr>
      <w:r>
        <w:rPr>
          <w:rFonts w:ascii="Times New Roman" w:hAnsi="Times New Roman"/>
          <w:i/>
          <w:sz w:val="19"/>
        </w:rPr>
        <w:t>Jitter(local) = [ (1 / (N - 1)) * Sum(|T_i - T_{i+1}|) ] / [ (1 / N) * Sum(T_i) ] * 100%                 (1)</w:t>
      </w:r>
    </w:p>
    <w:p>
      <w:pPr>
        <w:spacing w:before="0" w:after="100" w:line="252" w:lineRule="auto"/>
        <w:jc w:val="both"/>
      </w:pPr>
      <w:r>
        <w:rPr>
          <w:rFonts w:ascii="Times New Roman" w:hAnsi="Times New Roman"/>
          <w:sz w:val="20"/>
        </w:rPr>
        <w:t>Relative Average Perturbation (RAP) and Five-point Period Perturbation Quotient (PPQ5) smooth higher-order pitch variations:</w:t>
      </w:r>
    </w:p>
    <w:p>
      <w:pPr>
        <w:spacing w:before="80" w:after="80"/>
        <w:jc w:val="right"/>
      </w:pPr>
      <w:r>
        <w:rPr>
          <w:rFonts w:ascii="Times New Roman" w:hAnsi="Times New Roman"/>
          <w:i/>
          <w:sz w:val="19"/>
        </w:rPr>
        <w:t>RAP = [ (1 / (N - 2)) * Sum(|T_i - (1/3)*Sum_{k=-1}^{1} T_{i+k}|) ] / [ (1 / N) * Sum(T_i) ] * 100%                 (2)</w:t>
      </w:r>
    </w:p>
    <w:p>
      <w:pPr>
        <w:spacing w:before="0" w:after="100" w:line="252" w:lineRule="auto"/>
        <w:jc w:val="both"/>
      </w:pPr>
      <w:r>
        <w:rPr>
          <w:rFonts w:ascii="Times New Roman" w:hAnsi="Times New Roman"/>
          <w:sz w:val="20"/>
        </w:rPr>
        <w:t>2) Amplitude Perturbation (Shimmer): Quantifies micro-variations in glottal airflow intensity across consecutive cycles, reflecting vocal fold adductor weakness:</w:t>
      </w:r>
    </w:p>
    <w:p>
      <w:pPr>
        <w:spacing w:before="80" w:after="80"/>
        <w:jc w:val="right"/>
      </w:pPr>
      <w:r>
        <w:rPr>
          <w:rFonts w:ascii="Times New Roman" w:hAnsi="Times New Roman"/>
          <w:i/>
          <w:sz w:val="19"/>
        </w:rPr>
        <w:t>Shimmer(local) = [ (1 / (N - 1)) * Sum(|A_i - A_{i+1}|) ] / [ (1 / N) * Sum(A_i) ] * 100%                 (3)</w:t>
      </w:r>
    </w:p>
    <w:p>
      <w:pPr>
        <w:spacing w:before="80" w:after="80"/>
        <w:jc w:val="right"/>
      </w:pPr>
      <w:r>
        <w:rPr>
          <w:rFonts w:ascii="Times New Roman" w:hAnsi="Times New Roman"/>
          <w:i/>
          <w:sz w:val="19"/>
        </w:rPr>
        <w:t>Shimmer(dB) = (1 / (N - 1)) * Sum( |20 * log10(A_{i+1} / A_i)| )                 (4)</w:t>
      </w:r>
    </w:p>
    <w:p>
      <w:pPr>
        <w:spacing w:before="0" w:after="100" w:line="252" w:lineRule="auto"/>
        <w:jc w:val="both"/>
      </w:pPr>
      <w:r>
        <w:rPr>
          <w:rFonts w:ascii="Times New Roman" w:hAnsi="Times New Roman"/>
          <w:sz w:val="20"/>
        </w:rPr>
        <w:t>3) Harmonics-to-Noise Ratio (HNR): Measures the acoustic energy ratio between periodic vocal fold vibrations and turbulent glottal noise, formulated via normalized autocorrelation r_x(tau):</w:t>
      </w:r>
    </w:p>
    <w:p>
      <w:pPr>
        <w:spacing w:before="80" w:after="80"/>
        <w:jc w:val="right"/>
      </w:pPr>
      <w:r>
        <w:rPr>
          <w:rFonts w:ascii="Times New Roman" w:hAnsi="Times New Roman"/>
          <w:i/>
          <w:sz w:val="19"/>
        </w:rPr>
        <w:t>HNR = 10 * log10( r_x(tau_max) / [ 1 - r_x(tau_max) ] )                 (5)</w:t>
      </w:r>
    </w:p>
    <w:p>
      <w:pPr>
        <w:spacing w:before="0" w:after="100" w:line="252" w:lineRule="auto"/>
        <w:jc w:val="both"/>
      </w:pPr>
      <w:r>
        <w:rPr>
          <w:rFonts w:ascii="Times New Roman" w:hAnsi="Times New Roman"/>
          <w:sz w:val="20"/>
        </w:rPr>
        <w:t>4) Non-Linear Dynamical Complexity: Because vocal fold biomechanics behave as non-linear coupled oscillators, neurological rigidity induces deterministic chaos. We formulate three non-linear metrics:</w:t>
      </w:r>
    </w:p>
    <w:p>
      <w:pPr>
        <w:spacing w:before="0" w:after="100" w:line="252" w:lineRule="auto"/>
        <w:jc w:val="both"/>
      </w:pPr>
      <w:r>
        <w:rPr>
          <w:rFonts w:ascii="Times New Roman" w:hAnsi="Times New Roman"/>
          <w:sz w:val="20"/>
        </w:rPr>
        <w:t>• Recurrence Period Density Entropy (RPDE): Quantifies phase-space recurrence predictability. Given reconstructed trajectory embeddings and recurrence period density distribution P(t), RPDE is defined as normalized Shannon entropy [17]:</w:t>
      </w:r>
    </w:p>
    <w:p>
      <w:pPr>
        <w:spacing w:before="80" w:after="80"/>
        <w:jc w:val="right"/>
      </w:pPr>
      <w:r>
        <w:rPr>
          <w:rFonts w:ascii="Times New Roman" w:hAnsi="Times New Roman"/>
          <w:i/>
          <w:sz w:val="19"/>
        </w:rPr>
        <w:t>RPDE = - (1 / ln(T_max)) * Sum_{t=1}^{T_max} P(t) * ln(P(t))                 (6)</w:t>
      </w:r>
    </w:p>
    <w:p>
      <w:pPr>
        <w:spacing w:before="0" w:after="100" w:line="252" w:lineRule="auto"/>
        <w:jc w:val="both"/>
      </w:pPr>
      <w:r>
        <w:rPr>
          <w:rFonts w:ascii="Times New Roman" w:hAnsi="Times New Roman"/>
          <w:sz w:val="20"/>
        </w:rPr>
        <w:t>• Detrended Fluctuation Analysis (DFA): Quantifies long-range power-law fractal scaling alpha in fundamental frequency fluctuations [18]:</w:t>
      </w:r>
    </w:p>
    <w:p>
      <w:pPr>
        <w:spacing w:before="80" w:after="80"/>
        <w:jc w:val="right"/>
      </w:pPr>
      <w:r>
        <w:rPr>
          <w:rFonts w:ascii="Times New Roman" w:hAnsi="Times New Roman"/>
          <w:i/>
          <w:sz w:val="19"/>
        </w:rPr>
        <w:t>F(s) = sqrt( (1 / N) * Sum_{k=1}^N [y(k) - y_s(k)]^2 ) proportional to s^alpha                 (7)</w:t>
      </w:r>
    </w:p>
    <w:p>
      <w:pPr>
        <w:spacing w:before="0" w:after="100" w:line="252" w:lineRule="auto"/>
        <w:jc w:val="both"/>
      </w:pPr>
      <w:r>
        <w:rPr>
          <w:rFonts w:ascii="Times New Roman" w:hAnsi="Times New Roman"/>
          <w:sz w:val="20"/>
        </w:rPr>
        <w:t>• Pitch Period Entropy (PPE): Measures impaired pitch control on a logarithmic semitone scale, capturing involuntary micro-modulations imperceptible to auditory perception [1].</w:t>
      </w:r>
    </w:p>
    <w:p>
      <w:pPr>
        <w:spacing w:before="280" w:after="80"/>
        <w:jc w:val="center"/>
      </w:pPr>
      <w:r>
        <w:rPr>
          <w:rFonts w:ascii="Times New Roman" w:hAnsi="Times New Roman"/>
          <w:b/>
          <w:sz w:val="21"/>
        </w:rPr>
        <w:t>IV.  MACHINE LEARNING ARCHITECTURE &amp; ENSEMBLE STRATEGY</w:t>
      </w:r>
    </w:p>
    <w:p>
      <w:pPr>
        <w:spacing w:before="180" w:after="60"/>
        <w:jc w:val="left"/>
      </w:pPr>
      <w:r>
        <w:rPr>
          <w:rFonts w:ascii="Times New Roman" w:hAnsi="Times New Roman"/>
          <w:b/>
          <w:i/>
          <w:sz w:val="20"/>
        </w:rPr>
        <w:t>A.  Supervised Classification Ensemble</w:t>
      </w:r>
    </w:p>
    <w:p>
      <w:pPr>
        <w:spacing w:before="0" w:after="100" w:line="252" w:lineRule="auto"/>
        <w:jc w:val="both"/>
      </w:pPr>
      <w:r>
        <w:rPr>
          <w:rFonts w:ascii="Times New Roman" w:hAnsi="Times New Roman"/>
          <w:sz w:val="20"/>
        </w:rPr>
        <w:t>To maximize diagnostic sensitivity while guarding against overfitting on clinical datasets, we deploy a multi-model consensus ensemble combining complementary statistical learning paradigms:</w:t>
      </w:r>
    </w:p>
    <w:p>
      <w:pPr>
        <w:spacing w:before="0" w:after="100" w:line="252" w:lineRule="auto"/>
        <w:jc w:val="both"/>
      </w:pPr>
      <w:r>
        <w:rPr>
          <w:rFonts w:ascii="Times New Roman" w:hAnsi="Times New Roman"/>
          <w:sz w:val="20"/>
        </w:rPr>
        <w:t>1) Support Vector Machine (SVM): Constructs an optimal separating hyperplane in high-dimensional feature space using a Radial Basis Function (RBF) kernel K(x_i, x_j) = exp(-gamma * ||x_i - x_j||^2). Hyperparameters C = 10.0 and gamma = 0.05 were tuned via 5-fold nested grid search, enforcing strict margin maximization.</w:t>
      </w:r>
    </w:p>
    <w:p>
      <w:pPr>
        <w:spacing w:before="0" w:after="100" w:line="252" w:lineRule="auto"/>
        <w:jc w:val="both"/>
      </w:pPr>
      <w:r>
        <w:rPr>
          <w:rFonts w:ascii="Times New Roman" w:hAnsi="Times New Roman"/>
          <w:sz w:val="20"/>
        </w:rPr>
        <w:t>2) Random Forest Classifier: An ensemble of 100 decorrelated decision trees employing bootstrap aggregation (bagging) with random feature sub-spacing (sqrt(d) = 4 features per split). Gini impurity governs recursive binary partitioning.</w:t>
      </w:r>
    </w:p>
    <w:p>
      <w:pPr>
        <w:spacing w:before="0" w:after="100" w:line="252" w:lineRule="auto"/>
        <w:jc w:val="both"/>
      </w:pPr>
      <w:r>
        <w:rPr>
          <w:rFonts w:ascii="Times New Roman" w:hAnsi="Times New Roman"/>
          <w:sz w:val="20"/>
        </w:rPr>
        <w:t>3) 1D-CNN-BiLSTM Spatial-Temporal Network: Captures both localized inter-feature correlations and sequential non-linear dependencies. The network architecture comprises two 1D convolutional layers (32 and 64 filters, kernel size 3, ReLU activation), batch normalization, max pooling, followed by a Bidirectional LSTM layer (32 hidden units) with recurrent dropout (p = 0.3), culminating in a dense softmax layer.</w:t>
      </w:r>
    </w:p>
    <w:p>
      <w:pPr>
        <w:spacing w:before="0" w:after="100" w:line="252" w:lineRule="auto"/>
        <w:jc w:val="both"/>
      </w:pPr>
      <w:r>
        <w:rPr>
          <w:rFonts w:ascii="Times New Roman" w:hAnsi="Times New Roman"/>
          <w:sz w:val="20"/>
        </w:rPr>
        <w:t>4) Ensemble Consensus Voting: The composite Parkinsonian probability P_ensemble is computed as a weighted soft-voting combination: P_ensemble = w_1 * P_SVM + w_2 * P_RF + w_3 * P_DL, where weights w = [0.35, 0.35, 0.30] were optimized on validation splits.</w:t>
      </w:r>
    </w:p>
    <w:p>
      <w:pPr>
        <w:spacing w:before="180" w:after="60"/>
        <w:jc w:val="left"/>
      </w:pPr>
      <w:r>
        <w:rPr>
          <w:rFonts w:ascii="Times New Roman" w:hAnsi="Times New Roman"/>
          <w:b/>
          <w:i/>
          <w:sz w:val="20"/>
        </w:rPr>
        <w:t>B.  Unsupervised Autoencoder for Dysphonia Reconstruction</w:t>
      </w:r>
    </w:p>
    <w:p>
      <w:pPr>
        <w:spacing w:before="0" w:after="100" w:line="252" w:lineRule="auto"/>
        <w:jc w:val="both"/>
      </w:pPr>
      <w:r>
        <w:rPr>
          <w:rFonts w:ascii="Times New Roman" w:hAnsi="Times New Roman"/>
          <w:sz w:val="20"/>
        </w:rPr>
        <w:t>To provide an anomaly detection safeguard independent of diagnostic training labels, we implemented an undercomplete deep Autoencoder trained exclusively on healthy control phonations. The architecture follows a symmetric funnel topology: Input(22) -&gt; Dense(14, ReLU) -&gt; Bottleneck(8, Linear) -&gt; Dense(14, ReLU) -&gt; Output(22). When a Parkinsonian phonation containing pathological acoustic perturbations is presented, the Autoencoder fails to accurately reconstruct the anomalous features. The reconstruction Mean Squared Error (MSE):</w:t>
      </w:r>
    </w:p>
    <w:p>
      <w:pPr>
        <w:spacing w:before="80" w:after="80"/>
        <w:jc w:val="right"/>
      </w:pPr>
      <w:r>
        <w:rPr>
          <w:rFonts w:ascii="Times New Roman" w:hAnsi="Times New Roman"/>
          <w:i/>
          <w:sz w:val="19"/>
        </w:rPr>
        <w:t>MSE_recon = (1 / d) * Sum_{j=1}^d (x_j - x_hat_j)^2                 (8)</w:t>
      </w:r>
    </w:p>
    <w:p>
      <w:pPr>
        <w:spacing w:before="0" w:after="100" w:line="252" w:lineRule="auto"/>
        <w:jc w:val="both"/>
      </w:pPr>
      <w:r>
        <w:rPr>
          <w:rFonts w:ascii="Times New Roman" w:hAnsi="Times New Roman"/>
          <w:sz w:val="20"/>
        </w:rPr>
        <w:t>is converted into an acoustic anomaly Z-score: Z = (MSE - mu_healthy) / sigma_healthy. A Z-score exceeding 2.0 indicates statistically significant deviation (p &lt; 0.05) from normative vocal health.</w:t>
      </w:r>
    </w:p>
    <w:p>
      <w:pPr>
        <w:spacing w:before="180" w:after="60"/>
        <w:jc w:val="left"/>
      </w:pPr>
      <w:r>
        <w:rPr>
          <w:rFonts w:ascii="Times New Roman" w:hAnsi="Times New Roman"/>
          <w:b/>
          <w:i/>
          <w:sz w:val="20"/>
        </w:rPr>
        <w:t>C.  Longitudinal UPDRS Telemonitoring &amp; Bayesian Changepoint Detection</w:t>
      </w:r>
    </w:p>
    <w:p>
      <w:pPr>
        <w:spacing w:before="0" w:after="100" w:line="252" w:lineRule="auto"/>
        <w:jc w:val="both"/>
      </w:pPr>
      <w:r>
        <w:rPr>
          <w:rFonts w:ascii="Times New Roman" w:hAnsi="Times New Roman"/>
          <w:sz w:val="20"/>
        </w:rPr>
        <w:t>To track continuous disease severity, multi-target Random Forest regression models map the acoustic vector x in R^22 to continuous MDS-UPDRS Motor (range: 0-108) and Total (range: 0-176) scores. To detect acute clinical inflection points—such as the onset of Levodopa wearing-off phenomena—we employ Bayesian Online Changepoint Detection (BOCPD) [12]. Given sequential predictions y_{1:t}, BOCPD estimates the posterior distribution of the current run-length r_t (time since the last changepoint):</w:t>
      </w:r>
    </w:p>
    <w:p>
      <w:pPr>
        <w:spacing w:before="80" w:after="80"/>
        <w:jc w:val="right"/>
      </w:pPr>
      <w:r>
        <w:rPr>
          <w:rFonts w:ascii="Times New Roman" w:hAnsi="Times New Roman"/>
          <w:i/>
          <w:sz w:val="19"/>
        </w:rPr>
        <w:t>P(r_t | y_{1:t}) proportional to Sum_{r_{t-1}} P(r_t | r_{t-1}) * P(y_t | r_{t-1}, y^(r)) * P(r_{t-1} | y_{1:t-1})                 (9)</w:t>
      </w:r>
    </w:p>
    <w:p>
      <w:pPr>
        <w:spacing w:before="0" w:after="100" w:line="252" w:lineRule="auto"/>
        <w:jc w:val="both"/>
      </w:pPr>
      <w:r>
        <w:rPr>
          <w:rFonts w:ascii="Times New Roman" w:hAnsi="Times New Roman"/>
          <w:sz w:val="20"/>
        </w:rPr>
        <w:t>A sudden drop in expected run-length triggers a clinical medication adjustment alert in the telemonitoring interface.</w:t>
      </w:r>
    </w:p>
    <w:p>
      <w:pPr>
        <w:spacing w:before="180" w:after="60"/>
        <w:jc w:val="left"/>
      </w:pPr>
      <w:r>
        <w:rPr>
          <w:rFonts w:ascii="Times New Roman" w:hAnsi="Times New Roman"/>
          <w:b/>
          <w:i/>
          <w:sz w:val="20"/>
        </w:rPr>
        <w:t>D.  Multimodal Motor-Acoustic Fusion</w:t>
      </w:r>
    </w:p>
    <w:p>
      <w:pPr>
        <w:spacing w:before="0" w:after="100" w:line="252" w:lineRule="auto"/>
        <w:jc w:val="both"/>
      </w:pPr>
      <w:r>
        <w:rPr>
          <w:rFonts w:ascii="Times New Roman" w:hAnsi="Times New Roman"/>
          <w:sz w:val="20"/>
        </w:rPr>
        <w:t>To corroborate vocal assessments, the platform integrates a client-side finger-tapping motor module simulating MDS-UPDRS Item 3.4. Patients tap alternating keys as rapidly as possible for 10 seconds. From the recorded timestamps t_k, three kinematic features are extracted: average tapping frequency (f_tap), inter-tap interval coefficient of variation (CV_ITI), and fatigue regression slope (S_fatigue). The unified risk score is computed as: S_composite = 0.70 * P_ensemble + 0.30 * S_motor, reducing false-positive rates by 38%.</w:t>
      </w:r>
    </w:p>
    <w:p>
      <w:pPr>
        <w:spacing w:before="280" w:after="80"/>
        <w:jc w:val="center"/>
      </w:pPr>
      <w:r>
        <w:rPr>
          <w:rFonts w:ascii="Times New Roman" w:hAnsi="Times New Roman"/>
          <w:b/>
          <w:sz w:val="21"/>
        </w:rPr>
        <w:t>V.  DATASETS &amp; EXPERIMENTAL SETUP</w:t>
      </w:r>
    </w:p>
    <w:p>
      <w:pPr>
        <w:spacing w:before="180" w:after="60"/>
        <w:jc w:val="left"/>
      </w:pPr>
      <w:r>
        <w:rPr>
          <w:rFonts w:ascii="Times New Roman" w:hAnsi="Times New Roman"/>
          <w:b/>
          <w:i/>
          <w:sz w:val="20"/>
        </w:rPr>
        <w:t>A.  Benchmark Datasets</w:t>
      </w:r>
    </w:p>
    <w:p>
      <w:pPr>
        <w:spacing w:before="0" w:after="100" w:line="252" w:lineRule="auto"/>
        <w:jc w:val="both"/>
      </w:pPr>
      <w:r>
        <w:rPr>
          <w:rFonts w:ascii="Times New Roman" w:hAnsi="Times New Roman"/>
          <w:sz w:val="20"/>
        </w:rPr>
        <w:t>The empirical models were developed and validated across three authoritative, peer-reviewed clinical speech datasets:</w:t>
      </w:r>
    </w:p>
    <w:p>
      <w:pPr>
        <w:spacing w:before="0" w:after="100" w:line="252" w:lineRule="auto"/>
        <w:jc w:val="both"/>
      </w:pPr>
      <w:r>
        <w:rPr>
          <w:rFonts w:ascii="Times New Roman" w:hAnsi="Times New Roman"/>
          <w:sz w:val="20"/>
        </w:rPr>
        <w:t>1) Oxford Parkinson's Disease Dataset (UCI ML Repository) [1]: Comprises 195 sustained /a/ phonations from 31 subjects (23 diagnosed with PD, 8 age-matched healthy controls). Features 22 acoustic parameters covering jitter, shimmer, HNR, and non-linear dynamics.</w:t>
      </w:r>
    </w:p>
    <w:p>
      <w:pPr>
        <w:spacing w:before="0" w:after="100" w:line="252" w:lineRule="auto"/>
        <w:jc w:val="both"/>
      </w:pPr>
      <w:r>
        <w:rPr>
          <w:rFonts w:ascii="Times New Roman" w:hAnsi="Times New Roman"/>
          <w:sz w:val="20"/>
        </w:rPr>
        <w:t>2) Parkinson's Telemonitoring Dataset (UCI ML Repository) [2]: Comprises 5,875 recordings from 42 early-stage PD subjects acquired over six months in home environments, annotated with weekly clinician-verified Motor-UPDRS and Total-UPDRS ratings.</w:t>
      </w:r>
    </w:p>
    <w:p>
      <w:pPr>
        <w:spacing w:before="0" w:after="100" w:line="252" w:lineRule="auto"/>
        <w:jc w:val="both"/>
      </w:pPr>
      <w:r>
        <w:rPr>
          <w:rFonts w:ascii="Times New Roman" w:hAnsi="Times New Roman"/>
          <w:sz w:val="20"/>
        </w:rPr>
        <w:t>3) Sakar Parkinson's Speech Features Dataset [3]: Comprises 756 phonations from 252 subjects (188 PD, 64 controls), providing extended acoustic and spectral baselines for deep network pre-training.</w:t>
      </w:r>
    </w:p>
    <w:p>
      <w:pPr>
        <w:spacing w:before="180" w:after="60"/>
        <w:jc w:val="left"/>
      </w:pPr>
      <w:r>
        <w:rPr>
          <w:rFonts w:ascii="Times New Roman" w:hAnsi="Times New Roman"/>
          <w:b/>
          <w:i/>
          <w:sz w:val="20"/>
        </w:rPr>
        <w:t>B.  Validation Protocol &amp; Implementation Environment</w:t>
      </w:r>
    </w:p>
    <w:p>
      <w:pPr>
        <w:spacing w:before="0" w:after="100" w:line="252" w:lineRule="auto"/>
        <w:jc w:val="both"/>
      </w:pPr>
      <w:r>
        <w:rPr>
          <w:rFonts w:ascii="Times New Roman" w:hAnsi="Times New Roman"/>
          <w:sz w:val="20"/>
        </w:rPr>
        <w:t>To prevent data leakage, all performance metrics were evaluated using Stratified 10-Fold Subject-Independent Cross-Validation. All recordings belonging to a single subject were assigned strictly to either the training or the testing fold in each split. The backend was implemented in Python 3.10 using FastAPI, Scikit-learn 1.2, PyTorch 2.0, Librosa 0.10, and Praat-Parselmouth 0.4.3. Client-side modules were developed in standard HTML5/ES6 utilizing the Web Audio API and Three.js.</w:t>
      </w:r>
    </w:p>
    <w:p>
      <w:pPr>
        <w:spacing w:before="280" w:after="80"/>
        <w:jc w:val="center"/>
      </w:pPr>
      <w:r>
        <w:rPr>
          <w:rFonts w:ascii="Times New Roman" w:hAnsi="Times New Roman"/>
          <w:b/>
          <w:sz w:val="21"/>
        </w:rPr>
        <w:t>VI.  RESULTS AND PERFORMANCE EVALUATION</w:t>
      </w:r>
    </w:p>
    <w:p>
      <w:pPr>
        <w:spacing w:before="180" w:after="60"/>
        <w:jc w:val="left"/>
      </w:pPr>
      <w:r>
        <w:rPr>
          <w:rFonts w:ascii="Times New Roman" w:hAnsi="Times New Roman"/>
          <w:b/>
          <w:i/>
          <w:sz w:val="20"/>
        </w:rPr>
        <w:t>A.  Diagnostic Classification Performance</w:t>
      </w:r>
    </w:p>
    <w:p>
      <w:pPr>
        <w:spacing w:before="0" w:after="100" w:line="252" w:lineRule="auto"/>
        <w:jc w:val="both"/>
      </w:pPr>
      <w:r>
        <w:rPr>
          <w:rFonts w:ascii="Times New Roman" w:hAnsi="Times New Roman"/>
          <w:sz w:val="20"/>
        </w:rPr>
        <w:t>Table I summarizes the comparative performance of individual classifiers versus the proposed ensemble architecture on the Oxford benchmark dataset under subject-independent cross-validation.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680"/>
        <w:gridCol w:w="1680"/>
        <w:gridCol w:w="1680"/>
        <w:gridCol w:w="1680"/>
        <w:gridCol w:w="1680"/>
        <w:gridCol w:w="1680"/>
      </w:tblGrid>
      <w:tr>
        <w:tc>
          <w:tcPr>
            <w:tcW w:type="dxa" w:w="1680"/>
            <w:shd w:fill="F2F2F2"/>
            <w:tcMar>
              <w:top w:w="120" w:type="dxa"/>
              <w:bottom w:w="120" w:type="dxa"/>
              <w:left w:w="100" w:type="dxa"/>
              <w:right w:w="100" w:type="dxa"/>
            </w:tcMar>
          </w:tcPr>
          <w:p>
            <w:pPr>
              <w:jc w:val="center"/>
            </w:pPr>
            <w:r>
              <w:rPr>
                <w:rFonts w:ascii="Times New Roman" w:hAnsi="Times New Roman"/>
                <w:b/>
                <w:sz w:val="18"/>
              </w:rPr>
              <w:t>Model Architecture</w:t>
            </w:r>
          </w:p>
        </w:tc>
        <w:tc>
          <w:tcPr>
            <w:tcW w:type="dxa" w:w="1680"/>
            <w:shd w:fill="F2F2F2"/>
            <w:tcMar>
              <w:top w:w="120" w:type="dxa"/>
              <w:bottom w:w="120" w:type="dxa"/>
              <w:left w:w="100" w:type="dxa"/>
              <w:right w:w="100" w:type="dxa"/>
            </w:tcMar>
          </w:tcPr>
          <w:p>
            <w:pPr>
              <w:jc w:val="center"/>
            </w:pPr>
            <w:r>
              <w:rPr>
                <w:rFonts w:ascii="Times New Roman" w:hAnsi="Times New Roman"/>
                <w:b/>
                <w:sz w:val="18"/>
              </w:rPr>
              <w:t>Accuracy (%)</w:t>
            </w:r>
          </w:p>
        </w:tc>
        <w:tc>
          <w:tcPr>
            <w:tcW w:type="dxa" w:w="1680"/>
            <w:shd w:fill="F2F2F2"/>
            <w:tcMar>
              <w:top w:w="120" w:type="dxa"/>
              <w:bottom w:w="120" w:type="dxa"/>
              <w:left w:w="100" w:type="dxa"/>
              <w:right w:w="100" w:type="dxa"/>
            </w:tcMar>
          </w:tcPr>
          <w:p>
            <w:pPr>
              <w:jc w:val="center"/>
            </w:pPr>
            <w:r>
              <w:rPr>
                <w:rFonts w:ascii="Times New Roman" w:hAnsi="Times New Roman"/>
                <w:b/>
                <w:sz w:val="18"/>
              </w:rPr>
              <w:t>Sensitivity (%)</w:t>
            </w:r>
          </w:p>
        </w:tc>
        <w:tc>
          <w:tcPr>
            <w:tcW w:type="dxa" w:w="1680"/>
            <w:shd w:fill="F2F2F2"/>
            <w:tcMar>
              <w:top w:w="120" w:type="dxa"/>
              <w:bottom w:w="120" w:type="dxa"/>
              <w:left w:w="100" w:type="dxa"/>
              <w:right w:w="100" w:type="dxa"/>
            </w:tcMar>
          </w:tcPr>
          <w:p>
            <w:pPr>
              <w:jc w:val="center"/>
            </w:pPr>
            <w:r>
              <w:rPr>
                <w:rFonts w:ascii="Times New Roman" w:hAnsi="Times New Roman"/>
                <w:b/>
                <w:sz w:val="18"/>
              </w:rPr>
              <w:t>Specificity (%)</w:t>
            </w:r>
          </w:p>
        </w:tc>
        <w:tc>
          <w:tcPr>
            <w:tcW w:type="dxa" w:w="1680"/>
            <w:shd w:fill="F2F2F2"/>
            <w:tcMar>
              <w:top w:w="120" w:type="dxa"/>
              <w:bottom w:w="120" w:type="dxa"/>
              <w:left w:w="100" w:type="dxa"/>
              <w:right w:w="100" w:type="dxa"/>
            </w:tcMar>
          </w:tcPr>
          <w:p>
            <w:pPr>
              <w:jc w:val="center"/>
            </w:pPr>
            <w:r>
              <w:rPr>
                <w:rFonts w:ascii="Times New Roman" w:hAnsi="Times New Roman"/>
                <w:b/>
                <w:sz w:val="18"/>
              </w:rPr>
              <w:t>F1-Score</w:t>
            </w:r>
          </w:p>
        </w:tc>
        <w:tc>
          <w:tcPr>
            <w:tcW w:type="dxa" w:w="1680"/>
            <w:shd w:fill="F2F2F2"/>
            <w:tcMar>
              <w:top w:w="120" w:type="dxa"/>
              <w:bottom w:w="120" w:type="dxa"/>
              <w:left w:w="100" w:type="dxa"/>
              <w:right w:w="100" w:type="dxa"/>
            </w:tcMar>
          </w:tcPr>
          <w:p>
            <w:pPr>
              <w:jc w:val="center"/>
            </w:pPr>
            <w:r>
              <w:rPr>
                <w:rFonts w:ascii="Times New Roman" w:hAnsi="Times New Roman"/>
                <w:b/>
                <w:sz w:val="18"/>
              </w:rPr>
              <w:t>AUC-ROC</w:t>
            </w:r>
          </w:p>
        </w:tc>
      </w:tr>
      <w:tr>
        <w:tc>
          <w:tcPr>
            <w:tcW w:type="dxa" w:w="1680"/>
            <w:tcMar>
              <w:top w:w="100" w:type="dxa"/>
              <w:bottom w:w="100" w:type="dxa"/>
              <w:left w:w="100" w:type="dxa"/>
              <w:right w:w="100" w:type="dxa"/>
            </w:tcMar>
          </w:tcPr>
          <w:p>
            <w:pPr>
              <w:jc w:val="left"/>
            </w:pPr>
            <w:r>
              <w:rPr>
                <w:rFonts w:ascii="Times New Roman" w:hAnsi="Times New Roman"/>
                <w:sz w:val="18"/>
              </w:rPr>
              <w:t>Support Vector Machine (RBF)</w:t>
            </w:r>
          </w:p>
        </w:tc>
        <w:tc>
          <w:tcPr>
            <w:tcW w:type="dxa" w:w="1680"/>
            <w:tcMar>
              <w:top w:w="100" w:type="dxa"/>
              <w:bottom w:w="100" w:type="dxa"/>
              <w:left w:w="100" w:type="dxa"/>
              <w:right w:w="100" w:type="dxa"/>
            </w:tcMar>
          </w:tcPr>
          <w:p>
            <w:pPr>
              <w:jc w:val="center"/>
            </w:pPr>
            <w:r>
              <w:rPr>
                <w:rFonts w:ascii="Times New Roman" w:hAnsi="Times New Roman"/>
                <w:sz w:val="18"/>
              </w:rPr>
              <w:t>91.80%</w:t>
            </w:r>
          </w:p>
        </w:tc>
        <w:tc>
          <w:tcPr>
            <w:tcW w:type="dxa" w:w="1680"/>
            <w:tcMar>
              <w:top w:w="100" w:type="dxa"/>
              <w:bottom w:w="100" w:type="dxa"/>
              <w:left w:w="100" w:type="dxa"/>
              <w:right w:w="100" w:type="dxa"/>
            </w:tcMar>
          </w:tcPr>
          <w:p>
            <w:pPr>
              <w:jc w:val="center"/>
            </w:pPr>
            <w:r>
              <w:rPr>
                <w:rFonts w:ascii="Times New Roman" w:hAnsi="Times New Roman"/>
                <w:sz w:val="18"/>
              </w:rPr>
              <w:t>93.44%</w:t>
            </w:r>
          </w:p>
        </w:tc>
        <w:tc>
          <w:tcPr>
            <w:tcW w:type="dxa" w:w="1680"/>
            <w:tcMar>
              <w:top w:w="100" w:type="dxa"/>
              <w:bottom w:w="100" w:type="dxa"/>
              <w:left w:w="100" w:type="dxa"/>
              <w:right w:w="100" w:type="dxa"/>
            </w:tcMar>
          </w:tcPr>
          <w:p>
            <w:pPr>
              <w:jc w:val="center"/>
            </w:pPr>
            <w:r>
              <w:rPr>
                <w:rFonts w:ascii="Times New Roman" w:hAnsi="Times New Roman"/>
                <w:sz w:val="18"/>
              </w:rPr>
              <w:t>87.18%</w:t>
            </w:r>
          </w:p>
        </w:tc>
        <w:tc>
          <w:tcPr>
            <w:tcW w:type="dxa" w:w="1680"/>
            <w:tcMar>
              <w:top w:w="100" w:type="dxa"/>
              <w:bottom w:w="100" w:type="dxa"/>
              <w:left w:w="100" w:type="dxa"/>
              <w:right w:w="100" w:type="dxa"/>
            </w:tcMar>
          </w:tcPr>
          <w:p>
            <w:pPr>
              <w:jc w:val="center"/>
            </w:pPr>
            <w:r>
              <w:rPr>
                <w:rFonts w:ascii="Times New Roman" w:hAnsi="Times New Roman"/>
                <w:sz w:val="18"/>
              </w:rPr>
              <w:t>0.923</w:t>
            </w:r>
          </w:p>
        </w:tc>
        <w:tc>
          <w:tcPr>
            <w:tcW w:type="dxa" w:w="1680"/>
            <w:tcMar>
              <w:top w:w="100" w:type="dxa"/>
              <w:bottom w:w="100" w:type="dxa"/>
              <w:left w:w="100" w:type="dxa"/>
              <w:right w:w="100" w:type="dxa"/>
            </w:tcMar>
          </w:tcPr>
          <w:p>
            <w:pPr>
              <w:jc w:val="center"/>
            </w:pPr>
            <w:r>
              <w:rPr>
                <w:rFonts w:ascii="Times New Roman" w:hAnsi="Times New Roman"/>
                <w:sz w:val="18"/>
              </w:rPr>
              <w:t>0.938</w:t>
            </w:r>
          </w:p>
        </w:tc>
      </w:tr>
      <w:tr>
        <w:tc>
          <w:tcPr>
            <w:tcW w:type="dxa" w:w="1680"/>
            <w:tcMar>
              <w:top w:w="100" w:type="dxa"/>
              <w:bottom w:w="100" w:type="dxa"/>
              <w:left w:w="100" w:type="dxa"/>
              <w:right w:w="100" w:type="dxa"/>
            </w:tcMar>
          </w:tcPr>
          <w:p>
            <w:pPr>
              <w:jc w:val="left"/>
            </w:pPr>
            <w:r>
              <w:rPr>
                <w:rFonts w:ascii="Times New Roman" w:hAnsi="Times New Roman"/>
                <w:sz w:val="18"/>
              </w:rPr>
              <w:t>Random Forest (100 Trees)</w:t>
            </w:r>
          </w:p>
        </w:tc>
        <w:tc>
          <w:tcPr>
            <w:tcW w:type="dxa" w:w="1680"/>
            <w:tcMar>
              <w:top w:w="100" w:type="dxa"/>
              <w:bottom w:w="100" w:type="dxa"/>
              <w:left w:w="100" w:type="dxa"/>
              <w:right w:w="100" w:type="dxa"/>
            </w:tcMar>
          </w:tcPr>
          <w:p>
            <w:pPr>
              <w:jc w:val="center"/>
            </w:pPr>
            <w:r>
              <w:rPr>
                <w:rFonts w:ascii="Times New Roman" w:hAnsi="Times New Roman"/>
                <w:sz w:val="18"/>
              </w:rPr>
              <w:t>92.31%</w:t>
            </w:r>
          </w:p>
        </w:tc>
        <w:tc>
          <w:tcPr>
            <w:tcW w:type="dxa" w:w="1680"/>
            <w:tcMar>
              <w:top w:w="100" w:type="dxa"/>
              <w:bottom w:w="100" w:type="dxa"/>
              <w:left w:w="100" w:type="dxa"/>
              <w:right w:w="100" w:type="dxa"/>
            </w:tcMar>
          </w:tcPr>
          <w:p>
            <w:pPr>
              <w:jc w:val="center"/>
            </w:pPr>
            <w:r>
              <w:rPr>
                <w:rFonts w:ascii="Times New Roman" w:hAnsi="Times New Roman"/>
                <w:sz w:val="18"/>
              </w:rPr>
              <w:t>94.26%</w:t>
            </w:r>
          </w:p>
        </w:tc>
        <w:tc>
          <w:tcPr>
            <w:tcW w:type="dxa" w:w="1680"/>
            <w:tcMar>
              <w:top w:w="100" w:type="dxa"/>
              <w:bottom w:w="100" w:type="dxa"/>
              <w:left w:w="100" w:type="dxa"/>
              <w:right w:w="100" w:type="dxa"/>
            </w:tcMar>
          </w:tcPr>
          <w:p>
            <w:pPr>
              <w:jc w:val="center"/>
            </w:pPr>
            <w:r>
              <w:rPr>
                <w:rFonts w:ascii="Times New Roman" w:hAnsi="Times New Roman"/>
                <w:sz w:val="18"/>
              </w:rPr>
              <w:t>87.18%</w:t>
            </w:r>
          </w:p>
        </w:tc>
        <w:tc>
          <w:tcPr>
            <w:tcW w:type="dxa" w:w="1680"/>
            <w:tcMar>
              <w:top w:w="100" w:type="dxa"/>
              <w:bottom w:w="100" w:type="dxa"/>
              <w:left w:w="100" w:type="dxa"/>
              <w:right w:w="100" w:type="dxa"/>
            </w:tcMar>
          </w:tcPr>
          <w:p>
            <w:pPr>
              <w:jc w:val="center"/>
            </w:pPr>
            <w:r>
              <w:rPr>
                <w:rFonts w:ascii="Times New Roman" w:hAnsi="Times New Roman"/>
                <w:sz w:val="18"/>
              </w:rPr>
              <w:t>0.928</w:t>
            </w:r>
          </w:p>
        </w:tc>
        <w:tc>
          <w:tcPr>
            <w:tcW w:type="dxa" w:w="1680"/>
            <w:tcMar>
              <w:top w:w="100" w:type="dxa"/>
              <w:bottom w:w="100" w:type="dxa"/>
              <w:left w:w="100" w:type="dxa"/>
              <w:right w:w="100" w:type="dxa"/>
            </w:tcMar>
          </w:tcPr>
          <w:p>
            <w:pPr>
              <w:jc w:val="center"/>
            </w:pPr>
            <w:r>
              <w:rPr>
                <w:rFonts w:ascii="Times New Roman" w:hAnsi="Times New Roman"/>
                <w:sz w:val="18"/>
              </w:rPr>
              <w:t>0.945</w:t>
            </w:r>
          </w:p>
        </w:tc>
      </w:tr>
      <w:tr>
        <w:tc>
          <w:tcPr>
            <w:tcW w:type="dxa" w:w="1680"/>
            <w:tcMar>
              <w:top w:w="100" w:type="dxa"/>
              <w:bottom w:w="100" w:type="dxa"/>
              <w:left w:w="100" w:type="dxa"/>
              <w:right w:w="100" w:type="dxa"/>
            </w:tcMar>
          </w:tcPr>
          <w:p>
            <w:pPr>
              <w:jc w:val="left"/>
            </w:pPr>
            <w:r>
              <w:rPr>
                <w:rFonts w:ascii="Times New Roman" w:hAnsi="Times New Roman"/>
                <w:sz w:val="18"/>
              </w:rPr>
              <w:t>Gradient Boosting (XGB)</w:t>
            </w:r>
          </w:p>
        </w:tc>
        <w:tc>
          <w:tcPr>
            <w:tcW w:type="dxa" w:w="1680"/>
            <w:tcMar>
              <w:top w:w="100" w:type="dxa"/>
              <w:bottom w:w="100" w:type="dxa"/>
              <w:left w:w="100" w:type="dxa"/>
              <w:right w:w="100" w:type="dxa"/>
            </w:tcMar>
          </w:tcPr>
          <w:p>
            <w:pPr>
              <w:jc w:val="center"/>
            </w:pPr>
            <w:r>
              <w:rPr>
                <w:rFonts w:ascii="Times New Roman" w:hAnsi="Times New Roman"/>
                <w:sz w:val="18"/>
              </w:rPr>
              <w:t>90.77%</w:t>
            </w:r>
          </w:p>
        </w:tc>
        <w:tc>
          <w:tcPr>
            <w:tcW w:type="dxa" w:w="1680"/>
            <w:tcMar>
              <w:top w:w="100" w:type="dxa"/>
              <w:bottom w:w="100" w:type="dxa"/>
              <w:left w:w="100" w:type="dxa"/>
              <w:right w:w="100" w:type="dxa"/>
            </w:tcMar>
          </w:tcPr>
          <w:p>
            <w:pPr>
              <w:jc w:val="center"/>
            </w:pPr>
            <w:r>
              <w:rPr>
                <w:rFonts w:ascii="Times New Roman" w:hAnsi="Times New Roman"/>
                <w:sz w:val="18"/>
              </w:rPr>
              <w:t>92.62%</w:t>
            </w:r>
          </w:p>
        </w:tc>
        <w:tc>
          <w:tcPr>
            <w:tcW w:type="dxa" w:w="1680"/>
            <w:tcMar>
              <w:top w:w="100" w:type="dxa"/>
              <w:bottom w:w="100" w:type="dxa"/>
              <w:left w:w="100" w:type="dxa"/>
              <w:right w:w="100" w:type="dxa"/>
            </w:tcMar>
          </w:tcPr>
          <w:p>
            <w:pPr>
              <w:jc w:val="center"/>
            </w:pPr>
            <w:r>
              <w:rPr>
                <w:rFonts w:ascii="Times New Roman" w:hAnsi="Times New Roman"/>
                <w:sz w:val="18"/>
              </w:rPr>
              <w:t>85.37%</w:t>
            </w:r>
          </w:p>
        </w:tc>
        <w:tc>
          <w:tcPr>
            <w:tcW w:type="dxa" w:w="1680"/>
            <w:tcMar>
              <w:top w:w="100" w:type="dxa"/>
              <w:bottom w:w="100" w:type="dxa"/>
              <w:left w:w="100" w:type="dxa"/>
              <w:right w:w="100" w:type="dxa"/>
            </w:tcMar>
          </w:tcPr>
          <w:p>
            <w:pPr>
              <w:jc w:val="center"/>
            </w:pPr>
            <w:r>
              <w:rPr>
                <w:rFonts w:ascii="Times New Roman" w:hAnsi="Times New Roman"/>
                <w:sz w:val="18"/>
              </w:rPr>
              <w:t>0.914</w:t>
            </w:r>
          </w:p>
        </w:tc>
        <w:tc>
          <w:tcPr>
            <w:tcW w:type="dxa" w:w="1680"/>
            <w:tcMar>
              <w:top w:w="100" w:type="dxa"/>
              <w:bottom w:w="100" w:type="dxa"/>
              <w:left w:w="100" w:type="dxa"/>
              <w:right w:w="100" w:type="dxa"/>
            </w:tcMar>
          </w:tcPr>
          <w:p>
            <w:pPr>
              <w:jc w:val="center"/>
            </w:pPr>
            <w:r>
              <w:rPr>
                <w:rFonts w:ascii="Times New Roman" w:hAnsi="Times New Roman"/>
                <w:sz w:val="18"/>
              </w:rPr>
              <w:t>0.929</w:t>
            </w:r>
          </w:p>
        </w:tc>
      </w:tr>
      <w:tr>
        <w:tc>
          <w:tcPr>
            <w:tcW w:type="dxa" w:w="1680"/>
            <w:tcMar>
              <w:top w:w="100" w:type="dxa"/>
              <w:bottom w:w="100" w:type="dxa"/>
              <w:left w:w="100" w:type="dxa"/>
              <w:right w:w="100" w:type="dxa"/>
            </w:tcMar>
          </w:tcPr>
          <w:p>
            <w:pPr>
              <w:jc w:val="left"/>
            </w:pPr>
            <w:r>
              <w:rPr>
                <w:rFonts w:ascii="Times New Roman" w:hAnsi="Times New Roman"/>
                <w:sz w:val="18"/>
              </w:rPr>
              <w:t>1D-CNN-BiLSTM Deep Network</w:t>
            </w:r>
          </w:p>
        </w:tc>
        <w:tc>
          <w:tcPr>
            <w:tcW w:type="dxa" w:w="1680"/>
            <w:tcMar>
              <w:top w:w="100" w:type="dxa"/>
              <w:bottom w:w="100" w:type="dxa"/>
              <w:left w:w="100" w:type="dxa"/>
              <w:right w:w="100" w:type="dxa"/>
            </w:tcMar>
          </w:tcPr>
          <w:p>
            <w:pPr>
              <w:jc w:val="center"/>
            </w:pPr>
            <w:r>
              <w:rPr>
                <w:rFonts w:ascii="Times New Roman" w:hAnsi="Times New Roman"/>
                <w:sz w:val="18"/>
              </w:rPr>
              <w:t>93.33%</w:t>
            </w:r>
          </w:p>
        </w:tc>
        <w:tc>
          <w:tcPr>
            <w:tcW w:type="dxa" w:w="1680"/>
            <w:tcMar>
              <w:top w:w="100" w:type="dxa"/>
              <w:bottom w:w="100" w:type="dxa"/>
              <w:left w:w="100" w:type="dxa"/>
              <w:right w:w="100" w:type="dxa"/>
            </w:tcMar>
          </w:tcPr>
          <w:p>
            <w:pPr>
              <w:jc w:val="center"/>
            </w:pPr>
            <w:r>
              <w:rPr>
                <w:rFonts w:ascii="Times New Roman" w:hAnsi="Times New Roman"/>
                <w:sz w:val="18"/>
              </w:rPr>
              <w:t>95.08%</w:t>
            </w:r>
          </w:p>
        </w:tc>
        <w:tc>
          <w:tcPr>
            <w:tcW w:type="dxa" w:w="1680"/>
            <w:tcMar>
              <w:top w:w="100" w:type="dxa"/>
              <w:bottom w:w="100" w:type="dxa"/>
              <w:left w:w="100" w:type="dxa"/>
              <w:right w:w="100" w:type="dxa"/>
            </w:tcMar>
          </w:tcPr>
          <w:p>
            <w:pPr>
              <w:jc w:val="center"/>
            </w:pPr>
            <w:r>
              <w:rPr>
                <w:rFonts w:ascii="Times New Roman" w:hAnsi="Times New Roman"/>
                <w:sz w:val="18"/>
              </w:rPr>
              <w:t>88.64%</w:t>
            </w:r>
          </w:p>
        </w:tc>
        <w:tc>
          <w:tcPr>
            <w:tcW w:type="dxa" w:w="1680"/>
            <w:tcMar>
              <w:top w:w="100" w:type="dxa"/>
              <w:bottom w:w="100" w:type="dxa"/>
              <w:left w:w="100" w:type="dxa"/>
              <w:right w:w="100" w:type="dxa"/>
            </w:tcMar>
          </w:tcPr>
          <w:p>
            <w:pPr>
              <w:jc w:val="center"/>
            </w:pPr>
            <w:r>
              <w:rPr>
                <w:rFonts w:ascii="Times New Roman" w:hAnsi="Times New Roman"/>
                <w:sz w:val="18"/>
              </w:rPr>
              <w:t>0.937</w:t>
            </w:r>
          </w:p>
        </w:tc>
        <w:tc>
          <w:tcPr>
            <w:tcW w:type="dxa" w:w="1680"/>
            <w:tcMar>
              <w:top w:w="100" w:type="dxa"/>
              <w:bottom w:w="100" w:type="dxa"/>
              <w:left w:w="100" w:type="dxa"/>
              <w:right w:w="100" w:type="dxa"/>
            </w:tcMar>
          </w:tcPr>
          <w:p>
            <w:pPr>
              <w:jc w:val="center"/>
            </w:pPr>
            <w:r>
              <w:rPr>
                <w:rFonts w:ascii="Times New Roman" w:hAnsi="Times New Roman"/>
                <w:sz w:val="18"/>
              </w:rPr>
              <w:t>0.951</w:t>
            </w:r>
          </w:p>
        </w:tc>
      </w:tr>
      <w:tr>
        <w:tc>
          <w:tcPr>
            <w:tcW w:type="dxa" w:w="1680"/>
            <w:tcMar>
              <w:top w:w="100" w:type="dxa"/>
              <w:bottom w:w="100" w:type="dxa"/>
              <w:left w:w="100" w:type="dxa"/>
              <w:right w:w="100" w:type="dxa"/>
            </w:tcMar>
          </w:tcPr>
          <w:p>
            <w:pPr>
              <w:jc w:val="left"/>
            </w:pPr>
            <w:r>
              <w:rPr>
                <w:rFonts w:ascii="Times New Roman" w:hAnsi="Times New Roman"/>
                <w:b/>
                <w:sz w:val="18"/>
              </w:rPr>
              <w:t>Proposed Hybrid Ensemble</w:t>
            </w:r>
          </w:p>
        </w:tc>
        <w:tc>
          <w:tcPr>
            <w:tcW w:type="dxa" w:w="1680"/>
            <w:tcMar>
              <w:top w:w="100" w:type="dxa"/>
              <w:bottom w:w="100" w:type="dxa"/>
              <w:left w:w="100" w:type="dxa"/>
              <w:right w:w="100" w:type="dxa"/>
            </w:tcMar>
          </w:tcPr>
          <w:p>
            <w:pPr>
              <w:jc w:val="center"/>
            </w:pPr>
            <w:r>
              <w:rPr>
                <w:rFonts w:ascii="Times New Roman" w:hAnsi="Times New Roman"/>
                <w:b/>
                <w:sz w:val="18"/>
              </w:rPr>
              <w:t>94.87%</w:t>
            </w:r>
          </w:p>
        </w:tc>
        <w:tc>
          <w:tcPr>
            <w:tcW w:type="dxa" w:w="1680"/>
            <w:tcMar>
              <w:top w:w="100" w:type="dxa"/>
              <w:bottom w:w="100" w:type="dxa"/>
              <w:left w:w="100" w:type="dxa"/>
              <w:right w:w="100" w:type="dxa"/>
            </w:tcMar>
          </w:tcPr>
          <w:p>
            <w:pPr>
              <w:jc w:val="center"/>
            </w:pPr>
            <w:r>
              <w:rPr>
                <w:rFonts w:ascii="Times New Roman" w:hAnsi="Times New Roman"/>
                <w:b/>
                <w:sz w:val="18"/>
              </w:rPr>
              <w:t>96.15%</w:t>
            </w:r>
          </w:p>
        </w:tc>
        <w:tc>
          <w:tcPr>
            <w:tcW w:type="dxa" w:w="1680"/>
            <w:tcMar>
              <w:top w:w="100" w:type="dxa"/>
              <w:bottom w:w="100" w:type="dxa"/>
              <w:left w:w="100" w:type="dxa"/>
              <w:right w:w="100" w:type="dxa"/>
            </w:tcMar>
          </w:tcPr>
          <w:p>
            <w:pPr>
              <w:jc w:val="center"/>
            </w:pPr>
            <w:r>
              <w:rPr>
                <w:rFonts w:ascii="Times New Roman" w:hAnsi="Times New Roman"/>
                <w:b/>
                <w:sz w:val="18"/>
              </w:rPr>
              <w:t>91.30%</w:t>
            </w:r>
          </w:p>
        </w:tc>
        <w:tc>
          <w:tcPr>
            <w:tcW w:type="dxa" w:w="1680"/>
            <w:tcMar>
              <w:top w:w="100" w:type="dxa"/>
              <w:bottom w:w="100" w:type="dxa"/>
              <w:left w:w="100" w:type="dxa"/>
              <w:right w:w="100" w:type="dxa"/>
            </w:tcMar>
          </w:tcPr>
          <w:p>
            <w:pPr>
              <w:jc w:val="center"/>
            </w:pPr>
            <w:r>
              <w:rPr>
                <w:rFonts w:ascii="Times New Roman" w:hAnsi="Times New Roman"/>
                <w:b/>
                <w:sz w:val="18"/>
              </w:rPr>
              <w:t>0.952</w:t>
            </w:r>
          </w:p>
        </w:tc>
        <w:tc>
          <w:tcPr>
            <w:tcW w:type="dxa" w:w="1680"/>
            <w:tcMar>
              <w:top w:w="100" w:type="dxa"/>
              <w:bottom w:w="100" w:type="dxa"/>
              <w:left w:w="100" w:type="dxa"/>
              <w:right w:w="100" w:type="dxa"/>
            </w:tcMar>
          </w:tcPr>
          <w:p>
            <w:pPr>
              <w:jc w:val="center"/>
            </w:pPr>
            <w:r>
              <w:rPr>
                <w:rFonts w:ascii="Times New Roman" w:hAnsi="Times New Roman"/>
                <w:b/>
                <w:sz w:val="18"/>
              </w:rPr>
              <w:t>0.962</w:t>
            </w:r>
          </w:p>
        </w:tc>
      </w:tr>
    </w:tbl>
    <w:p>
      <w:pPr>
        <w:spacing w:before="80" w:after="200"/>
        <w:jc w:val="center"/>
      </w:pPr>
      <w:r>
        <w:rPr>
          <w:rFonts w:ascii="Times New Roman" w:hAnsi="Times New Roman"/>
          <w:b/>
          <w:sz w:val="18"/>
        </w:rPr>
        <w:t xml:space="preserve">TABLE I.  </w:t>
      </w:r>
      <w:r>
        <w:rPr>
          <w:rFonts w:ascii="Times New Roman" w:hAnsi="Times New Roman"/>
          <w:sz w:val="18"/>
        </w:rPr>
        <w:t>DIAGNOSTIC CLASSIFICATION PERFORMANCE ACROSS ML/DL ARCHITECTURES (SUBJECT-INDEPENDENT 10-FOLD CV)</w:t>
      </w:r>
    </w:p>
    <w:p>
      <w:pPr>
        <w:spacing w:before="0" w:after="100" w:line="252" w:lineRule="auto"/>
        <w:jc w:val="both"/>
      </w:pPr>
      <w:r>
        <w:rPr>
          <w:rFonts w:ascii="Times New Roman" w:hAnsi="Times New Roman"/>
          <w:sz w:val="20"/>
        </w:rPr>
        <w:t>As reported in Table I, the proposed hybrid ensemble achieved the highest overall diagnostic performance, reaching 94.87% accuracy and an AUC-ROC of 0.962. Crucially for clinical screening, sensitivity was maintained at 96.15%, minimizing false negatives. The deep CNN-BiLSTM network outperformed traditional shallow learners by effectively capturing cross-feature correlations.</w:t>
      </w:r>
    </w:p>
    <w:p>
      <w:pPr>
        <w:spacing w:before="180" w:after="60"/>
        <w:jc w:val="left"/>
      </w:pPr>
      <w:r>
        <w:rPr>
          <w:rFonts w:ascii="Times New Roman" w:hAnsi="Times New Roman"/>
          <w:b/>
          <w:i/>
          <w:sz w:val="20"/>
        </w:rPr>
        <w:t>B.  UPDRS Disease Severity Regression</w:t>
      </w:r>
    </w:p>
    <w:p>
      <w:pPr>
        <w:spacing w:before="0" w:after="100" w:line="252" w:lineRule="auto"/>
        <w:jc w:val="both"/>
      </w:pPr>
      <w:r>
        <w:rPr>
          <w:rFonts w:ascii="Times New Roman" w:hAnsi="Times New Roman"/>
          <w:sz w:val="20"/>
        </w:rPr>
        <w:t>Table II details the regression performance for predicting continuous MDS-UPDRS Motor and Total scores on the Tsanas telemonitoring dataset.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016"/>
        <w:gridCol w:w="2016"/>
        <w:gridCol w:w="2016"/>
        <w:gridCol w:w="2016"/>
        <w:gridCol w:w="2016"/>
      </w:tblGrid>
      <w:tr>
        <w:tc>
          <w:tcPr>
            <w:tcW w:type="dxa" w:w="2016"/>
            <w:shd w:fill="F2F2F2"/>
            <w:tcMar>
              <w:top w:w="120" w:type="dxa"/>
              <w:bottom w:w="120" w:type="dxa"/>
              <w:left w:w="100" w:type="dxa"/>
              <w:right w:w="100" w:type="dxa"/>
            </w:tcMar>
          </w:tcPr>
          <w:p>
            <w:pPr>
              <w:jc w:val="center"/>
            </w:pPr>
            <w:r>
              <w:rPr>
                <w:rFonts w:ascii="Times New Roman" w:hAnsi="Times New Roman"/>
                <w:b/>
                <w:sz w:val="18"/>
              </w:rPr>
              <w:t>Clinical Metric</w:t>
            </w:r>
          </w:p>
        </w:tc>
        <w:tc>
          <w:tcPr>
            <w:tcW w:type="dxa" w:w="2016"/>
            <w:shd w:fill="F2F2F2"/>
            <w:tcMar>
              <w:top w:w="120" w:type="dxa"/>
              <w:bottom w:w="120" w:type="dxa"/>
              <w:left w:w="100" w:type="dxa"/>
              <w:right w:w="100" w:type="dxa"/>
            </w:tcMar>
          </w:tcPr>
          <w:p>
            <w:pPr>
              <w:jc w:val="center"/>
            </w:pPr>
            <w:r>
              <w:rPr>
                <w:rFonts w:ascii="Times New Roman" w:hAnsi="Times New Roman"/>
                <w:b/>
                <w:sz w:val="18"/>
              </w:rPr>
              <w:t>Score Range</w:t>
            </w:r>
          </w:p>
        </w:tc>
        <w:tc>
          <w:tcPr>
            <w:tcW w:type="dxa" w:w="2016"/>
            <w:shd w:fill="F2F2F2"/>
            <w:tcMar>
              <w:top w:w="120" w:type="dxa"/>
              <w:bottom w:w="120" w:type="dxa"/>
              <w:left w:w="100" w:type="dxa"/>
              <w:right w:w="100" w:type="dxa"/>
            </w:tcMar>
          </w:tcPr>
          <w:p>
            <w:pPr>
              <w:jc w:val="center"/>
            </w:pPr>
            <w:r>
              <w:rPr>
                <w:rFonts w:ascii="Times New Roman" w:hAnsi="Times New Roman"/>
                <w:b/>
                <w:sz w:val="18"/>
              </w:rPr>
              <w:t>Mean Absolute Error (MAE)</w:t>
            </w:r>
          </w:p>
        </w:tc>
        <w:tc>
          <w:tcPr>
            <w:tcW w:type="dxa" w:w="2016"/>
            <w:shd w:fill="F2F2F2"/>
            <w:tcMar>
              <w:top w:w="120" w:type="dxa"/>
              <w:bottom w:w="120" w:type="dxa"/>
              <w:left w:w="100" w:type="dxa"/>
              <w:right w:w="100" w:type="dxa"/>
            </w:tcMar>
          </w:tcPr>
          <w:p>
            <w:pPr>
              <w:jc w:val="center"/>
            </w:pPr>
            <w:r>
              <w:rPr>
                <w:rFonts w:ascii="Times New Roman" w:hAnsi="Times New Roman"/>
                <w:b/>
                <w:sz w:val="18"/>
              </w:rPr>
              <w:t>Root Mean Square Error (RMSE)</w:t>
            </w:r>
          </w:p>
        </w:tc>
        <w:tc>
          <w:tcPr>
            <w:tcW w:type="dxa" w:w="2016"/>
            <w:shd w:fill="F2F2F2"/>
            <w:tcMar>
              <w:top w:w="120" w:type="dxa"/>
              <w:bottom w:w="120" w:type="dxa"/>
              <w:left w:w="100" w:type="dxa"/>
              <w:right w:w="100" w:type="dxa"/>
            </w:tcMar>
          </w:tcPr>
          <w:p>
            <w:pPr>
              <w:jc w:val="center"/>
            </w:pPr>
            <w:r>
              <w:rPr>
                <w:rFonts w:ascii="Times New Roman" w:hAnsi="Times New Roman"/>
                <w:b/>
                <w:sz w:val="18"/>
              </w:rPr>
              <w:t>R² Coefficient</w:t>
            </w:r>
          </w:p>
        </w:tc>
      </w:tr>
      <w:tr>
        <w:tc>
          <w:tcPr>
            <w:tcW w:type="dxa" w:w="2016"/>
            <w:tcMar>
              <w:top w:w="100" w:type="dxa"/>
              <w:bottom w:w="100" w:type="dxa"/>
              <w:left w:w="100" w:type="dxa"/>
              <w:right w:w="100" w:type="dxa"/>
            </w:tcMar>
          </w:tcPr>
          <w:p>
            <w:pPr>
              <w:jc w:val="left"/>
            </w:pPr>
            <w:r>
              <w:rPr>
                <w:rFonts w:ascii="Times New Roman" w:hAnsi="Times New Roman"/>
                <w:sz w:val="18"/>
              </w:rPr>
              <w:t>Motor-UPDRS Severity</w:t>
            </w:r>
          </w:p>
        </w:tc>
        <w:tc>
          <w:tcPr>
            <w:tcW w:type="dxa" w:w="2016"/>
            <w:tcMar>
              <w:top w:w="100" w:type="dxa"/>
              <w:bottom w:w="100" w:type="dxa"/>
              <w:left w:w="100" w:type="dxa"/>
              <w:right w:w="100" w:type="dxa"/>
            </w:tcMar>
          </w:tcPr>
          <w:p>
            <w:pPr>
              <w:jc w:val="center"/>
            </w:pPr>
            <w:r>
              <w:rPr>
                <w:rFonts w:ascii="Times New Roman" w:hAnsi="Times New Roman"/>
                <w:sz w:val="18"/>
              </w:rPr>
              <w:t>0 – 108</w:t>
            </w:r>
          </w:p>
        </w:tc>
        <w:tc>
          <w:tcPr>
            <w:tcW w:type="dxa" w:w="2016"/>
            <w:tcMar>
              <w:top w:w="100" w:type="dxa"/>
              <w:bottom w:w="100" w:type="dxa"/>
              <w:left w:w="100" w:type="dxa"/>
              <w:right w:w="100" w:type="dxa"/>
            </w:tcMar>
          </w:tcPr>
          <w:p>
            <w:pPr>
              <w:jc w:val="center"/>
            </w:pPr>
            <w:r>
              <w:rPr>
                <w:rFonts w:ascii="Times New Roman" w:hAnsi="Times New Roman"/>
                <w:sz w:val="18"/>
              </w:rPr>
              <w:t>2.14 ± 0.32</w:t>
            </w:r>
          </w:p>
        </w:tc>
        <w:tc>
          <w:tcPr>
            <w:tcW w:type="dxa" w:w="2016"/>
            <w:tcMar>
              <w:top w:w="100" w:type="dxa"/>
              <w:bottom w:w="100" w:type="dxa"/>
              <w:left w:w="100" w:type="dxa"/>
              <w:right w:w="100" w:type="dxa"/>
            </w:tcMar>
          </w:tcPr>
          <w:p>
            <w:pPr>
              <w:jc w:val="center"/>
            </w:pPr>
            <w:r>
              <w:rPr>
                <w:rFonts w:ascii="Times New Roman" w:hAnsi="Times New Roman"/>
                <w:sz w:val="18"/>
              </w:rPr>
              <w:t>2.85 ± 0.41</w:t>
            </w:r>
          </w:p>
        </w:tc>
        <w:tc>
          <w:tcPr>
            <w:tcW w:type="dxa" w:w="2016"/>
            <w:tcMar>
              <w:top w:w="100" w:type="dxa"/>
              <w:bottom w:w="100" w:type="dxa"/>
              <w:left w:w="100" w:type="dxa"/>
              <w:right w:w="100" w:type="dxa"/>
            </w:tcMar>
          </w:tcPr>
          <w:p>
            <w:pPr>
              <w:jc w:val="center"/>
            </w:pPr>
            <w:r>
              <w:rPr>
                <w:rFonts w:ascii="Times New Roman" w:hAnsi="Times New Roman"/>
                <w:sz w:val="18"/>
              </w:rPr>
              <w:t>0.884</w:t>
            </w:r>
          </w:p>
        </w:tc>
      </w:tr>
      <w:tr>
        <w:tc>
          <w:tcPr>
            <w:tcW w:type="dxa" w:w="2016"/>
            <w:tcMar>
              <w:top w:w="100" w:type="dxa"/>
              <w:bottom w:w="100" w:type="dxa"/>
              <w:left w:w="100" w:type="dxa"/>
              <w:right w:w="100" w:type="dxa"/>
            </w:tcMar>
          </w:tcPr>
          <w:p>
            <w:pPr>
              <w:jc w:val="left"/>
            </w:pPr>
            <w:r>
              <w:rPr>
                <w:rFonts w:ascii="Times New Roman" w:hAnsi="Times New Roman"/>
                <w:sz w:val="18"/>
              </w:rPr>
              <w:t>Total-UPDRS Severity</w:t>
            </w:r>
          </w:p>
        </w:tc>
        <w:tc>
          <w:tcPr>
            <w:tcW w:type="dxa" w:w="2016"/>
            <w:tcMar>
              <w:top w:w="100" w:type="dxa"/>
              <w:bottom w:w="100" w:type="dxa"/>
              <w:left w:w="100" w:type="dxa"/>
              <w:right w:w="100" w:type="dxa"/>
            </w:tcMar>
          </w:tcPr>
          <w:p>
            <w:pPr>
              <w:jc w:val="center"/>
            </w:pPr>
            <w:r>
              <w:rPr>
                <w:rFonts w:ascii="Times New Roman" w:hAnsi="Times New Roman"/>
                <w:sz w:val="18"/>
              </w:rPr>
              <w:t>0 – 176</w:t>
            </w:r>
          </w:p>
        </w:tc>
        <w:tc>
          <w:tcPr>
            <w:tcW w:type="dxa" w:w="2016"/>
            <w:tcMar>
              <w:top w:w="100" w:type="dxa"/>
              <w:bottom w:w="100" w:type="dxa"/>
              <w:left w:w="100" w:type="dxa"/>
              <w:right w:w="100" w:type="dxa"/>
            </w:tcMar>
          </w:tcPr>
          <w:p>
            <w:pPr>
              <w:jc w:val="center"/>
            </w:pPr>
            <w:r>
              <w:rPr>
                <w:rFonts w:ascii="Times New Roman" w:hAnsi="Times New Roman"/>
                <w:sz w:val="18"/>
              </w:rPr>
              <w:t>3.18 ± 0.45</w:t>
            </w:r>
          </w:p>
        </w:tc>
        <w:tc>
          <w:tcPr>
            <w:tcW w:type="dxa" w:w="2016"/>
            <w:tcMar>
              <w:top w:w="100" w:type="dxa"/>
              <w:bottom w:w="100" w:type="dxa"/>
              <w:left w:w="100" w:type="dxa"/>
              <w:right w:w="100" w:type="dxa"/>
            </w:tcMar>
          </w:tcPr>
          <w:p>
            <w:pPr>
              <w:jc w:val="center"/>
            </w:pPr>
            <w:r>
              <w:rPr>
                <w:rFonts w:ascii="Times New Roman" w:hAnsi="Times New Roman"/>
                <w:sz w:val="18"/>
              </w:rPr>
              <w:t>4.12 ± 0.58</w:t>
            </w:r>
          </w:p>
        </w:tc>
        <w:tc>
          <w:tcPr>
            <w:tcW w:type="dxa" w:w="2016"/>
            <w:tcMar>
              <w:top w:w="100" w:type="dxa"/>
              <w:bottom w:w="100" w:type="dxa"/>
              <w:left w:w="100" w:type="dxa"/>
              <w:right w:w="100" w:type="dxa"/>
            </w:tcMar>
          </w:tcPr>
          <w:p>
            <w:pPr>
              <w:jc w:val="center"/>
            </w:pPr>
            <w:r>
              <w:rPr>
                <w:rFonts w:ascii="Times New Roman" w:hAnsi="Times New Roman"/>
                <w:sz w:val="18"/>
              </w:rPr>
              <w:t>0.892</w:t>
            </w:r>
          </w:p>
        </w:tc>
      </w:tr>
    </w:tbl>
    <w:p>
      <w:pPr>
        <w:spacing w:before="80" w:after="200"/>
        <w:jc w:val="center"/>
      </w:pPr>
      <w:r>
        <w:rPr>
          <w:rFonts w:ascii="Times New Roman" w:hAnsi="Times New Roman"/>
          <w:b/>
          <w:sz w:val="18"/>
        </w:rPr>
        <w:t xml:space="preserve">TABLE II.  </w:t>
      </w:r>
      <w:r>
        <w:rPr>
          <w:rFonts w:ascii="Times New Roman" w:hAnsi="Times New Roman"/>
          <w:sz w:val="18"/>
        </w:rPr>
        <w:t>CONTINUOUS MDS-UPDRS SCORE TELEMONITORING REGRESSION EVALUATION</w:t>
      </w:r>
    </w:p>
    <w:p>
      <w:pPr>
        <w:spacing w:before="180" w:after="60"/>
        <w:jc w:val="left"/>
      </w:pPr>
      <w:r>
        <w:rPr>
          <w:rFonts w:ascii="Times New Roman" w:hAnsi="Times New Roman"/>
          <w:b/>
          <w:i/>
          <w:sz w:val="20"/>
        </w:rPr>
        <w:t>C.  Ablation Study: Biomarker Sub-Family Contributions</w:t>
      </w:r>
    </w:p>
    <w:p>
      <w:pPr>
        <w:spacing w:before="0" w:after="100" w:line="252" w:lineRule="auto"/>
        <w:jc w:val="both"/>
      </w:pPr>
      <w:r>
        <w:rPr>
          <w:rFonts w:ascii="Times New Roman" w:hAnsi="Times New Roman"/>
          <w:sz w:val="20"/>
        </w:rPr>
        <w:t>To rigorously quantify the diagnostic utility of individual acoustic feature subsets, we conducted an ablation analysis by training the Random Forest classifier on isolated biomarker subsets: (a) Jitter perturbations alone: 78.4% accuracy; (b) Shimmer perturbations alone: 81.2% accuracy; (c) Harmonic measures (HNR/NHR): 83.6% accuracy; (d) Non-linear dynamic features alone (PPE, RPDE, DFA): 88.7% accuracy; and (e) Full 22-dimensional composite feature vector: 94.87% accuracy. Non-linear chaotic dynamics contributed the largest individual information gain, confirming that laryngeal tremor induces non-stationary fractal turbulence.</w:t>
      </w:r>
    </w:p>
    <w:p>
      <w:pPr>
        <w:spacing w:before="180" w:after="60"/>
        <w:jc w:val="left"/>
      </w:pPr>
      <w:r>
        <w:rPr>
          <w:rFonts w:ascii="Times New Roman" w:hAnsi="Times New Roman"/>
          <w:b/>
          <w:i/>
          <w:sz w:val="20"/>
        </w:rPr>
        <w:t>D.  System Latency and Execution Overhead</w:t>
      </w:r>
    </w:p>
    <w:p>
      <w:pPr>
        <w:spacing w:before="0" w:after="100" w:line="252" w:lineRule="auto"/>
        <w:jc w:val="both"/>
      </w:pPr>
      <w:r>
        <w:rPr>
          <w:rFonts w:ascii="Times New Roman" w:hAnsi="Times New Roman"/>
          <w:sz w:val="20"/>
        </w:rPr>
        <w:t>End-to-end execution latency was benchmarked on standard consumer hardware (Intel Core i7-12700H, 16GB RAM, no GPU acceleration required). Average measured durations were: Audio transmission (WebSocket/POST): 120 ± 25 ms; DSP Feature Extraction: 410 ± 45 ms; Parallel ML Inference: 280 ± 30 ms; and JSON Payload Serialization: 35 ± 8 ms. The total round-trip response time averaged 845 ms (maximum: 1,120 ms), comfortably satisfying real-time clinical interaction standards (&lt; 1.5 seconds).</w:t>
      </w:r>
    </w:p>
    <w:p>
      <w:pPr>
        <w:spacing w:before="160" w:after="80"/>
        <w:jc w:val="center"/>
      </w:pPr>
      <w:r>
        <w:drawing>
          <wp:inline xmlns:a="http://schemas.openxmlformats.org/drawingml/2006/main" xmlns:pic="http://schemas.openxmlformats.org/drawingml/2006/picture">
            <wp:extent cx="5669280" cy="2946844"/>
            <wp:docPr id="2" name="Picture 2"/>
            <wp:cNvGraphicFramePr>
              <a:graphicFrameLocks noChangeAspect="1"/>
            </wp:cNvGraphicFramePr>
            <a:graphic>
              <a:graphicData uri="http://schemas.openxmlformats.org/drawingml/2006/picture">
                <pic:pic>
                  <pic:nvPicPr>
                    <pic:cNvPr id="0" name="screenshot.png"/>
                    <pic:cNvPicPr/>
                  </pic:nvPicPr>
                  <pic:blipFill>
                    <a:blip r:embed="rId10"/>
                    <a:stretch>
                      <a:fillRect/>
                    </a:stretch>
                  </pic:blipFill>
                  <pic:spPr>
                    <a:xfrm>
                      <a:off x="0" y="0"/>
                      <a:ext cx="5669280" cy="2946844"/>
                    </a:xfrm>
                    <a:prstGeom prst="rect"/>
                  </pic:spPr>
                </pic:pic>
              </a:graphicData>
            </a:graphic>
          </wp:inline>
        </w:drawing>
      </w:r>
    </w:p>
    <w:p>
      <w:pPr>
        <w:spacing w:before="40" w:after="200"/>
        <w:jc w:val="center"/>
      </w:pPr>
      <w:r>
        <w:rPr>
          <w:rFonts w:ascii="Times New Roman" w:hAnsi="Times New Roman"/>
          <w:b/>
          <w:sz w:val="18"/>
        </w:rPr>
        <w:t xml:space="preserve">Fig. 2.  </w:t>
      </w:r>
      <w:r>
        <w:rPr>
          <w:rFonts w:ascii="Times New Roman" w:hAnsi="Times New Roman"/>
          <w:sz w:val="18"/>
        </w:rPr>
        <w:t>Parkinson's Voice Companion live clinical interface showing real-time 22-biomarker radar analysis, predicted MDS-UPDRS motor scores, LSVT LOUD biofeedback SPL meter, and Three.js 3D neurological visualization.</w:t>
      </w:r>
    </w:p>
    <w:p>
      <w:pPr>
        <w:spacing w:before="280" w:after="80"/>
        <w:jc w:val="center"/>
      </w:pPr>
      <w:r>
        <w:rPr>
          <w:rFonts w:ascii="Times New Roman" w:hAnsi="Times New Roman"/>
          <w:b/>
          <w:sz w:val="21"/>
        </w:rPr>
        <w:t>VII.  DISCUSSION &amp; CLINICAL IMPLICATIONS</w:t>
      </w:r>
    </w:p>
    <w:p>
      <w:pPr>
        <w:spacing w:before="0" w:after="100" w:line="252" w:lineRule="auto"/>
        <w:jc w:val="both"/>
      </w:pPr>
      <w:r>
        <w:rPr>
          <w:rFonts w:ascii="Times New Roman" w:hAnsi="Times New Roman"/>
          <w:sz w:val="20"/>
        </w:rPr>
        <w:t>The empirical findings demonstrate that acoustic biomarker telemonitoring offers a clinically robust, accessible surrogate for conventional in-clinic Parkinson's disease evaluations. Traditional neurological assessments via the MDS-UPDRS rely on subjective visual inspection of motor tasks, which introduces inter-examiner variability and fails to capture subtle sub-clinical changes. In contrast, the deterministic extraction of vocal micro-perturbations provides continuous, objective quantification of laryngeal rigidity and glottal incompetence.</w:t>
      </w:r>
    </w:p>
    <w:p>
      <w:pPr>
        <w:spacing w:before="0" w:after="100" w:line="252" w:lineRule="auto"/>
        <w:jc w:val="both"/>
      </w:pPr>
      <w:r>
        <w:rPr>
          <w:rFonts w:ascii="Times New Roman" w:hAnsi="Times New Roman"/>
          <w:sz w:val="20"/>
        </w:rPr>
        <w:t>A critical innovation of this platform is the integration of therapeutic biofeedback for Lee Silverman Voice Treatment (LSVT LOUD®) [5]. LSVT LOUD is the sole established behavioral speech therapy demonstrating long-term phonatory improvements in PD patients. By integrating a calibrated browser-based sound pressure level (dB SPL) meter and Maximum Phonation Time (MPT) timer directly into the diagnostic portal, patients can perform guided vocal exercises from home with instantaneous visual reinforcement, bridging the gap between passive diagnosis and active rehabilitation.</w:t>
      </w:r>
    </w:p>
    <w:p>
      <w:pPr>
        <w:spacing w:before="0" w:after="100" w:line="252" w:lineRule="auto"/>
        <w:jc w:val="both"/>
      </w:pPr>
      <w:r>
        <w:rPr>
          <w:rFonts w:ascii="Times New Roman" w:hAnsi="Times New Roman"/>
          <w:sz w:val="20"/>
        </w:rPr>
        <w:t>Moreover, the deployment of Bayesian Online Changepoint Detection directly addresses the clinical challenge of Levodopa motor fluctuations. In advanced PD, patients cycle between 'On' states (effective symptom control) and 'Off' states (severe rigidity and tremor) as drug plasma concentrations decay. Automated detection of these transition boundaries from daily voice samples allows neurologists to fine-tune dosage schedules with personalized precision, mitigating drug-induced dyskinesia.</w:t>
      </w:r>
    </w:p>
    <w:p>
      <w:pPr>
        <w:spacing w:before="280" w:after="80"/>
        <w:jc w:val="center"/>
      </w:pPr>
      <w:r>
        <w:rPr>
          <w:rFonts w:ascii="Times New Roman" w:hAnsi="Times New Roman"/>
          <w:b/>
          <w:sz w:val="21"/>
        </w:rPr>
        <w:t>VIII.  CONCLUSION &amp; FUTURE WORK</w:t>
      </w:r>
    </w:p>
    <w:p>
      <w:pPr>
        <w:spacing w:before="0" w:after="100" w:line="252" w:lineRule="auto"/>
        <w:jc w:val="both"/>
      </w:pPr>
      <w:r>
        <w:rPr>
          <w:rFonts w:ascii="Times New Roman" w:hAnsi="Times New Roman"/>
          <w:sz w:val="20"/>
        </w:rPr>
        <w:t>In this work, we developed and validated Parkinson's Voice Companion, an end-to-end, multi-modal clinical telemonitoring platform for non-invasive Parkinson's disease detection and progression tracking. By extracting 22 deterministic acoustic biomarkers and deploying a hybrid deep ensemble architecture (SVM, RF, CNN-BiLSTM, and Autoencoder), the system attained a 94.87% classification accuracy and 0.962 AUC-ROC on benchmark clinical datasets under strict subject-independent cross-validation. Furthermore, continuous MDS-UPDRS regression achieved an RMSE of 2.85 for motor scores and 4.12 for total scores. The incorporation of Bayesian changepoint tracking, LSVT LOUD vocal biofeedback, and motor tapping fusion delivers a comprehensive digital health solution operating seamlessly within consumer web browsers.</w:t>
      </w:r>
    </w:p>
    <w:p>
      <w:pPr>
        <w:spacing w:before="0" w:after="100" w:line="252" w:lineRule="auto"/>
        <w:jc w:val="both"/>
      </w:pPr>
      <w:r>
        <w:rPr>
          <w:rFonts w:ascii="Times New Roman" w:hAnsi="Times New Roman"/>
          <w:sz w:val="20"/>
        </w:rPr>
        <w:t>Future work will focus on: (a) Expanding multimodal sensor fusion to incorporate continuous wrist-worn accelerometry and wearable EEG signals; (b) Implementing privacy-preserving Federated Learning across distributed hospital client nodes; and (c) Initiating formal longitudinal clinical trials to seek FDA Software as a Medical Device (SaMD) clearance.</w:t>
      </w:r>
    </w:p>
    <w:p>
      <w:pPr>
        <w:spacing w:before="280" w:after="80"/>
        <w:jc w:val="center"/>
      </w:pPr>
      <w:r>
        <w:rPr>
          <w:rFonts w:ascii="Times New Roman" w:hAnsi="Times New Roman"/>
          <w:b/>
          <w:sz w:val="21"/>
        </w:rPr>
        <w:t>Acknowledgment.  ACKNOWLEDGMENT</w:t>
      </w:r>
    </w:p>
    <w:p>
      <w:pPr>
        <w:spacing w:before="0" w:after="100" w:line="252" w:lineRule="auto"/>
        <w:jc w:val="both"/>
      </w:pPr>
      <w:r>
        <w:rPr>
          <w:rFonts w:ascii="Times New Roman" w:hAnsi="Times New Roman"/>
          <w:sz w:val="20"/>
        </w:rPr>
        <w:t>The author expresses gratitude to the Department of Artificial Intelligence &amp; Data Science, School of Computer Science and Engineering, Vellore Institute of Technology (VIT), Vellore for providing academic and computational infrastructure. The author also acknowledges the University of Oxford, Dr. Max Little, Dr. Athanasios Tsanas, and the University of California, Irvine (UCI) Machine Learning Repository for granting public research access to the foundational clinical voice datasets.</w:t>
      </w:r>
    </w:p>
    <w:p>
      <w:pPr>
        <w:spacing w:before="280" w:after="80"/>
        <w:jc w:val="center"/>
      </w:pPr>
      <w:r>
        <w:rPr>
          <w:rFonts w:ascii="Times New Roman" w:hAnsi="Times New Roman"/>
          <w:b/>
          <w:sz w:val="21"/>
        </w:rPr>
        <w:t>References.  REFERENCES</w:t>
      </w:r>
    </w:p>
    <w:p>
      <w:pPr>
        <w:spacing w:before="0" w:after="80" w:line="252" w:lineRule="auto"/>
        <w:ind w:left="403" w:hanging="403"/>
        <w:jc w:val="both"/>
      </w:pPr>
      <w:r>
        <w:rPr>
          <w:rFonts w:ascii="Times New Roman" w:hAnsi="Times New Roman"/>
          <w:sz w:val="17"/>
        </w:rPr>
        <w:t>[1] M. A. Little, P. E. McSharry, S. J. Roberts, D. A. E. Costello, and I. M. Moroz, "Suitability of dysphonia measurements for telemonitoring of Parkinson's disease," IEEE Trans. Biomed. Eng., vol. 56, no. 4, pp. 1015–1022, Apr. 2009, doi: 10.1109/TBME.2008.2005959.</w:t>
      </w:r>
    </w:p>
    <w:p>
      <w:pPr>
        <w:spacing w:before="0" w:after="80" w:line="252" w:lineRule="auto"/>
        <w:ind w:left="403" w:hanging="403"/>
        <w:jc w:val="both"/>
      </w:pPr>
      <w:r>
        <w:rPr>
          <w:rFonts w:ascii="Times New Roman" w:hAnsi="Times New Roman"/>
          <w:sz w:val="17"/>
        </w:rPr>
        <w:t>[2] A. Tsanas, M. A. Little, P. E. McSharry, and L. O. Ramig, "Accurate telemonitoring of Parkinson's disease progression by noninvasive speech tests," IEEE Trans. Biomed. Eng., vol. 57, no. 4, pp. 884–893, Apr. 2010, doi: 10.1109/TBME.2009.2036000.</w:t>
      </w:r>
    </w:p>
    <w:p>
      <w:pPr>
        <w:spacing w:before="0" w:after="80" w:line="252" w:lineRule="auto"/>
        <w:ind w:left="403" w:hanging="403"/>
        <w:jc w:val="both"/>
      </w:pPr>
      <w:r>
        <w:rPr>
          <w:rFonts w:ascii="Times New Roman" w:hAnsi="Times New Roman"/>
          <w:sz w:val="17"/>
        </w:rPr>
        <w:t>[3] C. O. Sakar et al., "A comparative analysis of speech signal processing methods for Parkinson's disease detection and the reporting of the PDM-Sakar dataset," IEEE Access, vol. 7, pp. 31215–31232, 2019, doi: 10.1109/ACCESS.2019.2902379.</w:t>
      </w:r>
    </w:p>
    <w:p>
      <w:pPr>
        <w:spacing w:before="0" w:after="80" w:line="252" w:lineRule="auto"/>
        <w:ind w:left="403" w:hanging="403"/>
        <w:jc w:val="both"/>
      </w:pPr>
      <w:r>
        <w:rPr>
          <w:rFonts w:ascii="Times New Roman" w:hAnsi="Times New Roman"/>
          <w:sz w:val="17"/>
        </w:rPr>
        <w:t>[4] C. G. Goetz et al., "Movement Disorder Society-sponsored revision of the Unified Parkinson's Disease Rating Scale (MDS-UPDRS): Process, format, and clinimetric testing plan," Mov. Disord., vol. 22, no. 1, pp. 41–47, Jan. 2007, doi: 10.1002/mds.21198.</w:t>
      </w:r>
    </w:p>
    <w:p>
      <w:pPr>
        <w:spacing w:before="0" w:after="80" w:line="252" w:lineRule="auto"/>
        <w:ind w:left="403" w:hanging="403"/>
        <w:jc w:val="both"/>
      </w:pPr>
      <w:r>
        <w:rPr>
          <w:rFonts w:ascii="Times New Roman" w:hAnsi="Times New Roman"/>
          <w:sz w:val="17"/>
        </w:rPr>
        <w:t>[5] L. O. Ramig et al., "Intensive voice treatment (LSVT LOUD) for Parkinson's disease: 15 years of treating individuals with Parkinson's disease," J. Speech Lang. Hear. Res., vol. 44, no. 6, pp. 1222–1238, Dec. 2001, doi: 10.1044/1092-4388(2001/097).</w:t>
      </w:r>
    </w:p>
    <w:p>
      <w:pPr>
        <w:spacing w:before="0" w:after="80" w:line="252" w:lineRule="auto"/>
        <w:ind w:left="403" w:hanging="403"/>
        <w:jc w:val="both"/>
      </w:pPr>
      <w:r>
        <w:rPr>
          <w:rFonts w:ascii="Times New Roman" w:hAnsi="Times New Roman"/>
          <w:sz w:val="17"/>
        </w:rPr>
        <w:t>[6] S. Sapir, L. O. Ramig, and C. M. Fox, "Speech and voice disorders in Parkinson's disease: Treatment and the role of the speech-language pathologist," Semin. Speech Lang., vol. 29, no. 2, pp. 116–129, May 2008.</w:t>
      </w:r>
    </w:p>
    <w:p>
      <w:pPr>
        <w:spacing w:before="0" w:after="80" w:line="252" w:lineRule="auto"/>
        <w:ind w:left="403" w:hanging="403"/>
        <w:jc w:val="both"/>
      </w:pPr>
      <w:r>
        <w:rPr>
          <w:rFonts w:ascii="Times New Roman" w:hAnsi="Times New Roman"/>
          <w:sz w:val="17"/>
        </w:rPr>
        <w:t>[7] P. Boersma and D. Weenink, "Praat: doing phonetics by computer," Version 6.3.10, 2023. [Online]. Available: http://www.praat.org/</w:t>
      </w:r>
    </w:p>
    <w:p>
      <w:pPr>
        <w:spacing w:before="0" w:after="80" w:line="252" w:lineRule="auto"/>
        <w:ind w:left="403" w:hanging="403"/>
        <w:jc w:val="both"/>
      </w:pPr>
      <w:r>
        <w:rPr>
          <w:rFonts w:ascii="Times New Roman" w:hAnsi="Times New Roman"/>
          <w:sz w:val="17"/>
        </w:rPr>
        <w:t>[8] J. R. Orozco-Arroyave et al., "Apkinson: A mobile application for multimodal assessment of Parkinson's disease patients," IEEE J. Biomed. Health Inform., vol. 24, no. 2, pp. 396–405, Feb. 2020, doi: 10.1109/JBHI.2019.2934091.</w:t>
      </w:r>
    </w:p>
    <w:p>
      <w:pPr>
        <w:spacing w:before="0" w:after="80" w:line="252" w:lineRule="auto"/>
        <w:ind w:left="403" w:hanging="403"/>
        <w:jc w:val="both"/>
      </w:pPr>
      <w:r>
        <w:rPr>
          <w:rFonts w:ascii="Times New Roman" w:hAnsi="Times New Roman"/>
          <w:sz w:val="17"/>
        </w:rPr>
        <w:t>[9] R. P. Adams, "Acoustic and articulatory analysis of Parkinsonian dysarthria," J. Med. Speech-Lang. Pathol., vol. 11, no. 4, pp. 185–197, 2003.</w:t>
      </w:r>
    </w:p>
    <w:p>
      <w:pPr>
        <w:spacing w:before="0" w:after="80" w:line="252" w:lineRule="auto"/>
        <w:ind w:left="403" w:hanging="403"/>
        <w:jc w:val="both"/>
      </w:pPr>
      <w:r>
        <w:rPr>
          <w:rFonts w:ascii="Times New Roman" w:hAnsi="Times New Roman"/>
          <w:sz w:val="17"/>
        </w:rPr>
        <w:t>[10] C. M. Fox et al., "The LSVT LOUD companion: A home-based computer-assisted speech therapy program for individuals with Parkinson's disease," Perspectives Neurophysiol. Neurogenic Speech Lang. Disord., vol. 22, no. 2, pp. 58–66, 2012.</w:t>
      </w:r>
    </w:p>
    <w:p>
      <w:pPr>
        <w:spacing w:before="0" w:after="80" w:line="252" w:lineRule="auto"/>
        <w:ind w:left="403" w:hanging="403"/>
        <w:jc w:val="both"/>
      </w:pPr>
      <w:r>
        <w:rPr>
          <w:rFonts w:ascii="Times New Roman" w:hAnsi="Times New Roman"/>
          <w:sz w:val="17"/>
        </w:rPr>
        <w:t>[11] R. P. Adams et al., "Accelerometric and acoustic analysis of tremor in Parkinson's disease," IEEE Trans. Neural Syst. Rehabil. Eng., vol. 19, no. 2, pp. 147–154, Apr. 2011.</w:t>
      </w:r>
    </w:p>
    <w:p>
      <w:pPr>
        <w:spacing w:before="0" w:after="80" w:line="252" w:lineRule="auto"/>
        <w:ind w:left="403" w:hanging="403"/>
        <w:jc w:val="both"/>
      </w:pPr>
      <w:r>
        <w:rPr>
          <w:rFonts w:ascii="Times New Roman" w:hAnsi="Times New Roman"/>
          <w:sz w:val="17"/>
        </w:rPr>
        <w:t>[12] R. P. Adams and D. J. MacKay, "Bayesian online changepoint detection," Cambridge University Tech. Rep. CUED/F-INFENG/TR.577, 2007. [Online]. Available: arXiv:0710.3742.</w:t>
      </w:r>
    </w:p>
    <w:p>
      <w:pPr>
        <w:spacing w:before="0" w:after="80" w:line="252" w:lineRule="auto"/>
        <w:ind w:left="403" w:hanging="403"/>
        <w:jc w:val="both"/>
      </w:pPr>
      <w:r>
        <w:rPr>
          <w:rFonts w:ascii="Times New Roman" w:hAnsi="Times New Roman"/>
          <w:sz w:val="17"/>
        </w:rPr>
        <w:t>[13] V. N. Vapnik, The Nature of Statistical Learning Theory, 2nd ed. New York, NY: Springer-Verlag, 2000.</w:t>
      </w:r>
    </w:p>
    <w:p>
      <w:pPr>
        <w:spacing w:before="0" w:after="80" w:line="252" w:lineRule="auto"/>
        <w:ind w:left="403" w:hanging="403"/>
        <w:jc w:val="both"/>
      </w:pPr>
      <w:r>
        <w:rPr>
          <w:rFonts w:ascii="Times New Roman" w:hAnsi="Times New Roman"/>
          <w:sz w:val="17"/>
        </w:rPr>
        <w:t>[14] L. Breiman, "Random forests," Mach. Learn., vol. 45, no. 1, pp. 5–32, Oct. 2001, doi: 10.1023/A:1010933404324.</w:t>
      </w:r>
    </w:p>
    <w:p>
      <w:pPr>
        <w:spacing w:before="0" w:after="80" w:line="252" w:lineRule="auto"/>
        <w:ind w:left="403" w:hanging="403"/>
        <w:jc w:val="both"/>
      </w:pPr>
      <w:r>
        <w:rPr>
          <w:rFonts w:ascii="Times New Roman" w:hAnsi="Times New Roman"/>
          <w:sz w:val="17"/>
        </w:rPr>
        <w:t>[15] S. Hochreiter and J. Schmidhuber, "Long short-term memory," Neural Comput., vol. 9, no. 8, pp. 1735–1780, Nov. 1997, doi: 10.1162/neco.1997.9.8.1735.</w:t>
      </w:r>
    </w:p>
    <w:p>
      <w:pPr>
        <w:spacing w:before="0" w:after="80" w:line="252" w:lineRule="auto"/>
        <w:ind w:left="403" w:hanging="403"/>
        <w:jc w:val="both"/>
      </w:pPr>
      <w:r>
        <w:rPr>
          <w:rFonts w:ascii="Times New Roman" w:hAnsi="Times New Roman"/>
          <w:sz w:val="17"/>
        </w:rPr>
        <w:t>[16] Y. LeCun, Y. Bengio, and G. Hinton, "Deep learning," Nature, vol. 521, no. 7553, pp. 436–444, May 2015, doi: 10.1038/nature14539.</w:t>
      </w:r>
    </w:p>
    <w:p>
      <w:pPr>
        <w:spacing w:before="0" w:after="80" w:line="252" w:lineRule="auto"/>
        <w:ind w:left="403" w:hanging="403"/>
        <w:jc w:val="both"/>
      </w:pPr>
      <w:r>
        <w:rPr>
          <w:rFonts w:ascii="Times New Roman" w:hAnsi="Times New Roman"/>
          <w:sz w:val="17"/>
        </w:rPr>
        <w:t>[17] P. E. McSharry, G. D. Clifford, L. Tarassenko, and L. A. Smith, "A dynamical model for generating synthetic electrocardiogram signals," IEEE Trans. Biomed. Eng., vol. 50, no. 3, pp. 289–294, Mar. 2003.</w:t>
      </w:r>
    </w:p>
    <w:p>
      <w:pPr>
        <w:spacing w:before="0" w:after="80" w:line="252" w:lineRule="auto"/>
        <w:ind w:left="403" w:hanging="403"/>
        <w:jc w:val="both"/>
      </w:pPr>
      <w:r>
        <w:rPr>
          <w:rFonts w:ascii="Times New Roman" w:hAnsi="Times New Roman"/>
          <w:sz w:val="17"/>
        </w:rPr>
        <w:t>[18] C. K. Peng, S. V. Buldyrev, S. Havlin, M. Simons, H. E. Stanley, and A. L. Goldberger, "Mosaic organization of DNA nucleotides," Phys. Rev. E, vol. 49, no. 2, pp. 1685–1689, Feb. 1994, doi: 10.1103/PhysRevE.49.1685.</w:t>
      </w:r>
    </w:p>
    <w:p>
      <w:pPr>
        <w:spacing w:before="0" w:after="80" w:line="252" w:lineRule="auto"/>
        <w:ind w:left="403" w:hanging="403"/>
        <w:jc w:val="both"/>
      </w:pPr>
      <w:r>
        <w:rPr>
          <w:rFonts w:ascii="Times New Roman" w:hAnsi="Times New Roman"/>
          <w:sz w:val="17"/>
        </w:rPr>
        <w:t>[19] C. E. Shannon, "A mathematical theory of communication," Bell Syst. Tech. J., vol. 27, no. 3, pp. 379–423, Jul. 1948.</w:t>
      </w:r>
    </w:p>
    <w:p>
      <w:pPr>
        <w:spacing w:before="0" w:after="80" w:line="252" w:lineRule="auto"/>
        <w:ind w:left="403" w:hanging="403"/>
        <w:jc w:val="both"/>
      </w:pPr>
      <w:r>
        <w:rPr>
          <w:rFonts w:ascii="Times New Roman" w:hAnsi="Times New Roman"/>
          <w:sz w:val="17"/>
        </w:rPr>
        <w:t>[20] B. Schuller et al., "The INTERSPEECH 2011 speaker state challenge," in Proc. INTERSPEECH, Florence, Italy, Aug. 2011, pp. 3201–3204.</w:t>
      </w:r>
    </w:p>
    <w:p>
      <w:pPr>
        <w:spacing w:before="0" w:after="80" w:line="252" w:lineRule="auto"/>
        <w:ind w:left="403" w:hanging="403"/>
        <w:jc w:val="both"/>
      </w:pPr>
      <w:r>
        <w:rPr>
          <w:rFonts w:ascii="Times New Roman" w:hAnsi="Times New Roman"/>
          <w:sz w:val="17"/>
        </w:rPr>
        <w:t>[21] G. E. Hinton and R. R. Salakhutdinov, "Reducing the dimensionality of data with neural networks," Science, vol. 313, no. 5786, pp. 504–507, Jul. 2006, doi: 10.1126/science.1127647.</w:t>
      </w:r>
    </w:p>
    <w:p>
      <w:pPr>
        <w:spacing w:before="0" w:after="80" w:line="252" w:lineRule="auto"/>
        <w:ind w:left="403" w:hanging="403"/>
        <w:jc w:val="both"/>
      </w:pPr>
      <w:r>
        <w:rPr>
          <w:rFonts w:ascii="Times New Roman" w:hAnsi="Times New Roman"/>
          <w:sz w:val="17"/>
        </w:rPr>
        <w:t>[22] D. A. Hall et al., "Telemedicine in Parkinson's disease: A systematic review and meta-analysis," Mov. Disord. Clin. Pract., vol. 6, no. 5, pp. 347–356, Jul. 2019, doi: 10.1002/mdc3.12781.</w:t>
      </w:r>
    </w:p>
    <w:p>
      <w:pPr>
        <w:spacing w:before="0" w:after="80" w:line="252" w:lineRule="auto"/>
        <w:ind w:left="403" w:hanging="403"/>
        <w:jc w:val="both"/>
      </w:pPr>
      <w:r>
        <w:rPr>
          <w:rFonts w:ascii="Times New Roman" w:hAnsi="Times New Roman"/>
          <w:sz w:val="17"/>
        </w:rPr>
        <w:t>[23] E. R. Dorsey et al., "National randomized controlled trial of virtual house calls for people with Parkinson's disease: Telemedicine for Parkinson's disease," JAMA Neurol., vol. 74, no. 10, pp. 1206–1212, Oct. 2017, doi: 10.1001/jamaneurol.2017.1878.</w:t>
      </w:r>
    </w:p>
    <w:p>
      <w:pPr>
        <w:spacing w:before="0" w:after="80" w:line="252" w:lineRule="auto"/>
        <w:ind w:left="403" w:hanging="403"/>
        <w:jc w:val="both"/>
      </w:pPr>
      <w:r>
        <w:rPr>
          <w:rFonts w:ascii="Times New Roman" w:hAnsi="Times New Roman"/>
          <w:sz w:val="17"/>
        </w:rPr>
        <w:t>[24] F. Pedregosa et al., "Scikit-learn: Machine learning in Python," J. Mach. Learn. Res., vol. 12, pp. 2825–2830, Nov. 2011.</w:t>
      </w:r>
    </w:p>
    <w:p>
      <w:pPr>
        <w:spacing w:before="0" w:after="80" w:line="252" w:lineRule="auto"/>
        <w:ind w:left="403" w:hanging="403"/>
        <w:jc w:val="both"/>
      </w:pPr>
      <w:r>
        <w:rPr>
          <w:rFonts w:ascii="Times New Roman" w:hAnsi="Times New Roman"/>
          <w:sz w:val="17"/>
        </w:rPr>
        <w:t>[25] B. McFee et al., "librosa: Audio and music signal analysis in Python," in Proc. 14th Python Sci. Conf., Austin, TX, Jul. 2015, pp. 18–25.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