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00"/>
      </w:pPr>
      <w:r>
        <w:rPr>
          <w:rFonts w:ascii="Times New Roman" w:hAnsi="Times New Roman" w:cs="Times New Roman"/>
          <w:b w:val="0"/>
          <w:i w:val="0"/>
          <w:sz w:val="48"/>
        </w:rPr>
        <w:t>Multimodal Acoustic Biomarker Telemonitoring and Longitudinal Disease Progression Tracking for Parkinson’s Disease Using Deep Ensemble Learning</w:t>
      </w:r>
    </w:p>
    <w:p>
      <w:pPr>
        <w:jc w:val="center"/>
        <w:spacing w:before="0" w:after="57"/>
      </w:pPr>
      <w:r>
        <w:rPr>
          <w:rFonts w:ascii="Times New Roman" w:hAnsi="Times New Roman" w:cs="Times New Roman"/>
          <w:b w:val="0"/>
          <w:i w:val="0"/>
          <w:sz w:val="22"/>
        </w:rPr>
        <w:t>Raaghav Agarwal</w:t>
        <w:br/>
      </w:r>
      <w:r>
        <w:rPr>
          <w:rFonts w:ascii="Times New Roman" w:hAnsi="Times New Roman" w:cs="Times New Roman"/>
          <w:b w:val="0"/>
          <w:i/>
          <w:sz w:val="18"/>
        </w:rPr>
        <w:t>Dept. of Artificial Intelligence &amp; Data Science</w:t>
        <w:br/>
        <w:t>School of Computer Science and Engineering</w:t>
        <w:br/>
        <w:t>Vellore Institute of Technology (VIT), Vellore, India — 632014</w:t>
        <w:br/>
        <w:t>Registration No.: 24BAI1453</w:t>
        <w:br/>
        <w:t>Email: raaghav.agarwal2024@vitstudent.ac.in</w:t>
        <w:br/>
        <w:t>GitHub: https://github.com/RaaghavAgarwal28/parkinsons-voice-companion</w:t>
      </w:r>
    </w:p>
    <w:p>
      <w:pPr>
        <w:spacing w:before="0" w:after="0"/>
      </w:pPr>
      <w:r>
        <w:rPr>
          <w:rFonts w:ascii="Times New Roman" w:hAnsi="Times New Roman" w:cs="Times New Roman"/>
          <w:b w:val="0"/>
          <w:i w:val="0"/>
          <w:sz w:val="8"/>
        </w:rPr>
      </w:r>
    </w:p>
    <w:p>
      <w:pPr>
        <w:spacing w:before="0" w:after="0"/>
        <w:sectPr>
          <w:cols w:num="2" w:space="288" w:equalWidth="1"/>
          <w:pgSz w:w="12240" w:h="15840"/>
          <w:pgMar w:top="1080" w:right="1080" w:bottom="1080" w:left="1080" w:header="709" w:footer="709" w:gutter="0"/>
          <w:type w:val="continuous"/>
        </w:sectPr>
      </w:pPr>
    </w:p>
    <w:p>
      <w:pPr>
        <w:jc w:val="both"/>
        <w:spacing w:before="0" w:after="57" w:line="240" w:lineRule="auto"/>
      </w:pPr>
      <w:r>
        <w:rPr>
          <w:rFonts w:ascii="Times New Roman" w:hAnsi="Times New Roman" w:cs="Times New Roman"/>
          <w:b/>
          <w:i/>
          <w:sz w:val="20"/>
        </w:rPr>
        <w:t>Abstract—</w:t>
      </w:r>
      <w:r>
        <w:rPr>
          <w:rFonts w:ascii="Times New Roman" w:hAnsi="Times New Roman" w:cs="Times New Roman"/>
          <w:b w:val="0"/>
          <w:i/>
          <w:sz w:val="20"/>
        </w:rPr>
        <w:t>Parkinson’s Disease (PD) is an incurable neurodegenerative disorder caused by progressive striatal dopaminergic neuron degradation, resulting in debilitating motor and non-motor symptoms. Emerging clinical evidence indicates that hypokinetic dysarthria and vocal dysphonia manifest in up to 90 % of early-stage PD patients, often years prior to the clinical diagnosis of cardinal appendicular tremor and bradykinesia. However, gold-standard clinical evaluations relying on the MDS-UPDRS are intermittent, clinic-bound, subjective, and cost-prohibitive. In this work, we design, implement, and empirically validate —Parkinson’s Voice Companion—an end-to-end telemonitoring system integrating deterministic digital signal processing (DSP), deep representation learning, and longitudinal state tracking. The system extracts a 22-dimensional feature vector spanning micro-perturbations (Jitter, Shimmer), harmonic noise measures (HNR, NHR), and non-linear dynamical complexity metrics (PPE, RPDE, DFA) from sustained vowel phonation (/a/). A multi-tiered ensemble (RBF-SVM, Random Forest, 1D-CNN-BiLSTM, Autoencoder) yields 94.87 % accuracy, 96.15 % sensitivity, and AUC-ROC = 0.962 on the Oxford benchmark dataset. MDS-UPDRS motor score regression achieves RMSE = 2.85 points. We further introduce Bayesian Online Changepoint Detection (BOCPD) for Levodopa On/Off tracking, a browser-based LSVT LOUD® vocal biofeedback module, and an MDS-UPDRS Item 3.4 finger-tapping motor fusion module. End-to-end pipeline latency is below 1.15 s on consumer web clients.</w:t>
      </w:r>
    </w:p>
    <w:p>
      <w:pPr>
        <w:jc w:val="both"/>
        <w:spacing w:before="0" w:after="144" w:line="240" w:lineRule="auto"/>
      </w:pPr>
      <w:r>
        <w:rPr>
          <w:rFonts w:ascii="Times New Roman" w:hAnsi="Times New Roman" w:cs="Times New Roman"/>
          <w:b/>
          <w:i/>
          <w:sz w:val="20"/>
        </w:rPr>
        <w:t>Keywords—</w:t>
      </w:r>
      <w:r>
        <w:rPr>
          <w:rFonts w:ascii="Times New Roman" w:hAnsi="Times New Roman" w:cs="Times New Roman"/>
          <w:b w:val="0"/>
          <w:i/>
          <w:sz w:val="20"/>
        </w:rPr>
        <w:t>Parkinson’s Disease, Acoustic Biomarkers, Dysphonia, Non-Linear Dynamics, Ensemble Learning, CNN-BiLSTM, UPDRS Telemonitoring, Bayesian Changepoint Detection, LSVT LOUD, Telemedicine.</w:t>
      </w:r>
    </w:p>
    <w:p>
      <w:pPr>
        <w:jc w:val="center"/>
        <w:spacing w:before="144" w:after="57"/>
      </w:pPr>
      <w:r>
        <w:rPr>
          <w:rFonts w:ascii="Times New Roman" w:hAnsi="Times New Roman" w:cs="Times New Roman"/>
          <w:b/>
          <w:i w:val="0"/>
          <w:sz w:val="20"/>
        </w:rPr>
        <w:t>I. INTRODUCTION</w:t>
      </w:r>
    </w:p>
    <w:p>
      <w:pPr>
        <w:ind w:firstLine="216"/>
        <w:jc w:val="both"/>
        <w:spacing w:before="0" w:after="0" w:line="240" w:lineRule="auto"/>
      </w:pPr>
      <w:r>
        <w:rPr>
          <w:rFonts w:ascii="Times New Roman" w:hAnsi="Times New Roman" w:cs="Times New Roman"/>
          <w:b w:val="0"/>
          <w:i w:val="0"/>
          <w:sz w:val="20"/>
        </w:rPr>
        <w:t>Parkinson’s Disease (PD) is the second most prevalent neurodegenerative disorder worldwide, affecting over 10 million individuals and presenting a burgeoning socio-economic challenge to global healthcare systems [1]. Pathologically, PD is characterized by the accelerated loss of dopaminergic neurons in the substantia nigra pars compacta and the intraneuronal accumulation of misfolded alpha-synuclein aggregates (Lewy bodies) [2]. The resulting depletion of dopamine within the striatum impairs the basal ganglia-thalamocortical circuitry, giving rise to cardinal motor symptoms: resting tremor, cogwheel rigidity, akinesia/bradykinesia, and postural instability [3].</w:t>
      </w:r>
    </w:p>
    <w:p>
      <w:pPr>
        <w:ind w:firstLine="216"/>
        <w:jc w:val="both"/>
        <w:spacing w:before="0" w:after="0" w:line="240" w:lineRule="auto"/>
      </w:pPr>
      <w:r>
        <w:rPr>
          <w:rFonts w:ascii="Times New Roman" w:hAnsi="Times New Roman" w:cs="Times New Roman"/>
          <w:b w:val="0"/>
          <w:i w:val="0"/>
          <w:sz w:val="20"/>
        </w:rPr>
        <w:t>Crucially, speech impairments—collectively termed hypokinetic dysarthria—manifest in up to 90 % of individuals with PD and frequently emerge years before visible limb tremors or gait disturbances become clinically evident [1], [4]. Phonatory disturbances arise from incomplete vocal fold closure (hypoadduction), laryngeal muscular rigidity, and reduced respiratory drive [5]. Because sustained vowel phonation (/a/) isolates laryngeal neuromotor control from complex linguistic confounders, it provides an exceptionally sensitive, non-invasive acoustic window into neurodegeneration [1].</w:t>
      </w:r>
    </w:p>
    <w:p>
      <w:pPr>
        <w:ind w:firstLine="216"/>
        <w:jc w:val="both"/>
        <w:spacing w:before="0" w:after="0" w:line="240" w:lineRule="auto"/>
      </w:pPr>
      <w:r>
        <w:rPr>
          <w:rFonts w:ascii="Times New Roman" w:hAnsi="Times New Roman" w:cs="Times New Roman"/>
          <w:b w:val="0"/>
          <w:i w:val="0"/>
          <w:sz w:val="20"/>
        </w:rPr>
        <w:t>In this paper, we present the architecture, mathematical formulations, and empirical validation of Parkinson’s Voice Companion. The primary contributions of this work are:</w:t>
      </w:r>
    </w:p>
    <w:p>
      <w:pPr>
        <w:ind w:left="288" w:hanging="216"/>
        <w:jc w:val="both"/>
        <w:spacing w:before="0" w:after="0" w:line="240" w:lineRule="auto"/>
      </w:pPr>
      <w:r>
        <w:rPr>
          <w:rFonts w:ascii="Times New Roman" w:hAnsi="Times New Roman" w:cs="Times New Roman"/>
          <w:b/>
          <w:i w:val="0"/>
          <w:sz w:val="20"/>
        </w:rPr>
        <w:t xml:space="preserve">• 1: </w:t>
      </w:r>
      <w:r>
        <w:rPr>
          <w:rFonts w:ascii="Times New Roman" w:hAnsi="Times New Roman" w:cs="Times New Roman"/>
          <w:b w:val="0"/>
          <w:i w:val="0"/>
          <w:sz w:val="20"/>
        </w:rPr>
        <w:t>Deterministic DSP extraction of 22 clinical acoustic biomarkers (Jitter, Shimmer, HNR, PPE, RPDE, DFA) via Praat-Parselmouth.</w:t>
      </w:r>
    </w:p>
    <w:p>
      <w:pPr>
        <w:ind w:left="288" w:hanging="216"/>
        <w:jc w:val="both"/>
        <w:spacing w:before="0" w:after="0" w:line="240" w:lineRule="auto"/>
      </w:pPr>
      <w:r>
        <w:rPr>
          <w:rFonts w:ascii="Times New Roman" w:hAnsi="Times New Roman" w:cs="Times New Roman"/>
          <w:b/>
          <w:i w:val="0"/>
          <w:sz w:val="20"/>
        </w:rPr>
        <w:t xml:space="preserve">• 2: </w:t>
      </w:r>
      <w:r>
        <w:rPr>
          <w:rFonts w:ascii="Times New Roman" w:hAnsi="Times New Roman" w:cs="Times New Roman"/>
          <w:b w:val="0"/>
          <w:i w:val="0"/>
          <w:sz w:val="20"/>
        </w:rPr>
        <w:t>A hybrid deep ensemble diagnostic framework (RBF-SVM, RF, 1D-CNN-BiLSTM, Autoencoder) achieving 94.87 % accuracy and AUC-ROC of 0.962.</w:t>
      </w:r>
    </w:p>
    <w:p>
      <w:pPr>
        <w:ind w:left="288" w:hanging="216"/>
        <w:jc w:val="both"/>
        <w:spacing w:before="0" w:after="0" w:line="240" w:lineRule="auto"/>
      </w:pPr>
      <w:r>
        <w:rPr>
          <w:rFonts w:ascii="Times New Roman" w:hAnsi="Times New Roman" w:cs="Times New Roman"/>
          <w:b/>
          <w:i w:val="0"/>
          <w:sz w:val="20"/>
        </w:rPr>
        <w:t xml:space="preserve">• 3: </w:t>
      </w:r>
      <w:r>
        <w:rPr>
          <w:rFonts w:ascii="Times New Roman" w:hAnsi="Times New Roman" w:cs="Times New Roman"/>
          <w:b w:val="0"/>
          <w:i w:val="0"/>
          <w:sz w:val="20"/>
        </w:rPr>
        <w:t>Continuous MDS-UPDRS motor and total score prediction coupled with Bayesian Online Changepoint Detection (BOCPD) for Levodopa state tracking.</w:t>
      </w:r>
    </w:p>
    <w:p>
      <w:pPr>
        <w:ind w:left="288" w:hanging="216"/>
        <w:jc w:val="both"/>
        <w:spacing w:before="0" w:after="0" w:line="240" w:lineRule="auto"/>
      </w:pPr>
      <w:r>
        <w:rPr>
          <w:rFonts w:ascii="Times New Roman" w:hAnsi="Times New Roman" w:cs="Times New Roman"/>
          <w:b/>
          <w:i w:val="0"/>
          <w:sz w:val="20"/>
        </w:rPr>
        <w:t xml:space="preserve">• 4: </w:t>
      </w:r>
      <w:r>
        <w:rPr>
          <w:rFonts w:ascii="Times New Roman" w:hAnsi="Times New Roman" w:cs="Times New Roman"/>
          <w:b w:val="0"/>
          <w:i w:val="0"/>
          <w:sz w:val="20"/>
        </w:rPr>
        <w:t>Browser-based LSVT LOUD® biofeedback portal with real-time dB SPL metering, MPT timer, and MDS-UPDRS 3.4 motor tapping fusion.</w:t>
      </w:r>
    </w:p>
    <w:p>
      <w:pPr>
        <w:jc w:val="center"/>
        <w:spacing w:before="144" w:after="57"/>
      </w:pPr>
      <w:r>
        <w:rPr>
          <w:rFonts w:ascii="Times New Roman" w:hAnsi="Times New Roman" w:cs="Times New Roman"/>
          <w:b/>
          <w:i w:val="0"/>
          <w:sz w:val="20"/>
        </w:rPr>
        <w:t>II. RELATED WORK &amp; LITERATURE SURVEY</w:t>
      </w:r>
    </w:p>
    <w:p>
      <w:pPr>
        <w:ind w:firstLine="216"/>
        <w:jc w:val="both"/>
        <w:spacing w:before="0" w:after="0" w:line="240" w:lineRule="auto"/>
      </w:pPr>
      <w:r>
        <w:rPr>
          <w:rFonts w:ascii="Times New Roman" w:hAnsi="Times New Roman" w:cs="Times New Roman"/>
          <w:b w:val="0"/>
          <w:i w:val="0"/>
          <w:sz w:val="20"/>
        </w:rPr>
        <w:t>Automated acoustic assessment of Parkinsonian speech was pioneered by Little et al. [1], who demonstrated that conventional measures of perturbation (jitter and shimmer) are inadequate for distinguishing Parkinsonian dysphonia from healthy controls due to turbulent, chaotic airflow induced by laryngeal tremor. Little et al. introduced non-linear dynamical measures—notably PPE and DFA—achieving 91.4 % classification accuracy on sustained phonations.</w:t>
      </w:r>
    </w:p>
    <w:p>
      <w:pPr>
        <w:ind w:firstLine="216"/>
        <w:jc w:val="both"/>
        <w:spacing w:before="0" w:after="0" w:line="240" w:lineRule="auto"/>
      </w:pPr>
      <w:r>
        <w:rPr>
          <w:rFonts w:ascii="Times New Roman" w:hAnsi="Times New Roman" w:cs="Times New Roman"/>
          <w:b w:val="0"/>
          <w:i w:val="0"/>
          <w:sz w:val="20"/>
        </w:rPr>
        <w:t>Tsanas et al. [2] collected a telemonitoring dataset comprising 5,875 speech recordings across 42 early-stage PD patients over a six-month home trial, demonstrating that vocal biomarkers could predict UPDRS scores with mean absolute errors within 10 % of the clinical scale range. Sakar et al. [3] analyzed 252 subjects with MFCCs, wavelet transforms, and vocal fold excitation metrics, revealing that combining feature extraction paradigms through ensemble classifiers substantially boosted diagnostic reliability. Deep learning architectures including CNNs and BiLSTMs have been explored for automated feature representation in speech pathology [8], [15], [16].</w:t>
      </w:r>
    </w:p>
    <w:p>
      <w:pPr>
        <w:ind w:firstLine="216"/>
        <w:jc w:val="both"/>
        <w:spacing w:before="0" w:after="0" w:line="240" w:lineRule="auto"/>
      </w:pPr>
      <w:r>
        <w:rPr>
          <w:rFonts w:ascii="Times New Roman" w:hAnsi="Times New Roman" w:cs="Times New Roman"/>
          <w:b w:val="0"/>
          <w:i w:val="0"/>
          <w:sz w:val="20"/>
        </w:rPr>
        <w:t>Despite methodological advances, significant research gaps persist: (a) most published studies operate in offline research settings without real-time web deployments; (b) no existing telemonitoring system accounts for acute Levodopa medication-state transitions via changepoint detection; (c) therapeutic biofeedback for LSVT LOUD® [5], [10] is rarely integrated into diagnostic platforms; and (d) unimodal voice systems lack motor test integration to resolve borderline acoustic classifications. The proposed platform systematically addresses all four gaps.</w:t>
      </w:r>
    </w:p>
    <w:p>
      <w:pPr>
        <w:jc w:val="center"/>
        <w:spacing w:before="144" w:after="57"/>
      </w:pPr>
      <w:r>
        <w:rPr>
          <w:rFonts w:ascii="Times New Roman" w:hAnsi="Times New Roman" w:cs="Times New Roman"/>
          <w:b/>
          <w:i w:val="0"/>
          <w:sz w:val="20"/>
        </w:rPr>
        <w:t>III. SYSTEM ARCHITECTURE &amp; ACOUSTIC BIOMARKER FORMULATION</w:t>
      </w:r>
    </w:p>
    <w:p>
      <w:pPr>
        <w:jc w:val="left"/>
        <w:spacing w:before="100" w:after="28"/>
      </w:pPr>
      <w:r>
        <w:rPr>
          <w:rFonts w:ascii="Times New Roman" w:hAnsi="Times New Roman" w:cs="Times New Roman"/>
          <w:b/>
          <w:i/>
          <w:sz w:val="20"/>
        </w:rPr>
        <w:t>A. Five-Phase Processing Pipeline</w:t>
      </w:r>
    </w:p>
    <w:p>
      <w:pPr>
        <w:ind w:firstLine="216"/>
        <w:jc w:val="both"/>
        <w:spacing w:before="0" w:after="0" w:line="240" w:lineRule="auto"/>
      </w:pPr>
      <w:r>
        <w:rPr>
          <w:rFonts w:ascii="Times New Roman" w:hAnsi="Times New Roman" w:cs="Times New Roman"/>
          <w:b w:val="0"/>
          <w:i w:val="0"/>
          <w:sz w:val="20"/>
        </w:rPr>
        <w:t>The Parkinson’s Voice Companion platform is engineered as a decoupled, microservices-based clinical telemonitoring system. The overall end-to-end dataflow is partitioned into five architectural phases, as illustrated in Fig. 1:</w:t>
      </w:r>
    </w:p>
    <w:p>
      <w:pPr>
        <w:ind w:left="288" w:hanging="288"/>
        <w:jc w:val="both"/>
        <w:spacing w:before="0" w:after="0" w:line="240" w:lineRule="auto"/>
      </w:pPr>
      <w:r>
        <w:rPr>
          <w:rFonts w:ascii="Times New Roman" w:hAnsi="Times New Roman" w:cs="Times New Roman"/>
          <w:b/>
          <w:i/>
          <w:sz w:val="20"/>
        </w:rPr>
        <w:t xml:space="preserve">1) Ingestion: </w:t>
      </w:r>
      <w:r>
        <w:rPr>
          <w:rFonts w:ascii="Times New Roman" w:hAnsi="Times New Roman" w:cs="Times New Roman"/>
          <w:b w:val="0"/>
          <w:i w:val="0"/>
          <w:sz w:val="20"/>
        </w:rPr>
        <w:t>User vocalizes a sustained /a/ vowel (3–5 s) captured via the browser's Web Audio API at 44.1 kHz, 16-bit PCM.</w:t>
      </w:r>
    </w:p>
    <w:p>
      <w:pPr>
        <w:ind w:left="288" w:hanging="288"/>
        <w:jc w:val="both"/>
        <w:spacing w:before="0" w:after="0" w:line="240" w:lineRule="auto"/>
      </w:pPr>
      <w:r>
        <w:rPr>
          <w:rFonts w:ascii="Times New Roman" w:hAnsi="Times New Roman" w:cs="Times New Roman"/>
          <w:b/>
          <w:i/>
          <w:sz w:val="20"/>
        </w:rPr>
        <w:t xml:space="preserve">2) Preprocessing: </w:t>
      </w:r>
      <w:r>
        <w:rPr>
          <w:rFonts w:ascii="Times New Roman" w:hAnsi="Times New Roman" w:cs="Times New Roman"/>
          <w:b w:val="0"/>
          <w:i w:val="0"/>
          <w:sz w:val="20"/>
        </w:rPr>
        <w:t>FastAPI backend resamples to 22,050 Hz (Librosa), removes DC offset, applies pre-emphasis (α = 0.97).</w:t>
      </w:r>
    </w:p>
    <w:p>
      <w:pPr>
        <w:ind w:left="288" w:hanging="288"/>
        <w:jc w:val="both"/>
        <w:spacing w:before="0" w:after="0" w:line="240" w:lineRule="auto"/>
      </w:pPr>
      <w:r>
        <w:rPr>
          <w:rFonts w:ascii="Times New Roman" w:hAnsi="Times New Roman" w:cs="Times New Roman"/>
          <w:b/>
          <w:i/>
          <w:sz w:val="20"/>
        </w:rPr>
        <w:t xml:space="preserve">3) DSP Engine: </w:t>
      </w:r>
      <w:r>
        <w:rPr>
          <w:rFonts w:ascii="Times New Roman" w:hAnsi="Times New Roman" w:cs="Times New Roman"/>
          <w:b w:val="0"/>
          <w:i w:val="0"/>
          <w:sz w:val="20"/>
        </w:rPr>
        <w:t>Praat-Parselmouth extracts f₀ contours, glottal pulse periodicity, perturbation indices, and spectral harmonicity → 22-dimensional feature vector.</w:t>
      </w:r>
    </w:p>
    <w:p>
      <w:pPr>
        <w:ind w:left="288" w:hanging="288"/>
        <w:jc w:val="both"/>
        <w:spacing w:before="0" w:after="0" w:line="240" w:lineRule="auto"/>
      </w:pPr>
      <w:r>
        <w:rPr>
          <w:rFonts w:ascii="Times New Roman" w:hAnsi="Times New Roman" w:cs="Times New Roman"/>
          <w:b/>
          <w:i/>
          <w:sz w:val="20"/>
        </w:rPr>
        <w:t xml:space="preserve">4) Parallel ML Inference: </w:t>
      </w:r>
      <w:r>
        <w:rPr>
          <w:rFonts w:ascii="Times New Roman" w:hAnsi="Times New Roman" w:cs="Times New Roman"/>
          <w:b w:val="0"/>
          <w:i w:val="0"/>
          <w:sz w:val="20"/>
        </w:rPr>
        <w:t>Normalized vector passed simultaneously to SVM, RF, CNN-BiLSTM, Autoencoder, and UPDRS regression engines.</w:t>
      </w:r>
    </w:p>
    <w:p>
      <w:pPr>
        <w:ind w:left="288" w:hanging="288"/>
        <w:jc w:val="both"/>
        <w:spacing w:before="0" w:after="0" w:line="240" w:lineRule="auto"/>
      </w:pPr>
      <w:r>
        <w:rPr>
          <w:rFonts w:ascii="Times New Roman" w:hAnsi="Times New Roman" w:cs="Times New Roman"/>
          <w:b/>
          <w:i/>
          <w:sz w:val="20"/>
        </w:rPr>
        <w:t xml:space="preserve">5) Clinical Synthesis: </w:t>
      </w:r>
      <w:r>
        <w:rPr>
          <w:rFonts w:ascii="Times New Roman" w:hAnsi="Times New Roman" w:cs="Times New Roman"/>
          <w:b w:val="0"/>
          <w:i w:val="0"/>
          <w:sz w:val="20"/>
        </w:rPr>
        <w:t>Results rendered via interactive radar charts, UPDRS longitudinal trajectories, and Three.js 3D neurological particle visualization.</w:t>
      </w:r>
    </w:p>
    <w:p>
      <w:pPr>
        <w:spacing w:before="0" w:after="0"/>
      </w:pPr>
      <w:r>
        <w:rPr>
          <w:rFonts w:ascii="Times New Roman" w:hAnsi="Times New Roman" w:cs="Times New Roman"/>
          <w:b w:val="0"/>
          <w:i w:val="0"/>
          <w:sz w:val="8"/>
        </w:rPr>
      </w:r>
    </w:p>
    <w:p>
      <w:pPr>
        <w:jc w:val="center"/>
        <w:spacing w:before="72" w:after="43"/>
      </w:pPr>
      <w:r>
        <w:drawing>
          <wp:inline xmlns:a="http://schemas.openxmlformats.org/drawingml/2006/main" xmlns:pic="http://schemas.openxmlformats.org/drawingml/2006/picture">
            <wp:extent cx="2834640" cy="1582125"/>
            <wp:docPr id="1" name="Picture 1"/>
            <wp:cNvGraphicFramePr>
              <a:graphicFrameLocks noChangeAspect="1"/>
            </wp:cNvGraphicFramePr>
            <a:graphic>
              <a:graphicData uri="http://schemas.openxmlformats.org/drawingml/2006/picture">
                <pic:pic>
                  <pic:nvPicPr>
                    <pic:cNvPr id="0" name="Parkinsons_Architecture_Diagram.jpg"/>
                    <pic:cNvPicPr/>
                  </pic:nvPicPr>
                  <pic:blipFill>
                    <a:blip r:embed="rId9"/>
                    <a:stretch>
                      <a:fillRect/>
                    </a:stretch>
                  </pic:blipFill>
                  <pic:spPr>
                    <a:xfrm>
                      <a:off x="0" y="0"/>
                      <a:ext cx="2834640" cy="1582125"/>
                    </a:xfrm>
                    <a:prstGeom prst="rect"/>
                  </pic:spPr>
                </pic:pic>
              </a:graphicData>
            </a:graphic>
          </wp:inline>
        </w:drawing>
      </w:r>
    </w:p>
    <w:p>
      <w:pPr>
        <w:jc w:val="center"/>
        <w:spacing w:before="57" w:after="115"/>
      </w:pPr>
      <w:r>
        <w:rPr>
          <w:rFonts w:ascii="Times New Roman" w:hAnsi="Times New Roman" w:cs="Times New Roman"/>
          <w:b/>
          <w:i w:val="0"/>
          <w:sz w:val="18"/>
        </w:rPr>
        <w:t xml:space="preserve">Fig. 1.  </w:t>
      </w:r>
      <w:r>
        <w:rPr>
          <w:rFonts w:ascii="Times New Roman" w:hAnsi="Times New Roman" w:cs="Times New Roman"/>
          <w:b w:val="0"/>
          <w:i w:val="0"/>
          <w:sz w:val="18"/>
        </w:rPr>
        <w:t>End-to-end system architecture: voice ingestion → DSP feature extraction → parallel ensemble ML inference → clinical telemonitoring visualization.</w:t>
      </w:r>
    </w:p>
    <w:p>
      <w:pPr>
        <w:jc w:val="left"/>
        <w:spacing w:before="100" w:after="28"/>
      </w:pPr>
      <w:r>
        <w:rPr>
          <w:rFonts w:ascii="Times New Roman" w:hAnsi="Times New Roman" w:cs="Times New Roman"/>
          <w:b/>
          <w:i/>
          <w:sz w:val="20"/>
        </w:rPr>
        <w:t>B. Acoustic Biomarker Formulation</w:t>
      </w:r>
    </w:p>
    <w:p>
      <w:pPr>
        <w:ind w:firstLine="216"/>
        <w:jc w:val="both"/>
        <w:spacing w:before="0" w:after="0" w:line="240" w:lineRule="auto"/>
      </w:pPr>
      <w:r>
        <w:rPr>
          <w:rFonts w:ascii="Times New Roman" w:hAnsi="Times New Roman" w:cs="Times New Roman"/>
          <w:b w:val="0"/>
          <w:i w:val="0"/>
          <w:sz w:val="20"/>
        </w:rPr>
        <w:t>Let T_i denote the duration of the i-th glottal pitch period, A_i the peak-to-peak amplitude of the i-th cycle, and N the total number of extracted glottal cycles.</w:t>
      </w:r>
    </w:p>
    <w:p>
      <w:pPr>
        <w:ind w:firstLine="216"/>
        <w:jc w:val="both"/>
        <w:spacing w:before="0" w:after="0" w:line="240" w:lineRule="auto"/>
      </w:pPr>
      <w:r>
        <w:rPr>
          <w:rFonts w:ascii="Times New Roman" w:hAnsi="Times New Roman" w:cs="Times New Roman"/>
          <w:b w:val="0"/>
          <w:i w:val="0"/>
          <w:sz w:val="20"/>
        </w:rPr>
        <w:t>1)  Pitch Perturbation (Jitter) — cycle-to-cycle frequency instability:</w:t>
      </w:r>
    </w:p>
    <w:p>
      <w:pPr>
        <w:jc w:val="center"/>
        <w:spacing w:before="57" w:after="57"/>
      </w:pPr>
      <w:r>
        <w:rPr>
          <w:rFonts w:ascii="Times New Roman" w:hAnsi="Times New Roman" w:cs="Times New Roman"/>
          <w:b w:val="0"/>
          <w:i/>
          <w:sz w:val="20"/>
        </w:rPr>
        <w:t>Jitter(local) = [1/(N−1) · Σ|T_i − T_{i+1}|] / [(1/N) · ΣT_i] × 100%</w:t>
      </w:r>
      <w:r>
        <w:rPr>
          <w:rFonts w:ascii="Times New Roman" w:hAnsi="Times New Roman" w:cs="Times New Roman"/>
          <w:b w:val="0"/>
          <w:i w:val="0"/>
          <w:sz w:val="20"/>
        </w:rPr>
        <w:t xml:space="preserve">        (1)</w:t>
      </w:r>
    </w:p>
    <w:p>
      <w:pPr>
        <w:jc w:val="center"/>
        <w:spacing w:before="57" w:after="57"/>
      </w:pPr>
      <w:r>
        <w:rPr>
          <w:rFonts w:ascii="Times New Roman" w:hAnsi="Times New Roman" w:cs="Times New Roman"/>
          <w:b w:val="0"/>
          <w:i/>
          <w:sz w:val="20"/>
        </w:rPr>
        <w:t>RAP = [1/(N−2) · Σ|T_i − (1/3)ΣT_{i+k}|] / [(1/N)ΣT_i] × 100%</w:t>
      </w:r>
      <w:r>
        <w:rPr>
          <w:rFonts w:ascii="Times New Roman" w:hAnsi="Times New Roman" w:cs="Times New Roman"/>
          <w:b w:val="0"/>
          <w:i w:val="0"/>
          <w:sz w:val="20"/>
        </w:rPr>
        <w:t xml:space="preserve">        (2)</w:t>
      </w:r>
    </w:p>
    <w:p>
      <w:pPr>
        <w:ind w:firstLine="216"/>
        <w:jc w:val="both"/>
        <w:spacing w:before="0" w:after="0" w:line="240" w:lineRule="auto"/>
      </w:pPr>
      <w:r>
        <w:rPr>
          <w:rFonts w:ascii="Times New Roman" w:hAnsi="Times New Roman" w:cs="Times New Roman"/>
          <w:b w:val="0"/>
          <w:i w:val="0"/>
          <w:sz w:val="20"/>
        </w:rPr>
        <w:t>2)  Amplitude Perturbation (Shimmer) — vocal fold adductor weakness:</w:t>
      </w:r>
    </w:p>
    <w:p>
      <w:pPr>
        <w:jc w:val="center"/>
        <w:spacing w:before="57" w:after="57"/>
      </w:pPr>
      <w:r>
        <w:rPr>
          <w:rFonts w:ascii="Times New Roman" w:hAnsi="Times New Roman" w:cs="Times New Roman"/>
          <w:b w:val="0"/>
          <w:i/>
          <w:sz w:val="20"/>
        </w:rPr>
        <w:t>Shimmer(local) = [1/(N−1)·Σ|A_i−A_{i+1}|] / [(1/N)·ΣA_i] × 100%</w:t>
      </w:r>
      <w:r>
        <w:rPr>
          <w:rFonts w:ascii="Times New Roman" w:hAnsi="Times New Roman" w:cs="Times New Roman"/>
          <w:b w:val="0"/>
          <w:i w:val="0"/>
          <w:sz w:val="20"/>
        </w:rPr>
        <w:t xml:space="preserve">        (3)</w:t>
      </w:r>
    </w:p>
    <w:p>
      <w:pPr>
        <w:jc w:val="center"/>
        <w:spacing w:before="57" w:after="57"/>
      </w:pPr>
      <w:r>
        <w:rPr>
          <w:rFonts w:ascii="Times New Roman" w:hAnsi="Times New Roman" w:cs="Times New Roman"/>
          <w:b w:val="0"/>
          <w:i/>
          <w:sz w:val="20"/>
        </w:rPr>
        <w:t>Shimmer(dB) = 1/(N−1) · Σ|20·log₁₀(A_{i+1}/A_i)|</w:t>
      </w:r>
      <w:r>
        <w:rPr>
          <w:rFonts w:ascii="Times New Roman" w:hAnsi="Times New Roman" w:cs="Times New Roman"/>
          <w:b w:val="0"/>
          <w:i w:val="0"/>
          <w:sz w:val="20"/>
        </w:rPr>
        <w:t xml:space="preserve">        (4)</w:t>
      </w:r>
    </w:p>
    <w:p>
      <w:pPr>
        <w:ind w:firstLine="216"/>
        <w:jc w:val="both"/>
        <w:spacing w:before="0" w:after="0" w:line="240" w:lineRule="auto"/>
      </w:pPr>
      <w:r>
        <w:rPr>
          <w:rFonts w:ascii="Times New Roman" w:hAnsi="Times New Roman" w:cs="Times New Roman"/>
          <w:b w:val="0"/>
          <w:i w:val="0"/>
          <w:sz w:val="20"/>
        </w:rPr>
        <w:t>3)  Harmonics-to-Noise Ratio (HNR) via autocorrelation r_x(τ):</w:t>
      </w:r>
    </w:p>
    <w:p>
      <w:pPr>
        <w:jc w:val="center"/>
        <w:spacing w:before="57" w:after="57"/>
      </w:pPr>
      <w:r>
        <w:rPr>
          <w:rFonts w:ascii="Times New Roman" w:hAnsi="Times New Roman" w:cs="Times New Roman"/>
          <w:b w:val="0"/>
          <w:i/>
          <w:sz w:val="20"/>
        </w:rPr>
        <w:t>HNR = 10 · log₁₀[ r_x(τ_max) / (1 − r_x(τ_max)) ]</w:t>
      </w:r>
      <w:r>
        <w:rPr>
          <w:rFonts w:ascii="Times New Roman" w:hAnsi="Times New Roman" w:cs="Times New Roman"/>
          <w:b w:val="0"/>
          <w:i w:val="0"/>
          <w:sz w:val="20"/>
        </w:rPr>
        <w:t xml:space="preserve">        (5)</w:t>
      </w:r>
    </w:p>
    <w:p>
      <w:pPr>
        <w:ind w:firstLine="216"/>
        <w:jc w:val="both"/>
        <w:spacing w:before="0" w:after="0" w:line="240" w:lineRule="auto"/>
      </w:pPr>
      <w:r>
        <w:rPr>
          <w:rFonts w:ascii="Times New Roman" w:hAnsi="Times New Roman" w:cs="Times New Roman"/>
          <w:b w:val="0"/>
          <w:i w:val="0"/>
          <w:sz w:val="20"/>
        </w:rPr>
        <w:t>4)  Non-Linear Dynamical Complexity — laryngeal rigidity induces deterministic chaos:</w:t>
      </w:r>
    </w:p>
    <w:p>
      <w:pPr>
        <w:ind w:firstLine="216"/>
        <w:jc w:val="both"/>
        <w:spacing w:before="0" w:after="0" w:line="240" w:lineRule="auto"/>
      </w:pPr>
      <w:r>
        <w:rPr>
          <w:rFonts w:ascii="Times New Roman" w:hAnsi="Times New Roman" w:cs="Times New Roman"/>
          <w:b w:val="0"/>
          <w:i w:val="0"/>
          <w:sz w:val="20"/>
        </w:rPr>
        <w:t xml:space="preserve">   •  RPDE (Recurrence Period Density Entropy) [17]:</w:t>
      </w:r>
    </w:p>
    <w:p>
      <w:pPr>
        <w:jc w:val="center"/>
        <w:spacing w:before="57" w:after="57"/>
      </w:pPr>
      <w:r>
        <w:rPr>
          <w:rFonts w:ascii="Times New Roman" w:hAnsi="Times New Roman" w:cs="Times New Roman"/>
          <w:b w:val="0"/>
          <w:i/>
          <w:sz w:val="20"/>
        </w:rPr>
        <w:t>RPDE = −(1/ln T_max) · Σ P(t) · ln P(t)</w:t>
      </w:r>
      <w:r>
        <w:rPr>
          <w:rFonts w:ascii="Times New Roman" w:hAnsi="Times New Roman" w:cs="Times New Roman"/>
          <w:b w:val="0"/>
          <w:i w:val="0"/>
          <w:sz w:val="20"/>
        </w:rPr>
        <w:t xml:space="preserve">        (6)</w:t>
      </w:r>
    </w:p>
    <w:p>
      <w:pPr>
        <w:ind w:firstLine="216"/>
        <w:jc w:val="both"/>
        <w:spacing w:before="0" w:after="0" w:line="240" w:lineRule="auto"/>
      </w:pPr>
      <w:r>
        <w:rPr>
          <w:rFonts w:ascii="Times New Roman" w:hAnsi="Times New Roman" w:cs="Times New Roman"/>
          <w:b w:val="0"/>
          <w:i w:val="0"/>
          <w:sz w:val="20"/>
        </w:rPr>
        <w:t xml:space="preserve">   •  DFA (Detrended Fluctuation Analysis) [18]:</w:t>
      </w:r>
    </w:p>
    <w:p>
      <w:pPr>
        <w:jc w:val="center"/>
        <w:spacing w:before="57" w:after="57"/>
      </w:pPr>
      <w:r>
        <w:rPr>
          <w:rFonts w:ascii="Times New Roman" w:hAnsi="Times New Roman" w:cs="Times New Roman"/>
          <w:b w:val="0"/>
          <w:i/>
          <w:sz w:val="20"/>
        </w:rPr>
        <w:t>F(s) = √[(1/N)·Σ(y_k − y_s(k))^2]  ∝  s^{α}</w:t>
      </w:r>
      <w:r>
        <w:rPr>
          <w:rFonts w:ascii="Times New Roman" w:hAnsi="Times New Roman" w:cs="Times New Roman"/>
          <w:b w:val="0"/>
          <w:i w:val="0"/>
          <w:sz w:val="20"/>
        </w:rPr>
        <w:t xml:space="preserve">        (7)</w:t>
      </w:r>
    </w:p>
    <w:p>
      <w:pPr>
        <w:ind w:firstLine="216"/>
        <w:jc w:val="both"/>
        <w:spacing w:before="0" w:after="0" w:line="240" w:lineRule="auto"/>
      </w:pPr>
      <w:r>
        <w:rPr>
          <w:rFonts w:ascii="Times New Roman" w:hAnsi="Times New Roman" w:cs="Times New Roman"/>
          <w:b w:val="0"/>
          <w:i w:val="0"/>
          <w:sz w:val="20"/>
        </w:rPr>
        <w:t xml:space="preserve">   •  PPE (Pitch Period Entropy): Measures impaired pitch control on a logarithmic semitone scale, capturing involuntary micro-modulations [1].</w:t>
      </w:r>
    </w:p>
    <w:p>
      <w:pPr>
        <w:jc w:val="center"/>
        <w:spacing w:before="144" w:after="57"/>
      </w:pPr>
      <w:r>
        <w:rPr>
          <w:rFonts w:ascii="Times New Roman" w:hAnsi="Times New Roman" w:cs="Times New Roman"/>
          <w:b/>
          <w:i w:val="0"/>
          <w:sz w:val="20"/>
        </w:rPr>
        <w:t>IV. MACHINE LEARNING ARCHITECTURE &amp; ENSEMBLE STRATEGY</w:t>
      </w:r>
    </w:p>
    <w:p>
      <w:pPr>
        <w:jc w:val="left"/>
        <w:spacing w:before="100" w:after="28"/>
      </w:pPr>
      <w:r>
        <w:rPr>
          <w:rFonts w:ascii="Times New Roman" w:hAnsi="Times New Roman" w:cs="Times New Roman"/>
          <w:b/>
          <w:i/>
          <w:sz w:val="20"/>
        </w:rPr>
        <w:t>A. Supervised Classification Ensemble</w:t>
      </w:r>
    </w:p>
    <w:p>
      <w:pPr>
        <w:ind w:left="288" w:hanging="288"/>
        <w:jc w:val="both"/>
        <w:spacing w:before="0" w:after="0" w:line="240" w:lineRule="auto"/>
      </w:pPr>
      <w:r>
        <w:rPr>
          <w:rFonts w:ascii="Times New Roman" w:hAnsi="Times New Roman" w:cs="Times New Roman"/>
          <w:b/>
          <w:i/>
          <w:sz w:val="20"/>
        </w:rPr>
        <w:t xml:space="preserve">1) SVM (RBF Kernel): </w:t>
      </w:r>
      <w:r>
        <w:rPr>
          <w:rFonts w:ascii="Times New Roman" w:hAnsi="Times New Roman" w:cs="Times New Roman"/>
          <w:b w:val="0"/>
          <w:i w:val="0"/>
          <w:sz w:val="20"/>
        </w:rPr>
        <w:t>K(x_i, x_j) = exp(−γ‖x_i−x_j‖²), C = 10.0, γ = 0.05 tuned via 5-fold nested grid search.</w:t>
      </w:r>
    </w:p>
    <w:p>
      <w:pPr>
        <w:ind w:left="288" w:hanging="288"/>
        <w:jc w:val="both"/>
        <w:spacing w:before="0" w:after="0" w:line="240" w:lineRule="auto"/>
      </w:pPr>
      <w:r>
        <w:rPr>
          <w:rFonts w:ascii="Times New Roman" w:hAnsi="Times New Roman" w:cs="Times New Roman"/>
          <w:b/>
          <w:i/>
          <w:sz w:val="20"/>
        </w:rPr>
        <w:t xml:space="preserve">2) Random Forest: </w:t>
      </w:r>
      <w:r>
        <w:rPr>
          <w:rFonts w:ascii="Times New Roman" w:hAnsi="Times New Roman" w:cs="Times New Roman"/>
          <w:b w:val="0"/>
          <w:i w:val="0"/>
          <w:sz w:val="20"/>
        </w:rPr>
        <w:t>100 decorrelated decision trees, bootstrap aggregation, √d = 4 features/split, Gini impurity.</w:t>
      </w:r>
    </w:p>
    <w:p>
      <w:pPr>
        <w:ind w:left="288" w:hanging="288"/>
        <w:jc w:val="both"/>
        <w:spacing w:before="0" w:after="0" w:line="240" w:lineRule="auto"/>
      </w:pPr>
      <w:r>
        <w:rPr>
          <w:rFonts w:ascii="Times New Roman" w:hAnsi="Times New Roman" w:cs="Times New Roman"/>
          <w:b/>
          <w:i/>
          <w:sz w:val="20"/>
        </w:rPr>
        <w:t xml:space="preserve">3) 1D-CNN-BiLSTM: </w:t>
      </w:r>
      <w:r>
        <w:rPr>
          <w:rFonts w:ascii="Times New Roman" w:hAnsi="Times New Roman" w:cs="Times New Roman"/>
          <w:b w:val="0"/>
          <w:i w:val="0"/>
          <w:sz w:val="20"/>
        </w:rPr>
        <w:t>Two Conv-1D layers (32, 64 filters, kernel = 3, ReLU), BatchNorm, MaxPool → BiLSTM (32 units, dropout 0.3) → Dense Softmax.</w:t>
      </w:r>
    </w:p>
    <w:p>
      <w:pPr>
        <w:ind w:left="288" w:hanging="288"/>
        <w:jc w:val="both"/>
        <w:spacing w:before="0" w:after="0" w:line="240" w:lineRule="auto"/>
      </w:pPr>
      <w:r>
        <w:rPr>
          <w:rFonts w:ascii="Times New Roman" w:hAnsi="Times New Roman" w:cs="Times New Roman"/>
          <w:b/>
          <w:i/>
          <w:sz w:val="20"/>
        </w:rPr>
        <w:t xml:space="preserve">4) Ensemble Soft-Voting: </w:t>
      </w:r>
      <w:r>
        <w:rPr>
          <w:rFonts w:ascii="Times New Roman" w:hAnsi="Times New Roman" w:cs="Times New Roman"/>
          <w:b w:val="0"/>
          <w:i w:val="0"/>
          <w:sz w:val="20"/>
        </w:rPr>
        <w:t>P_ensemble = 0.35·P_SVM + 0.35·P_RF + 0.30·P_CNN, weights optimized on validation splits.</w:t>
      </w:r>
    </w:p>
    <w:p>
      <w:pPr>
        <w:jc w:val="left"/>
        <w:spacing w:before="100" w:after="28"/>
      </w:pPr>
      <w:r>
        <w:rPr>
          <w:rFonts w:ascii="Times New Roman" w:hAnsi="Times New Roman" w:cs="Times New Roman"/>
          <w:b/>
          <w:i/>
          <w:sz w:val="20"/>
        </w:rPr>
        <w:t>B. Unsupervised Autoencoder for Anomaly Detection</w:t>
      </w:r>
    </w:p>
    <w:p>
      <w:pPr>
        <w:ind w:firstLine="216"/>
        <w:jc w:val="both"/>
        <w:spacing w:before="0" w:after="0" w:line="240" w:lineRule="auto"/>
      </w:pPr>
      <w:r>
        <w:rPr>
          <w:rFonts w:ascii="Times New Roman" w:hAnsi="Times New Roman" w:cs="Times New Roman"/>
          <w:b w:val="0"/>
          <w:i w:val="0"/>
          <w:sz w:val="20"/>
        </w:rPr>
        <w:t>An undercomplete Autoencoder trained exclusively on healthy phonations: Input(22)→Dense(14)→Bottleneck(8)→Dense(14)→Output(22). Reconstruction MSE serves as an acoustic anomaly score:</w:t>
      </w:r>
    </w:p>
    <w:p>
      <w:pPr>
        <w:jc w:val="center"/>
        <w:spacing w:before="57" w:after="57"/>
      </w:pPr>
      <w:r>
        <w:rPr>
          <w:rFonts w:ascii="Times New Roman" w:hAnsi="Times New Roman" w:cs="Times New Roman"/>
          <w:b w:val="0"/>
          <w:i/>
          <w:sz w:val="20"/>
        </w:rPr>
        <w:t>MSE_recon = (1/d) · Σ(x_j − x̂_j)^2</w:t>
      </w:r>
      <w:r>
        <w:rPr>
          <w:rFonts w:ascii="Times New Roman" w:hAnsi="Times New Roman" w:cs="Times New Roman"/>
          <w:b w:val="0"/>
          <w:i w:val="0"/>
          <w:sz w:val="20"/>
        </w:rPr>
        <w:t xml:space="preserve">        (8)</w:t>
      </w:r>
    </w:p>
    <w:p>
      <w:pPr>
        <w:ind w:firstLine="216"/>
        <w:jc w:val="both"/>
        <w:spacing w:before="0" w:after="0" w:line="240" w:lineRule="auto"/>
      </w:pPr>
      <w:r>
        <w:rPr>
          <w:rFonts w:ascii="Times New Roman" w:hAnsi="Times New Roman" w:cs="Times New Roman"/>
          <w:b w:val="0"/>
          <w:i w:val="0"/>
          <w:sz w:val="20"/>
        </w:rPr>
        <w:t>Z-score: Z = (MSE − μ_healthy)/σ_healthy. Z &gt; 2.0 indicates statistically significant deviation (p &lt; 0.05) from normative vocal health.</w:t>
      </w:r>
    </w:p>
    <w:p>
      <w:pPr>
        <w:jc w:val="left"/>
        <w:spacing w:before="100" w:after="28"/>
      </w:pPr>
      <w:r>
        <w:rPr>
          <w:rFonts w:ascii="Times New Roman" w:hAnsi="Times New Roman" w:cs="Times New Roman"/>
          <w:b/>
          <w:i/>
          <w:sz w:val="20"/>
        </w:rPr>
        <w:t>C. UPDRS Regression &amp; BOCPD</w:t>
      </w:r>
    </w:p>
    <w:p>
      <w:pPr>
        <w:ind w:firstLine="216"/>
        <w:jc w:val="both"/>
        <w:spacing w:before="0" w:after="0" w:line="240" w:lineRule="auto"/>
      </w:pPr>
      <w:r>
        <w:rPr>
          <w:rFonts w:ascii="Times New Roman" w:hAnsi="Times New Roman" w:cs="Times New Roman"/>
          <w:b w:val="0"/>
          <w:i w:val="0"/>
          <w:sz w:val="20"/>
        </w:rPr>
        <w:t>Multi-target Random Forest regression models map x ∈ ℝ^22 to continuous MDS-UPDRS Motor (0–108) and Total (0–176) scores. Bayesian Online Changepoint Detection (BOCPD) [12] estimates the posterior over current run-length r_t:</w:t>
      </w:r>
    </w:p>
    <w:p>
      <w:pPr>
        <w:jc w:val="center"/>
        <w:spacing w:before="57" w:after="57"/>
      </w:pPr>
      <w:r>
        <w:rPr>
          <w:rFonts w:ascii="Times New Roman" w:hAnsi="Times New Roman" w:cs="Times New Roman"/>
          <w:b w:val="0"/>
          <w:i/>
          <w:sz w:val="20"/>
        </w:rPr>
        <w:t>P(r_t|y_{1:t}) ∝ Σ P(r_t|r_{t-1})·P(y_t|r_{t-1},y^(r))·P(r_{t-1}|y_{1:t-1})</w:t>
      </w:r>
      <w:r>
        <w:rPr>
          <w:rFonts w:ascii="Times New Roman" w:hAnsi="Times New Roman" w:cs="Times New Roman"/>
          <w:b w:val="0"/>
          <w:i w:val="0"/>
          <w:sz w:val="20"/>
        </w:rPr>
        <w:t xml:space="preserve">        (9)</w:t>
      </w:r>
    </w:p>
    <w:p>
      <w:pPr>
        <w:ind w:firstLine="216"/>
        <w:jc w:val="both"/>
        <w:spacing w:before="0" w:after="0" w:line="240" w:lineRule="auto"/>
      </w:pPr>
      <w:r>
        <w:rPr>
          <w:rFonts w:ascii="Times New Roman" w:hAnsi="Times New Roman" w:cs="Times New Roman"/>
          <w:b w:val="0"/>
          <w:i w:val="0"/>
          <w:sz w:val="20"/>
        </w:rPr>
        <w:t>A sudden drop in expected run-length triggers a Levodopa medication adjustment alert in the clinical dashboard.</w:t>
      </w:r>
    </w:p>
    <w:p>
      <w:pPr>
        <w:jc w:val="left"/>
        <w:spacing w:before="100" w:after="28"/>
      </w:pPr>
      <w:r>
        <w:rPr>
          <w:rFonts w:ascii="Times New Roman" w:hAnsi="Times New Roman" w:cs="Times New Roman"/>
          <w:b/>
          <w:i/>
          <w:sz w:val="20"/>
        </w:rPr>
        <w:t>D. Multimodal Motor-Acoustic Fusion</w:t>
      </w:r>
    </w:p>
    <w:p>
      <w:pPr>
        <w:ind w:firstLine="216"/>
        <w:jc w:val="both"/>
        <w:spacing w:before="0" w:after="0" w:line="240" w:lineRule="auto"/>
      </w:pPr>
      <w:r>
        <w:rPr>
          <w:rFonts w:ascii="Times New Roman" w:hAnsi="Times New Roman" w:cs="Times New Roman"/>
          <w:b w:val="0"/>
          <w:i w:val="0"/>
          <w:sz w:val="20"/>
        </w:rPr>
        <w:t>A client-side finger-tapping module simulates MDS-UPDRS Item 3.4. Over a 10-second test, the following kinematic features are extracted: tapping frequency (f_tap), inter-tap interval coefficient of variation (CV_ITI), and fatigue regression slope (S_fatigue). The composite risk score:</w:t>
      </w:r>
    </w:p>
    <w:p>
      <w:pPr>
        <w:jc w:val="center"/>
        <w:spacing w:before="57" w:after="57"/>
      </w:pPr>
      <w:r>
        <w:rPr>
          <w:rFonts w:ascii="Times New Roman" w:hAnsi="Times New Roman" w:cs="Times New Roman"/>
          <w:b w:val="0"/>
          <w:i/>
          <w:sz w:val="20"/>
        </w:rPr>
        <w:t>S_composite = 0.70·P_ensemble + 0.30·S_motor</w:t>
      </w:r>
      <w:r>
        <w:rPr>
          <w:rFonts w:ascii="Times New Roman" w:hAnsi="Times New Roman" w:cs="Times New Roman"/>
          <w:b w:val="0"/>
          <w:i w:val="0"/>
          <w:sz w:val="20"/>
        </w:rPr>
        <w:t xml:space="preserve">        (10)</w:t>
      </w:r>
    </w:p>
    <w:p>
      <w:pPr>
        <w:ind w:firstLine="216"/>
        <w:jc w:val="both"/>
        <w:spacing w:before="0" w:after="0" w:line="240" w:lineRule="auto"/>
      </w:pPr>
      <w:r>
        <w:rPr>
          <w:rFonts w:ascii="Times New Roman" w:hAnsi="Times New Roman" w:cs="Times New Roman"/>
          <w:b w:val="0"/>
          <w:i w:val="0"/>
          <w:sz w:val="20"/>
        </w:rPr>
        <w:t>This fusion reduces false-positive rates by 38 % on borderline cases.</w:t>
      </w:r>
    </w:p>
    <w:p>
      <w:pPr>
        <w:jc w:val="center"/>
        <w:spacing w:before="144" w:after="57"/>
      </w:pPr>
      <w:r>
        <w:rPr>
          <w:rFonts w:ascii="Times New Roman" w:hAnsi="Times New Roman" w:cs="Times New Roman"/>
          <w:b/>
          <w:i w:val="0"/>
          <w:sz w:val="20"/>
        </w:rPr>
        <w:t>V. DATASETS &amp; EXPERIMENTAL SETUP</w:t>
      </w:r>
    </w:p>
    <w:p>
      <w:pPr>
        <w:jc w:val="left"/>
        <w:spacing w:before="100" w:after="28"/>
      </w:pPr>
      <w:r>
        <w:rPr>
          <w:rFonts w:ascii="Times New Roman" w:hAnsi="Times New Roman" w:cs="Times New Roman"/>
          <w:b/>
          <w:i/>
          <w:sz w:val="20"/>
        </w:rPr>
        <w:t>A. Benchmark Datasets</w:t>
      </w:r>
    </w:p>
    <w:p>
      <w:pPr>
        <w:ind w:left="288" w:hanging="288"/>
        <w:jc w:val="both"/>
        <w:spacing w:before="0" w:after="0" w:line="240" w:lineRule="auto"/>
      </w:pPr>
      <w:r>
        <w:rPr>
          <w:rFonts w:ascii="Times New Roman" w:hAnsi="Times New Roman" w:cs="Times New Roman"/>
          <w:b/>
          <w:i/>
          <w:sz w:val="20"/>
        </w:rPr>
        <w:t xml:space="preserve">1) Oxford Parkinson’s Dataset [1]: </w:t>
      </w:r>
      <w:r>
        <w:rPr>
          <w:rFonts w:ascii="Times New Roman" w:hAnsi="Times New Roman" w:cs="Times New Roman"/>
          <w:b w:val="0"/>
          <w:i w:val="0"/>
          <w:sz w:val="20"/>
        </w:rPr>
        <w:t>195 sustained /a/ phonations, 31 subjects (23 PD, 8 controls), 22 acoustic parameters (UCI ML Repository).</w:t>
      </w:r>
    </w:p>
    <w:p>
      <w:pPr>
        <w:ind w:left="288" w:hanging="288"/>
        <w:jc w:val="both"/>
        <w:spacing w:before="0" w:after="0" w:line="240" w:lineRule="auto"/>
      </w:pPr>
      <w:r>
        <w:rPr>
          <w:rFonts w:ascii="Times New Roman" w:hAnsi="Times New Roman" w:cs="Times New Roman"/>
          <w:b/>
          <w:i/>
          <w:sz w:val="20"/>
        </w:rPr>
        <w:t xml:space="preserve">2) Parkinson’s Telemonitoring Dataset [2]: </w:t>
      </w:r>
      <w:r>
        <w:rPr>
          <w:rFonts w:ascii="Times New Roman" w:hAnsi="Times New Roman" w:cs="Times New Roman"/>
          <w:b w:val="0"/>
          <w:i w:val="0"/>
          <w:sz w:val="20"/>
        </w:rPr>
        <w:t>5,875 recordings, 42 early-stage PD subjects over 6 months with weekly clinician-verified Motor-UPDRS and Total-UPDRS annotations.</w:t>
      </w:r>
    </w:p>
    <w:p>
      <w:pPr>
        <w:ind w:left="288" w:hanging="288"/>
        <w:jc w:val="both"/>
        <w:spacing w:before="0" w:after="0" w:line="240" w:lineRule="auto"/>
      </w:pPr>
      <w:r>
        <w:rPr>
          <w:rFonts w:ascii="Times New Roman" w:hAnsi="Times New Roman" w:cs="Times New Roman"/>
          <w:b/>
          <w:i/>
          <w:sz w:val="20"/>
        </w:rPr>
        <w:t xml:space="preserve">3) Sakar et al. [3]: </w:t>
      </w:r>
      <w:r>
        <w:rPr>
          <w:rFonts w:ascii="Times New Roman" w:hAnsi="Times New Roman" w:cs="Times New Roman"/>
          <w:b w:val="0"/>
          <w:i w:val="0"/>
          <w:sz w:val="20"/>
        </w:rPr>
        <w:t>756 phonations, 252 subjects (188 PD, 64 controls). Extended acoustic baselines including MFCCs and wavelet transforms.</w:t>
      </w:r>
    </w:p>
    <w:p>
      <w:pPr>
        <w:jc w:val="left"/>
        <w:spacing w:before="100" w:after="28"/>
      </w:pPr>
      <w:r>
        <w:rPr>
          <w:rFonts w:ascii="Times New Roman" w:hAnsi="Times New Roman" w:cs="Times New Roman"/>
          <w:b/>
          <w:i/>
          <w:sz w:val="20"/>
        </w:rPr>
        <w:t>B. Validation Protocol</w:t>
      </w:r>
    </w:p>
    <w:p>
      <w:pPr>
        <w:ind w:firstLine="216"/>
        <w:jc w:val="both"/>
        <w:spacing w:before="0" w:after="0" w:line="240" w:lineRule="auto"/>
      </w:pPr>
      <w:r>
        <w:rPr>
          <w:rFonts w:ascii="Times New Roman" w:hAnsi="Times New Roman" w:cs="Times New Roman"/>
          <w:b w:val="0"/>
          <w:i w:val="0"/>
          <w:sz w:val="20"/>
        </w:rPr>
        <w:t>All performance metrics were evaluated using Stratified 10-Fold Subject-Independent Cross-Validation, where all recordings from a single subject are assigned strictly to either the training or testing fold in each split to prevent data leakage. The backend was implemented in Python 3.10 (FastAPI, Scikit-learn 1.2, PyTorch 2.0, Librosa 0.10, Praat-Parselmouth 0.4.3).</w:t>
      </w:r>
    </w:p>
    <w:p>
      <w:pPr>
        <w:jc w:val="center"/>
        <w:spacing w:before="144" w:after="57"/>
      </w:pPr>
      <w:r>
        <w:rPr>
          <w:rFonts w:ascii="Times New Roman" w:hAnsi="Times New Roman" w:cs="Times New Roman"/>
          <w:b/>
          <w:i w:val="0"/>
          <w:sz w:val="20"/>
        </w:rPr>
        <w:t>VI. RESULTS AND PERFORMANCE EVALUATION</w:t>
      </w:r>
    </w:p>
    <w:p>
      <w:pPr>
        <w:jc w:val="left"/>
        <w:spacing w:before="100" w:after="28"/>
      </w:pPr>
      <w:r>
        <w:rPr>
          <w:rFonts w:ascii="Times New Roman" w:hAnsi="Times New Roman" w:cs="Times New Roman"/>
          <w:b/>
          <w:i/>
          <w:sz w:val="20"/>
        </w:rPr>
        <w:t>A. Diagnostic Classification Performance</w:t>
      </w:r>
    </w:p>
    <w:p>
      <w:pPr>
        <w:jc w:val="center"/>
        <w:spacing w:before="86" w:after="43"/>
      </w:pPr>
      <w:r>
        <w:rPr>
          <w:rFonts w:ascii="Times New Roman" w:hAnsi="Times New Roman" w:cs="Times New Roman"/>
          <w:b/>
          <w:i w:val="0"/>
          <w:sz w:val="18"/>
        </w:rPr>
        <w:t>TABLE I</w:t>
        <w:br/>
      </w:r>
      <w:r>
        <w:rPr>
          <w:rFonts w:ascii="Times New Roman" w:hAnsi="Times New Roman" w:cs="Times New Roman"/>
          <w:b/>
          <w:i w:val="0"/>
          <w:sz w:val="18"/>
        </w:rPr>
        <w:t>CLASSIFICATION PERFORMANCE — SUBJECT-INDEPENDENT 10-FOLD CV</w:t>
      </w:r>
    </w:p>
    <w:p>
      <w:pPr>
        <w:spacing w:before="0" w:after="0"/>
        <w:pBdr>
          <w:top w:val="single" w:sz="6" w:space="1" w:color="000000"/>
        </w:pBdr>
      </w:pP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80"/>
        <w:gridCol w:w="1680"/>
        <w:gridCol w:w="1680"/>
        <w:gridCol w:w="1680"/>
        <w:gridCol w:w="1680"/>
        <w:gridCol w:w="1680"/>
      </w:tblGrid>
      <w:tr>
        <w:tc>
          <w:tcPr>
            <w:tcW w:type="dxa" w:w="1680"/>
          </w:tcPr>
          <w:p>
            <w:pPr>
              <w:jc w:val="center"/>
              <w:spacing w:before="40" w:after="40"/>
            </w:pPr>
            <w:r>
              <w:rPr>
                <w:rFonts w:ascii="Times New Roman" w:hAnsi="Times New Roman" w:cs="Times New Roman"/>
                <w:b/>
                <w:i w:val="0"/>
                <w:sz w:val="18"/>
              </w:rPr>
              <w:t>Model</w:t>
            </w:r>
          </w:p>
        </w:tc>
        <w:tc>
          <w:tcPr>
            <w:tcW w:type="dxa" w:w="1680"/>
          </w:tcPr>
          <w:p>
            <w:pPr>
              <w:jc w:val="center"/>
              <w:spacing w:before="40" w:after="40"/>
            </w:pPr>
            <w:r>
              <w:rPr>
                <w:rFonts w:ascii="Times New Roman" w:hAnsi="Times New Roman" w:cs="Times New Roman"/>
                <w:b/>
                <w:i w:val="0"/>
                <w:sz w:val="18"/>
              </w:rPr>
              <w:t>Acc. (%)</w:t>
            </w:r>
          </w:p>
        </w:tc>
        <w:tc>
          <w:tcPr>
            <w:tcW w:type="dxa" w:w="1680"/>
          </w:tcPr>
          <w:p>
            <w:pPr>
              <w:jc w:val="center"/>
              <w:spacing w:before="40" w:after="40"/>
            </w:pPr>
            <w:r>
              <w:rPr>
                <w:rFonts w:ascii="Times New Roman" w:hAnsi="Times New Roman" w:cs="Times New Roman"/>
                <w:b/>
                <w:i w:val="0"/>
                <w:sz w:val="18"/>
              </w:rPr>
              <w:t>Sens. (%)</w:t>
            </w:r>
          </w:p>
        </w:tc>
        <w:tc>
          <w:tcPr>
            <w:tcW w:type="dxa" w:w="1680"/>
          </w:tcPr>
          <w:p>
            <w:pPr>
              <w:jc w:val="center"/>
              <w:spacing w:before="40" w:after="40"/>
            </w:pPr>
            <w:r>
              <w:rPr>
                <w:rFonts w:ascii="Times New Roman" w:hAnsi="Times New Roman" w:cs="Times New Roman"/>
                <w:b/>
                <w:i w:val="0"/>
                <w:sz w:val="18"/>
              </w:rPr>
              <w:t>Spec. (%)</w:t>
            </w:r>
          </w:p>
        </w:tc>
        <w:tc>
          <w:tcPr>
            <w:tcW w:type="dxa" w:w="1680"/>
          </w:tcPr>
          <w:p>
            <w:pPr>
              <w:jc w:val="center"/>
              <w:spacing w:before="40" w:after="40"/>
            </w:pPr>
            <w:r>
              <w:rPr>
                <w:rFonts w:ascii="Times New Roman" w:hAnsi="Times New Roman" w:cs="Times New Roman"/>
                <w:b/>
                <w:i w:val="0"/>
                <w:sz w:val="18"/>
              </w:rPr>
              <w:t>F1</w:t>
            </w:r>
          </w:p>
        </w:tc>
        <w:tc>
          <w:tcPr>
            <w:tcW w:type="dxa" w:w="1680"/>
          </w:tcPr>
          <w:p>
            <w:pPr>
              <w:jc w:val="center"/>
              <w:spacing w:before="40" w:after="40"/>
            </w:pPr>
            <w:r>
              <w:rPr>
                <w:rFonts w:ascii="Times New Roman" w:hAnsi="Times New Roman" w:cs="Times New Roman"/>
                <w:b/>
                <w:i w:val="0"/>
                <w:sz w:val="18"/>
              </w:rPr>
              <w:t>AUC</w:t>
            </w:r>
          </w:p>
        </w:tc>
      </w:tr>
      <w:tr>
        <w:tc>
          <w:tcPr>
            <w:tcW w:type="dxa" w:w="1680"/>
          </w:tcPr>
          <w:p>
            <w:pPr>
              <w:jc w:val="left"/>
              <w:spacing w:before="40" w:after="40"/>
            </w:pPr>
            <w:r>
              <w:rPr>
                <w:rFonts w:ascii="Times New Roman" w:hAnsi="Times New Roman" w:cs="Times New Roman"/>
                <w:b w:val="0"/>
                <w:i w:val="0"/>
                <w:sz w:val="18"/>
              </w:rPr>
              <w:t>SVM (RBF)</w:t>
            </w:r>
          </w:p>
        </w:tc>
        <w:tc>
          <w:tcPr>
            <w:tcW w:type="dxa" w:w="1680"/>
          </w:tcPr>
          <w:p>
            <w:pPr>
              <w:jc w:val="center"/>
              <w:spacing w:before="40" w:after="40"/>
            </w:pPr>
            <w:r>
              <w:rPr>
                <w:rFonts w:ascii="Times New Roman" w:hAnsi="Times New Roman" w:cs="Times New Roman"/>
                <w:b w:val="0"/>
                <w:i w:val="0"/>
                <w:sz w:val="18"/>
              </w:rPr>
              <w:t>91.80</w:t>
            </w:r>
          </w:p>
        </w:tc>
        <w:tc>
          <w:tcPr>
            <w:tcW w:type="dxa" w:w="1680"/>
          </w:tcPr>
          <w:p>
            <w:pPr>
              <w:jc w:val="center"/>
              <w:spacing w:before="40" w:after="40"/>
            </w:pPr>
            <w:r>
              <w:rPr>
                <w:rFonts w:ascii="Times New Roman" w:hAnsi="Times New Roman" w:cs="Times New Roman"/>
                <w:b w:val="0"/>
                <w:i w:val="0"/>
                <w:sz w:val="18"/>
              </w:rPr>
              <w:t>93.44</w:t>
            </w:r>
          </w:p>
        </w:tc>
        <w:tc>
          <w:tcPr>
            <w:tcW w:type="dxa" w:w="1680"/>
          </w:tcPr>
          <w:p>
            <w:pPr>
              <w:jc w:val="center"/>
              <w:spacing w:before="40" w:after="40"/>
            </w:pPr>
            <w:r>
              <w:rPr>
                <w:rFonts w:ascii="Times New Roman" w:hAnsi="Times New Roman" w:cs="Times New Roman"/>
                <w:b w:val="0"/>
                <w:i w:val="0"/>
                <w:sz w:val="18"/>
              </w:rPr>
              <w:t>87.18</w:t>
            </w:r>
          </w:p>
        </w:tc>
        <w:tc>
          <w:tcPr>
            <w:tcW w:type="dxa" w:w="1680"/>
          </w:tcPr>
          <w:p>
            <w:pPr>
              <w:jc w:val="center"/>
              <w:spacing w:before="40" w:after="40"/>
            </w:pPr>
            <w:r>
              <w:rPr>
                <w:rFonts w:ascii="Times New Roman" w:hAnsi="Times New Roman" w:cs="Times New Roman"/>
                <w:b w:val="0"/>
                <w:i w:val="0"/>
                <w:sz w:val="18"/>
              </w:rPr>
              <w:t>0.923</w:t>
            </w:r>
          </w:p>
        </w:tc>
        <w:tc>
          <w:tcPr>
            <w:tcW w:type="dxa" w:w="1680"/>
          </w:tcPr>
          <w:p>
            <w:pPr>
              <w:jc w:val="center"/>
              <w:spacing w:before="40" w:after="40"/>
            </w:pPr>
            <w:r>
              <w:rPr>
                <w:rFonts w:ascii="Times New Roman" w:hAnsi="Times New Roman" w:cs="Times New Roman"/>
                <w:b w:val="0"/>
                <w:i w:val="0"/>
                <w:sz w:val="18"/>
              </w:rPr>
              <w:t>0.938</w:t>
            </w:r>
          </w:p>
        </w:tc>
      </w:tr>
      <w:tr>
        <w:tc>
          <w:tcPr>
            <w:tcW w:type="dxa" w:w="1680"/>
          </w:tcPr>
          <w:p>
            <w:pPr>
              <w:jc w:val="left"/>
              <w:spacing w:before="40" w:after="40"/>
            </w:pPr>
            <w:r>
              <w:rPr>
                <w:rFonts w:ascii="Times New Roman" w:hAnsi="Times New Roman" w:cs="Times New Roman"/>
                <w:b w:val="0"/>
                <w:i w:val="0"/>
                <w:sz w:val="18"/>
              </w:rPr>
              <w:t>Random Forest</w:t>
            </w:r>
          </w:p>
        </w:tc>
        <w:tc>
          <w:tcPr>
            <w:tcW w:type="dxa" w:w="1680"/>
          </w:tcPr>
          <w:p>
            <w:pPr>
              <w:jc w:val="center"/>
              <w:spacing w:before="40" w:after="40"/>
            </w:pPr>
            <w:r>
              <w:rPr>
                <w:rFonts w:ascii="Times New Roman" w:hAnsi="Times New Roman" w:cs="Times New Roman"/>
                <w:b w:val="0"/>
                <w:i w:val="0"/>
                <w:sz w:val="18"/>
              </w:rPr>
              <w:t>92.31</w:t>
            </w:r>
          </w:p>
        </w:tc>
        <w:tc>
          <w:tcPr>
            <w:tcW w:type="dxa" w:w="1680"/>
          </w:tcPr>
          <w:p>
            <w:pPr>
              <w:jc w:val="center"/>
              <w:spacing w:before="40" w:after="40"/>
            </w:pPr>
            <w:r>
              <w:rPr>
                <w:rFonts w:ascii="Times New Roman" w:hAnsi="Times New Roman" w:cs="Times New Roman"/>
                <w:b w:val="0"/>
                <w:i w:val="0"/>
                <w:sz w:val="18"/>
              </w:rPr>
              <w:t>94.26</w:t>
            </w:r>
          </w:p>
        </w:tc>
        <w:tc>
          <w:tcPr>
            <w:tcW w:type="dxa" w:w="1680"/>
          </w:tcPr>
          <w:p>
            <w:pPr>
              <w:jc w:val="center"/>
              <w:spacing w:before="40" w:after="40"/>
            </w:pPr>
            <w:r>
              <w:rPr>
                <w:rFonts w:ascii="Times New Roman" w:hAnsi="Times New Roman" w:cs="Times New Roman"/>
                <w:b w:val="0"/>
                <w:i w:val="0"/>
                <w:sz w:val="18"/>
              </w:rPr>
              <w:t>87.18</w:t>
            </w:r>
          </w:p>
        </w:tc>
        <w:tc>
          <w:tcPr>
            <w:tcW w:type="dxa" w:w="1680"/>
          </w:tcPr>
          <w:p>
            <w:pPr>
              <w:jc w:val="center"/>
              <w:spacing w:before="40" w:after="40"/>
            </w:pPr>
            <w:r>
              <w:rPr>
                <w:rFonts w:ascii="Times New Roman" w:hAnsi="Times New Roman" w:cs="Times New Roman"/>
                <w:b w:val="0"/>
                <w:i w:val="0"/>
                <w:sz w:val="18"/>
              </w:rPr>
              <w:t>0.928</w:t>
            </w:r>
          </w:p>
        </w:tc>
        <w:tc>
          <w:tcPr>
            <w:tcW w:type="dxa" w:w="1680"/>
          </w:tcPr>
          <w:p>
            <w:pPr>
              <w:jc w:val="center"/>
              <w:spacing w:before="40" w:after="40"/>
            </w:pPr>
            <w:r>
              <w:rPr>
                <w:rFonts w:ascii="Times New Roman" w:hAnsi="Times New Roman" w:cs="Times New Roman"/>
                <w:b w:val="0"/>
                <w:i w:val="0"/>
                <w:sz w:val="18"/>
              </w:rPr>
              <w:t>0.945</w:t>
            </w:r>
          </w:p>
        </w:tc>
      </w:tr>
      <w:tr>
        <w:tc>
          <w:tcPr>
            <w:tcW w:type="dxa" w:w="1680"/>
          </w:tcPr>
          <w:p>
            <w:pPr>
              <w:jc w:val="left"/>
              <w:spacing w:before="40" w:after="40"/>
            </w:pPr>
            <w:r>
              <w:rPr>
                <w:rFonts w:ascii="Times New Roman" w:hAnsi="Times New Roman" w:cs="Times New Roman"/>
                <w:b w:val="0"/>
                <w:i w:val="0"/>
                <w:sz w:val="18"/>
              </w:rPr>
              <w:t>Gradient Boosting</w:t>
            </w:r>
          </w:p>
        </w:tc>
        <w:tc>
          <w:tcPr>
            <w:tcW w:type="dxa" w:w="1680"/>
          </w:tcPr>
          <w:p>
            <w:pPr>
              <w:jc w:val="center"/>
              <w:spacing w:before="40" w:after="40"/>
            </w:pPr>
            <w:r>
              <w:rPr>
                <w:rFonts w:ascii="Times New Roman" w:hAnsi="Times New Roman" w:cs="Times New Roman"/>
                <w:b w:val="0"/>
                <w:i w:val="0"/>
                <w:sz w:val="18"/>
              </w:rPr>
              <w:t>90.77</w:t>
            </w:r>
          </w:p>
        </w:tc>
        <w:tc>
          <w:tcPr>
            <w:tcW w:type="dxa" w:w="1680"/>
          </w:tcPr>
          <w:p>
            <w:pPr>
              <w:jc w:val="center"/>
              <w:spacing w:before="40" w:after="40"/>
            </w:pPr>
            <w:r>
              <w:rPr>
                <w:rFonts w:ascii="Times New Roman" w:hAnsi="Times New Roman" w:cs="Times New Roman"/>
                <w:b w:val="0"/>
                <w:i w:val="0"/>
                <w:sz w:val="18"/>
              </w:rPr>
              <w:t>92.62</w:t>
            </w:r>
          </w:p>
        </w:tc>
        <w:tc>
          <w:tcPr>
            <w:tcW w:type="dxa" w:w="1680"/>
          </w:tcPr>
          <w:p>
            <w:pPr>
              <w:jc w:val="center"/>
              <w:spacing w:before="40" w:after="40"/>
            </w:pPr>
            <w:r>
              <w:rPr>
                <w:rFonts w:ascii="Times New Roman" w:hAnsi="Times New Roman" w:cs="Times New Roman"/>
                <w:b w:val="0"/>
                <w:i w:val="0"/>
                <w:sz w:val="18"/>
              </w:rPr>
              <w:t>85.37</w:t>
            </w:r>
          </w:p>
        </w:tc>
        <w:tc>
          <w:tcPr>
            <w:tcW w:type="dxa" w:w="1680"/>
          </w:tcPr>
          <w:p>
            <w:pPr>
              <w:jc w:val="center"/>
              <w:spacing w:before="40" w:after="40"/>
            </w:pPr>
            <w:r>
              <w:rPr>
                <w:rFonts w:ascii="Times New Roman" w:hAnsi="Times New Roman" w:cs="Times New Roman"/>
                <w:b w:val="0"/>
                <w:i w:val="0"/>
                <w:sz w:val="18"/>
              </w:rPr>
              <w:t>0.914</w:t>
            </w:r>
          </w:p>
        </w:tc>
        <w:tc>
          <w:tcPr>
            <w:tcW w:type="dxa" w:w="1680"/>
          </w:tcPr>
          <w:p>
            <w:pPr>
              <w:jc w:val="center"/>
              <w:spacing w:before="40" w:after="40"/>
            </w:pPr>
            <w:r>
              <w:rPr>
                <w:rFonts w:ascii="Times New Roman" w:hAnsi="Times New Roman" w:cs="Times New Roman"/>
                <w:b w:val="0"/>
                <w:i w:val="0"/>
                <w:sz w:val="18"/>
              </w:rPr>
              <w:t>0.929</w:t>
            </w:r>
          </w:p>
        </w:tc>
      </w:tr>
      <w:tr>
        <w:tc>
          <w:tcPr>
            <w:tcW w:type="dxa" w:w="1680"/>
          </w:tcPr>
          <w:p>
            <w:pPr>
              <w:jc w:val="left"/>
              <w:spacing w:before="40" w:after="40"/>
            </w:pPr>
            <w:r>
              <w:rPr>
                <w:rFonts w:ascii="Times New Roman" w:hAnsi="Times New Roman" w:cs="Times New Roman"/>
                <w:b w:val="0"/>
                <w:i w:val="0"/>
                <w:sz w:val="18"/>
              </w:rPr>
              <w:t>CNN-BiLSTM</w:t>
            </w:r>
          </w:p>
        </w:tc>
        <w:tc>
          <w:tcPr>
            <w:tcW w:type="dxa" w:w="1680"/>
          </w:tcPr>
          <w:p>
            <w:pPr>
              <w:jc w:val="center"/>
              <w:spacing w:before="40" w:after="40"/>
            </w:pPr>
            <w:r>
              <w:rPr>
                <w:rFonts w:ascii="Times New Roman" w:hAnsi="Times New Roman" w:cs="Times New Roman"/>
                <w:b w:val="0"/>
                <w:i w:val="0"/>
                <w:sz w:val="18"/>
              </w:rPr>
              <w:t>93.33</w:t>
            </w:r>
          </w:p>
        </w:tc>
        <w:tc>
          <w:tcPr>
            <w:tcW w:type="dxa" w:w="1680"/>
          </w:tcPr>
          <w:p>
            <w:pPr>
              <w:jc w:val="center"/>
              <w:spacing w:before="40" w:after="40"/>
            </w:pPr>
            <w:r>
              <w:rPr>
                <w:rFonts w:ascii="Times New Roman" w:hAnsi="Times New Roman" w:cs="Times New Roman"/>
                <w:b w:val="0"/>
                <w:i w:val="0"/>
                <w:sz w:val="18"/>
              </w:rPr>
              <w:t>95.08</w:t>
            </w:r>
          </w:p>
        </w:tc>
        <w:tc>
          <w:tcPr>
            <w:tcW w:type="dxa" w:w="1680"/>
          </w:tcPr>
          <w:p>
            <w:pPr>
              <w:jc w:val="center"/>
              <w:spacing w:before="40" w:after="40"/>
            </w:pPr>
            <w:r>
              <w:rPr>
                <w:rFonts w:ascii="Times New Roman" w:hAnsi="Times New Roman" w:cs="Times New Roman"/>
                <w:b w:val="0"/>
                <w:i w:val="0"/>
                <w:sz w:val="18"/>
              </w:rPr>
              <w:t>88.64</w:t>
            </w:r>
          </w:p>
        </w:tc>
        <w:tc>
          <w:tcPr>
            <w:tcW w:type="dxa" w:w="1680"/>
          </w:tcPr>
          <w:p>
            <w:pPr>
              <w:jc w:val="center"/>
              <w:spacing w:before="40" w:after="40"/>
            </w:pPr>
            <w:r>
              <w:rPr>
                <w:rFonts w:ascii="Times New Roman" w:hAnsi="Times New Roman" w:cs="Times New Roman"/>
                <w:b w:val="0"/>
                <w:i w:val="0"/>
                <w:sz w:val="18"/>
              </w:rPr>
              <w:t>0.937</w:t>
            </w:r>
          </w:p>
        </w:tc>
        <w:tc>
          <w:tcPr>
            <w:tcW w:type="dxa" w:w="1680"/>
          </w:tcPr>
          <w:p>
            <w:pPr>
              <w:jc w:val="center"/>
              <w:spacing w:before="40" w:after="40"/>
            </w:pPr>
            <w:r>
              <w:rPr>
                <w:rFonts w:ascii="Times New Roman" w:hAnsi="Times New Roman" w:cs="Times New Roman"/>
                <w:b w:val="0"/>
                <w:i w:val="0"/>
                <w:sz w:val="18"/>
              </w:rPr>
              <w:t>0.951</w:t>
            </w:r>
          </w:p>
        </w:tc>
      </w:tr>
      <w:tr>
        <w:tc>
          <w:tcPr>
            <w:tcW w:type="dxa" w:w="1680"/>
          </w:tcPr>
          <w:p>
            <w:pPr>
              <w:jc w:val="left"/>
              <w:spacing w:before="40" w:after="40"/>
            </w:pPr>
            <w:r>
              <w:rPr>
                <w:rFonts w:ascii="Times New Roman" w:hAnsi="Times New Roman" w:cs="Times New Roman"/>
                <w:b/>
                <w:i w:val="0"/>
                <w:sz w:val="18"/>
              </w:rPr>
              <w:t>Proposed Ensemble</w:t>
            </w:r>
          </w:p>
        </w:tc>
        <w:tc>
          <w:tcPr>
            <w:tcW w:type="dxa" w:w="1680"/>
          </w:tcPr>
          <w:p>
            <w:pPr>
              <w:jc w:val="center"/>
              <w:spacing w:before="40" w:after="40"/>
            </w:pPr>
            <w:r>
              <w:rPr>
                <w:rFonts w:ascii="Times New Roman" w:hAnsi="Times New Roman" w:cs="Times New Roman"/>
                <w:b/>
                <w:i w:val="0"/>
                <w:sz w:val="18"/>
              </w:rPr>
              <w:t>94.87</w:t>
            </w:r>
          </w:p>
        </w:tc>
        <w:tc>
          <w:tcPr>
            <w:tcW w:type="dxa" w:w="1680"/>
          </w:tcPr>
          <w:p>
            <w:pPr>
              <w:jc w:val="center"/>
              <w:spacing w:before="40" w:after="40"/>
            </w:pPr>
            <w:r>
              <w:rPr>
                <w:rFonts w:ascii="Times New Roman" w:hAnsi="Times New Roman" w:cs="Times New Roman"/>
                <w:b/>
                <w:i w:val="0"/>
                <w:sz w:val="18"/>
              </w:rPr>
              <w:t>96.15</w:t>
            </w:r>
          </w:p>
        </w:tc>
        <w:tc>
          <w:tcPr>
            <w:tcW w:type="dxa" w:w="1680"/>
          </w:tcPr>
          <w:p>
            <w:pPr>
              <w:jc w:val="center"/>
              <w:spacing w:before="40" w:after="40"/>
            </w:pPr>
            <w:r>
              <w:rPr>
                <w:rFonts w:ascii="Times New Roman" w:hAnsi="Times New Roman" w:cs="Times New Roman"/>
                <w:b/>
                <w:i w:val="0"/>
                <w:sz w:val="18"/>
              </w:rPr>
              <w:t>91.30</w:t>
            </w:r>
          </w:p>
        </w:tc>
        <w:tc>
          <w:tcPr>
            <w:tcW w:type="dxa" w:w="1680"/>
          </w:tcPr>
          <w:p>
            <w:pPr>
              <w:jc w:val="center"/>
              <w:spacing w:before="40" w:after="40"/>
            </w:pPr>
            <w:r>
              <w:rPr>
                <w:rFonts w:ascii="Times New Roman" w:hAnsi="Times New Roman" w:cs="Times New Roman"/>
                <w:b/>
                <w:i w:val="0"/>
                <w:sz w:val="18"/>
              </w:rPr>
              <w:t>0.952</w:t>
            </w:r>
          </w:p>
        </w:tc>
        <w:tc>
          <w:tcPr>
            <w:tcW w:type="dxa" w:w="1680"/>
          </w:tcPr>
          <w:p>
            <w:pPr>
              <w:jc w:val="center"/>
              <w:spacing w:before="40" w:after="40"/>
            </w:pPr>
            <w:r>
              <w:rPr>
                <w:rFonts w:ascii="Times New Roman" w:hAnsi="Times New Roman" w:cs="Times New Roman"/>
                <w:b/>
                <w:i w:val="0"/>
                <w:sz w:val="18"/>
              </w:rPr>
              <w:t>0.962</w:t>
            </w:r>
          </w:p>
        </w:tc>
      </w:tr>
    </w:tbl>
    <w:p>
      <w:pPr>
        <w:spacing w:before="0" w:after="0"/>
        <w:pBdr>
          <w:top w:val="single" w:sz="6" w:space="1" w:color="000000"/>
        </w:pBdr>
      </w:pPr>
    </w:p>
    <w:p>
      <w:pPr>
        <w:spacing w:before="0" w:after="0"/>
      </w:pPr>
      <w:r>
        <w:rPr>
          <w:rFonts w:ascii="Times New Roman" w:hAnsi="Times New Roman" w:cs="Times New Roman"/>
          <w:b w:val="0"/>
          <w:i w:val="0"/>
          <w:sz w:val="8"/>
        </w:rPr>
      </w:r>
    </w:p>
    <w:p>
      <w:pPr>
        <w:ind w:firstLine="216"/>
        <w:jc w:val="both"/>
        <w:spacing w:before="0" w:after="0" w:line="240" w:lineRule="auto"/>
      </w:pPr>
      <w:r>
        <w:rPr>
          <w:rFonts w:ascii="Times New Roman" w:hAnsi="Times New Roman" w:cs="Times New Roman"/>
          <w:b w:val="0"/>
          <w:i w:val="0"/>
          <w:sz w:val="20"/>
        </w:rPr>
        <w:t>As reported in Table I, the proposed hybrid ensemble achieved the highest overall diagnostic performance with 94.87 % accuracy and AUC-ROC = 0.962. Crucially for clinical screening, sensitivity was maintained at 96.15 %, minimizing false negatives. The CNN-BiLSTM network outperformed traditional shallow learners by effectively capturing cross-feature spatial-temporal correlations.</w:t>
      </w:r>
    </w:p>
    <w:p>
      <w:pPr>
        <w:jc w:val="left"/>
        <w:spacing w:before="100" w:after="28"/>
      </w:pPr>
      <w:r>
        <w:rPr>
          <w:rFonts w:ascii="Times New Roman" w:hAnsi="Times New Roman" w:cs="Times New Roman"/>
          <w:b/>
          <w:i/>
          <w:sz w:val="20"/>
        </w:rPr>
        <w:t>B. UPDRS Disease Severity Regression</w:t>
      </w:r>
    </w:p>
    <w:p>
      <w:pPr>
        <w:jc w:val="center"/>
        <w:spacing w:before="86" w:after="43"/>
      </w:pPr>
      <w:r>
        <w:rPr>
          <w:rFonts w:ascii="Times New Roman" w:hAnsi="Times New Roman" w:cs="Times New Roman"/>
          <w:b/>
          <w:i w:val="0"/>
          <w:sz w:val="18"/>
        </w:rPr>
        <w:t>TABLE II</w:t>
        <w:br/>
      </w:r>
      <w:r>
        <w:rPr>
          <w:rFonts w:ascii="Times New Roman" w:hAnsi="Times New Roman" w:cs="Times New Roman"/>
          <w:b/>
          <w:i w:val="0"/>
          <w:sz w:val="18"/>
        </w:rPr>
        <w:t>CONTINUOUS MDS-UPDRS REGRESSION EVALUATION</w:t>
      </w:r>
    </w:p>
    <w:p>
      <w:pPr>
        <w:spacing w:before="0" w:after="0"/>
        <w:pBdr>
          <w:top w:val="single" w:sz="6" w:space="1" w:color="000000"/>
        </w:pBdr>
      </w:pP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2016"/>
        <w:gridCol w:w="2016"/>
        <w:gridCol w:w="2016"/>
        <w:gridCol w:w="2016"/>
        <w:gridCol w:w="2016"/>
      </w:tblGrid>
      <w:tr>
        <w:tc>
          <w:tcPr>
            <w:tcW w:type="dxa" w:w="2016"/>
          </w:tcPr>
          <w:p>
            <w:pPr>
              <w:jc w:val="center"/>
              <w:spacing w:before="40" w:after="40"/>
            </w:pPr>
            <w:r>
              <w:rPr>
                <w:rFonts w:ascii="Times New Roman" w:hAnsi="Times New Roman" w:cs="Times New Roman"/>
                <w:b/>
                <w:i w:val="0"/>
                <w:sz w:val="18"/>
              </w:rPr>
              <w:t>Metric</w:t>
            </w:r>
          </w:p>
        </w:tc>
        <w:tc>
          <w:tcPr>
            <w:tcW w:type="dxa" w:w="2016"/>
          </w:tcPr>
          <w:p>
            <w:pPr>
              <w:jc w:val="center"/>
              <w:spacing w:before="40" w:after="40"/>
            </w:pPr>
            <w:r>
              <w:rPr>
                <w:rFonts w:ascii="Times New Roman" w:hAnsi="Times New Roman" w:cs="Times New Roman"/>
                <w:b/>
                <w:i w:val="0"/>
                <w:sz w:val="18"/>
              </w:rPr>
              <w:t>Range</w:t>
            </w:r>
          </w:p>
        </w:tc>
        <w:tc>
          <w:tcPr>
            <w:tcW w:type="dxa" w:w="2016"/>
          </w:tcPr>
          <w:p>
            <w:pPr>
              <w:jc w:val="center"/>
              <w:spacing w:before="40" w:after="40"/>
            </w:pPr>
            <w:r>
              <w:rPr>
                <w:rFonts w:ascii="Times New Roman" w:hAnsi="Times New Roman" w:cs="Times New Roman"/>
                <w:b/>
                <w:i w:val="0"/>
                <w:sz w:val="18"/>
              </w:rPr>
              <w:t>MAE</w:t>
            </w:r>
          </w:p>
        </w:tc>
        <w:tc>
          <w:tcPr>
            <w:tcW w:type="dxa" w:w="2016"/>
          </w:tcPr>
          <w:p>
            <w:pPr>
              <w:jc w:val="center"/>
              <w:spacing w:before="40" w:after="40"/>
            </w:pPr>
            <w:r>
              <w:rPr>
                <w:rFonts w:ascii="Times New Roman" w:hAnsi="Times New Roman" w:cs="Times New Roman"/>
                <w:b/>
                <w:i w:val="0"/>
                <w:sz w:val="18"/>
              </w:rPr>
              <w:t>RMSE</w:t>
            </w:r>
          </w:p>
        </w:tc>
        <w:tc>
          <w:tcPr>
            <w:tcW w:type="dxa" w:w="2016"/>
          </w:tcPr>
          <w:p>
            <w:pPr>
              <w:jc w:val="center"/>
              <w:spacing w:before="40" w:after="40"/>
            </w:pPr>
            <w:r>
              <w:rPr>
                <w:rFonts w:ascii="Times New Roman" w:hAnsi="Times New Roman" w:cs="Times New Roman"/>
                <w:b/>
                <w:i w:val="0"/>
                <w:sz w:val="18"/>
              </w:rPr>
              <w:t>R²</w:t>
            </w:r>
          </w:p>
        </w:tc>
      </w:tr>
      <w:tr>
        <w:tc>
          <w:tcPr>
            <w:tcW w:type="dxa" w:w="2016"/>
          </w:tcPr>
          <w:p>
            <w:pPr>
              <w:jc w:val="left"/>
              <w:spacing w:before="40" w:after="40"/>
            </w:pPr>
            <w:r>
              <w:rPr>
                <w:rFonts w:ascii="Times New Roman" w:hAnsi="Times New Roman" w:cs="Times New Roman"/>
                <w:b w:val="0"/>
                <w:i w:val="0"/>
                <w:sz w:val="18"/>
              </w:rPr>
              <w:t>Motor-UPDRS</w:t>
            </w:r>
          </w:p>
        </w:tc>
        <w:tc>
          <w:tcPr>
            <w:tcW w:type="dxa" w:w="2016"/>
          </w:tcPr>
          <w:p>
            <w:pPr>
              <w:jc w:val="center"/>
              <w:spacing w:before="40" w:after="40"/>
            </w:pPr>
            <w:r>
              <w:rPr>
                <w:rFonts w:ascii="Times New Roman" w:hAnsi="Times New Roman" w:cs="Times New Roman"/>
                <w:b w:val="0"/>
                <w:i w:val="0"/>
                <w:sz w:val="18"/>
              </w:rPr>
              <w:t>0–108</w:t>
            </w:r>
          </w:p>
        </w:tc>
        <w:tc>
          <w:tcPr>
            <w:tcW w:type="dxa" w:w="2016"/>
          </w:tcPr>
          <w:p>
            <w:pPr>
              <w:jc w:val="center"/>
              <w:spacing w:before="40" w:after="40"/>
            </w:pPr>
            <w:r>
              <w:rPr>
                <w:rFonts w:ascii="Times New Roman" w:hAnsi="Times New Roman" w:cs="Times New Roman"/>
                <w:b w:val="0"/>
                <w:i w:val="0"/>
                <w:sz w:val="18"/>
              </w:rPr>
              <w:t>2.14±0.32</w:t>
            </w:r>
          </w:p>
        </w:tc>
        <w:tc>
          <w:tcPr>
            <w:tcW w:type="dxa" w:w="2016"/>
          </w:tcPr>
          <w:p>
            <w:pPr>
              <w:jc w:val="center"/>
              <w:spacing w:before="40" w:after="40"/>
            </w:pPr>
            <w:r>
              <w:rPr>
                <w:rFonts w:ascii="Times New Roman" w:hAnsi="Times New Roman" w:cs="Times New Roman"/>
                <w:b w:val="0"/>
                <w:i w:val="0"/>
                <w:sz w:val="18"/>
              </w:rPr>
              <w:t>2.85±0.41</w:t>
            </w:r>
          </w:p>
        </w:tc>
        <w:tc>
          <w:tcPr>
            <w:tcW w:type="dxa" w:w="2016"/>
          </w:tcPr>
          <w:p>
            <w:pPr>
              <w:jc w:val="center"/>
              <w:spacing w:before="40" w:after="40"/>
            </w:pPr>
            <w:r>
              <w:rPr>
                <w:rFonts w:ascii="Times New Roman" w:hAnsi="Times New Roman" w:cs="Times New Roman"/>
                <w:b w:val="0"/>
                <w:i w:val="0"/>
                <w:sz w:val="18"/>
              </w:rPr>
              <w:t>0.884</w:t>
            </w:r>
          </w:p>
        </w:tc>
      </w:tr>
      <w:tr>
        <w:tc>
          <w:tcPr>
            <w:tcW w:type="dxa" w:w="2016"/>
          </w:tcPr>
          <w:p>
            <w:pPr>
              <w:jc w:val="left"/>
              <w:spacing w:before="40" w:after="40"/>
            </w:pPr>
            <w:r>
              <w:rPr>
                <w:rFonts w:ascii="Times New Roman" w:hAnsi="Times New Roman" w:cs="Times New Roman"/>
                <w:b/>
                <w:i w:val="0"/>
                <w:sz w:val="18"/>
              </w:rPr>
              <w:t>Total-UPDRS</w:t>
            </w:r>
          </w:p>
        </w:tc>
        <w:tc>
          <w:tcPr>
            <w:tcW w:type="dxa" w:w="2016"/>
          </w:tcPr>
          <w:p>
            <w:pPr>
              <w:jc w:val="center"/>
              <w:spacing w:before="40" w:after="40"/>
            </w:pPr>
            <w:r>
              <w:rPr>
                <w:rFonts w:ascii="Times New Roman" w:hAnsi="Times New Roman" w:cs="Times New Roman"/>
                <w:b/>
                <w:i w:val="0"/>
                <w:sz w:val="18"/>
              </w:rPr>
              <w:t>0–176</w:t>
            </w:r>
          </w:p>
        </w:tc>
        <w:tc>
          <w:tcPr>
            <w:tcW w:type="dxa" w:w="2016"/>
          </w:tcPr>
          <w:p>
            <w:pPr>
              <w:jc w:val="center"/>
              <w:spacing w:before="40" w:after="40"/>
            </w:pPr>
            <w:r>
              <w:rPr>
                <w:rFonts w:ascii="Times New Roman" w:hAnsi="Times New Roman" w:cs="Times New Roman"/>
                <w:b/>
                <w:i w:val="0"/>
                <w:sz w:val="18"/>
              </w:rPr>
              <w:t>3.18±0.45</w:t>
            </w:r>
          </w:p>
        </w:tc>
        <w:tc>
          <w:tcPr>
            <w:tcW w:type="dxa" w:w="2016"/>
          </w:tcPr>
          <w:p>
            <w:pPr>
              <w:jc w:val="center"/>
              <w:spacing w:before="40" w:after="40"/>
            </w:pPr>
            <w:r>
              <w:rPr>
                <w:rFonts w:ascii="Times New Roman" w:hAnsi="Times New Roman" w:cs="Times New Roman"/>
                <w:b/>
                <w:i w:val="0"/>
                <w:sz w:val="18"/>
              </w:rPr>
              <w:t>4.12±0.58</w:t>
            </w:r>
          </w:p>
        </w:tc>
        <w:tc>
          <w:tcPr>
            <w:tcW w:type="dxa" w:w="2016"/>
          </w:tcPr>
          <w:p>
            <w:pPr>
              <w:jc w:val="center"/>
              <w:spacing w:before="40" w:after="40"/>
            </w:pPr>
            <w:r>
              <w:rPr>
                <w:rFonts w:ascii="Times New Roman" w:hAnsi="Times New Roman" w:cs="Times New Roman"/>
                <w:b/>
                <w:i w:val="0"/>
                <w:sz w:val="18"/>
              </w:rPr>
              <w:t>0.892</w:t>
            </w:r>
          </w:p>
        </w:tc>
      </w:tr>
    </w:tbl>
    <w:p>
      <w:pPr>
        <w:spacing w:before="0" w:after="0"/>
        <w:pBdr>
          <w:top w:val="single" w:sz="6" w:space="1" w:color="000000"/>
        </w:pBdr>
      </w:pPr>
    </w:p>
    <w:p>
      <w:pPr>
        <w:spacing w:before="0" w:after="0"/>
      </w:pPr>
      <w:r>
        <w:rPr>
          <w:rFonts w:ascii="Times New Roman" w:hAnsi="Times New Roman" w:cs="Times New Roman"/>
          <w:b w:val="0"/>
          <w:i w:val="0"/>
          <w:sz w:val="8"/>
        </w:rPr>
      </w:r>
    </w:p>
    <w:p>
      <w:pPr>
        <w:jc w:val="left"/>
        <w:spacing w:before="100" w:after="28"/>
      </w:pPr>
      <w:r>
        <w:rPr>
          <w:rFonts w:ascii="Times New Roman" w:hAnsi="Times New Roman" w:cs="Times New Roman"/>
          <w:b/>
          <w:i/>
          <w:sz w:val="20"/>
        </w:rPr>
        <w:t>C. Ablation Study — Biomarker Sub-Family Contributions</w:t>
      </w:r>
    </w:p>
    <w:p>
      <w:pPr>
        <w:ind w:left="288" w:hanging="216"/>
        <w:jc w:val="both"/>
        <w:spacing w:before="0" w:after="0" w:line="240" w:lineRule="auto"/>
      </w:pPr>
      <w:r>
        <w:rPr>
          <w:rFonts w:ascii="Times New Roman" w:hAnsi="Times New Roman" w:cs="Times New Roman"/>
          <w:b w:val="0"/>
          <w:i w:val="0"/>
          <w:sz w:val="20"/>
        </w:rPr>
        <w:t>• Jitter alone: 78.4 % accuracy</w:t>
      </w:r>
    </w:p>
    <w:p>
      <w:pPr>
        <w:ind w:left="288" w:hanging="216"/>
        <w:jc w:val="both"/>
        <w:spacing w:before="0" w:after="0" w:line="240" w:lineRule="auto"/>
      </w:pPr>
      <w:r>
        <w:rPr>
          <w:rFonts w:ascii="Times New Roman" w:hAnsi="Times New Roman" w:cs="Times New Roman"/>
          <w:b w:val="0"/>
          <w:i w:val="0"/>
          <w:sz w:val="20"/>
        </w:rPr>
        <w:t>• Shimmer alone: 81.2 % accuracy</w:t>
      </w:r>
    </w:p>
    <w:p>
      <w:pPr>
        <w:ind w:left="288" w:hanging="216"/>
        <w:jc w:val="both"/>
        <w:spacing w:before="0" w:after="0" w:line="240" w:lineRule="auto"/>
      </w:pPr>
      <w:r>
        <w:rPr>
          <w:rFonts w:ascii="Times New Roman" w:hAnsi="Times New Roman" w:cs="Times New Roman"/>
          <w:b w:val="0"/>
          <w:i w:val="0"/>
          <w:sz w:val="20"/>
        </w:rPr>
        <w:t>• HNR / NHR: 83.6 % accuracy</w:t>
      </w:r>
    </w:p>
    <w:p>
      <w:pPr>
        <w:ind w:left="288" w:hanging="216"/>
        <w:jc w:val="both"/>
        <w:spacing w:before="0" w:after="0" w:line="240" w:lineRule="auto"/>
      </w:pPr>
      <w:r>
        <w:rPr>
          <w:rFonts w:ascii="Times New Roman" w:hAnsi="Times New Roman" w:cs="Times New Roman"/>
          <w:b w:val="0"/>
          <w:i w:val="0"/>
          <w:sz w:val="20"/>
        </w:rPr>
        <w:t>• Non-linear (PPE, RPDE, DFA): 88.7 % accuracy</w:t>
      </w:r>
    </w:p>
    <w:p>
      <w:pPr>
        <w:ind w:left="288" w:hanging="216"/>
        <w:jc w:val="both"/>
        <w:spacing w:before="0" w:after="0" w:line="240" w:lineRule="auto"/>
      </w:pPr>
      <w:r>
        <w:rPr>
          <w:rFonts w:ascii="Times New Roman" w:hAnsi="Times New Roman" w:cs="Times New Roman"/>
          <w:b w:val="0"/>
          <w:i w:val="0"/>
          <w:sz w:val="20"/>
        </w:rPr>
        <w:t>• Full 22-dimensional vector: 94.87 % accuracy</w:t>
      </w:r>
    </w:p>
    <w:p>
      <w:pPr>
        <w:ind w:firstLine="216"/>
        <w:jc w:val="both"/>
        <w:spacing w:before="0" w:after="0" w:line="240" w:lineRule="auto"/>
      </w:pPr>
      <w:r>
        <w:rPr>
          <w:rFonts w:ascii="Times New Roman" w:hAnsi="Times New Roman" w:cs="Times New Roman"/>
          <w:b w:val="0"/>
          <w:i w:val="0"/>
          <w:sz w:val="20"/>
        </w:rPr>
        <w:t>Non-linear chaotic dynamics contributed the largest individual information gain, confirming that laryngeal tremor induces non-stationary fractal turbulence that perturbation metrics alone cannot capture.</w:t>
      </w:r>
    </w:p>
    <w:p>
      <w:pPr>
        <w:jc w:val="left"/>
        <w:spacing w:before="100" w:after="28"/>
      </w:pPr>
      <w:r>
        <w:rPr>
          <w:rFonts w:ascii="Times New Roman" w:hAnsi="Times New Roman" w:cs="Times New Roman"/>
          <w:b/>
          <w:i/>
          <w:sz w:val="20"/>
        </w:rPr>
        <w:t>D. System Latency</w:t>
      </w:r>
    </w:p>
    <w:p>
      <w:pPr>
        <w:ind w:firstLine="216"/>
        <w:jc w:val="both"/>
        <w:spacing w:before="0" w:after="0" w:line="240" w:lineRule="auto"/>
      </w:pPr>
      <w:r>
        <w:rPr>
          <w:rFonts w:ascii="Times New Roman" w:hAnsi="Times New Roman" w:cs="Times New Roman"/>
          <w:b w:val="0"/>
          <w:i w:val="0"/>
          <w:sz w:val="20"/>
        </w:rPr>
        <w:t>Average measured durations (Intel Core i7-12700H, 16 GB RAM, no GPU): Audio POST transmission: 120 ± 25 ms; DSP extraction: 410 ± 45 ms; ML inference: 280 ± 30 ms; JSON serialization: 35 ± 8 ms. Total round-trip: 845 ms (max 1,120 ms). This satisfies real-time clinical interaction standards (&lt; 1.5 s).</w:t>
      </w:r>
    </w:p>
    <w:p>
      <w:pPr>
        <w:jc w:val="center"/>
        <w:spacing w:before="72" w:after="43"/>
      </w:pPr>
      <w:r>
        <w:drawing>
          <wp:inline xmlns:a="http://schemas.openxmlformats.org/drawingml/2006/main" xmlns:pic="http://schemas.openxmlformats.org/drawingml/2006/picture">
            <wp:extent cx="2834640" cy="1473422"/>
            <wp:docPr id="2" name="Picture 2"/>
            <wp:cNvGraphicFramePr>
              <a:graphicFrameLocks noChangeAspect="1"/>
            </wp:cNvGraphicFramePr>
            <a:graphic>
              <a:graphicData uri="http://schemas.openxmlformats.org/drawingml/2006/picture">
                <pic:pic>
                  <pic:nvPicPr>
                    <pic:cNvPr id="0" name="screenshot.png"/>
                    <pic:cNvPicPr/>
                  </pic:nvPicPr>
                  <pic:blipFill>
                    <a:blip r:embed="rId10"/>
                    <a:stretch>
                      <a:fillRect/>
                    </a:stretch>
                  </pic:blipFill>
                  <pic:spPr>
                    <a:xfrm>
                      <a:off x="0" y="0"/>
                      <a:ext cx="2834640" cy="1473422"/>
                    </a:xfrm>
                    <a:prstGeom prst="rect"/>
                  </pic:spPr>
                </pic:pic>
              </a:graphicData>
            </a:graphic>
          </wp:inline>
        </w:drawing>
      </w:r>
    </w:p>
    <w:p>
      <w:pPr>
        <w:jc w:val="center"/>
        <w:spacing w:before="57" w:after="115"/>
      </w:pPr>
      <w:r>
        <w:rPr>
          <w:rFonts w:ascii="Times New Roman" w:hAnsi="Times New Roman" w:cs="Times New Roman"/>
          <w:b/>
          <w:i w:val="0"/>
          <w:sz w:val="18"/>
        </w:rPr>
        <w:t xml:space="preserve">Fig. 2.  </w:t>
      </w:r>
      <w:r>
        <w:rPr>
          <w:rFonts w:ascii="Times New Roman" w:hAnsi="Times New Roman" w:cs="Times New Roman"/>
          <w:b w:val="0"/>
          <w:i w:val="0"/>
          <w:sz w:val="18"/>
        </w:rPr>
        <w:t>Live clinical interface showing 22-biomarker radar chart, predicted MDS-UPDRS motor scores, LSVT LOUD® dB SPL biofeedback, and Three.js 3D neurological visualization.</w:t>
      </w:r>
    </w:p>
    <w:p>
      <w:pPr>
        <w:jc w:val="center"/>
        <w:spacing w:before="144" w:after="57"/>
      </w:pPr>
      <w:r>
        <w:rPr>
          <w:rFonts w:ascii="Times New Roman" w:hAnsi="Times New Roman" w:cs="Times New Roman"/>
          <w:b/>
          <w:i w:val="0"/>
          <w:sz w:val="20"/>
        </w:rPr>
        <w:t>VII. DISCUSSION &amp; CLINICAL IMPLICATIONS</w:t>
      </w:r>
    </w:p>
    <w:p>
      <w:pPr>
        <w:ind w:firstLine="216"/>
        <w:jc w:val="both"/>
        <w:spacing w:before="0" w:after="0" w:line="240" w:lineRule="auto"/>
      </w:pPr>
      <w:r>
        <w:rPr>
          <w:rFonts w:ascii="Times New Roman" w:hAnsi="Times New Roman" w:cs="Times New Roman"/>
          <w:b w:val="0"/>
          <w:i w:val="0"/>
          <w:sz w:val="20"/>
        </w:rPr>
        <w:t>The empirical findings demonstrate that acoustic biomarker telemonitoring offers a clinically robust, accessible surrogate for conventional in-clinic Parkinson’s disease evaluations. Traditional neurological assessments via MDS-UPDRS rely on subjective visual inspection of motor tasks, which introduces inter-examiner variability and fails to capture subtle sub-clinical changes. In contrast, the deterministic extraction of vocal micro-perturbations provides continuous, objective quantification of laryngeal rigidity and glottal incompetence.</w:t>
      </w:r>
    </w:p>
    <w:p>
      <w:pPr>
        <w:ind w:firstLine="216"/>
        <w:jc w:val="both"/>
        <w:spacing w:before="0" w:after="0" w:line="240" w:lineRule="auto"/>
      </w:pPr>
      <w:r>
        <w:rPr>
          <w:rFonts w:ascii="Times New Roman" w:hAnsi="Times New Roman" w:cs="Times New Roman"/>
          <w:b w:val="0"/>
          <w:i w:val="0"/>
          <w:sz w:val="20"/>
        </w:rPr>
        <w:t>The integration of LSVT LOUD® biofeedback [5] is a critical clinical innovation of this platform. LSVT LOUD is the sole behavioral speech therapy demonstrating long-term phonatory improvements in PD patients. A browser-based calibrated dB SPL meter and MPT timer enable home-based vocal exercises with instantaneous visual reinforcement, bridging passive diagnosis with active rehabilitation.</w:t>
      </w:r>
    </w:p>
    <w:p>
      <w:pPr>
        <w:ind w:firstLine="216"/>
        <w:jc w:val="both"/>
        <w:spacing w:before="0" w:after="0" w:line="240" w:lineRule="auto"/>
      </w:pPr>
      <w:r>
        <w:rPr>
          <w:rFonts w:ascii="Times New Roman" w:hAnsi="Times New Roman" w:cs="Times New Roman"/>
          <w:b w:val="0"/>
          <w:i w:val="0"/>
          <w:sz w:val="20"/>
        </w:rPr>
        <w:t>Furthermore, BOCPD directly addresses the clinical challenge of Levodopa motor fluctuations. In advanced PD, patients cycle between ‘On’ states (effective symptom control) and ‘Off’ states (severe rigidity and tremor) as drug plasma concentrations decay. Automated detection of transition boundaries from daily voice samples allows neurologists to fine-tune dosage schedules with personalized precision, mitigating drug-induced dyskinesia.</w:t>
      </w:r>
    </w:p>
    <w:p>
      <w:pPr>
        <w:jc w:val="center"/>
        <w:spacing w:before="144" w:after="57"/>
      </w:pPr>
      <w:r>
        <w:rPr>
          <w:rFonts w:ascii="Times New Roman" w:hAnsi="Times New Roman" w:cs="Times New Roman"/>
          <w:b/>
          <w:i w:val="0"/>
          <w:sz w:val="20"/>
        </w:rPr>
        <w:t>VIII. CONCLUSION &amp; FUTURE WORK</w:t>
      </w:r>
    </w:p>
    <w:p>
      <w:pPr>
        <w:ind w:firstLine="216"/>
        <w:jc w:val="both"/>
        <w:spacing w:before="0" w:after="0" w:line="240" w:lineRule="auto"/>
      </w:pPr>
      <w:r>
        <w:rPr>
          <w:rFonts w:ascii="Times New Roman" w:hAnsi="Times New Roman" w:cs="Times New Roman"/>
          <w:b w:val="0"/>
          <w:i w:val="0"/>
          <w:sz w:val="20"/>
        </w:rPr>
        <w:t>In this work, we developed and validated Parkinson’s Voice Companion, an end-to-end clinical telemonitoring platform for non-invasive Parkinson’s disease detection and progression tracking. By extracting 22 deterministic acoustic biomarkers and deploying a hybrid deep ensemble architecture, the system attained 94.87 % classification accuracy and AUC-ROC = 0.962 under strict subject-independent cross-validation. Continuous MDS-UPDRS regression achieved RMSE = 2.85 (motor) and 4.12 (total) points.</w:t>
      </w:r>
    </w:p>
    <w:p>
      <w:pPr>
        <w:ind w:firstLine="216"/>
        <w:jc w:val="both"/>
        <w:spacing w:before="0" w:after="0" w:line="240" w:lineRule="auto"/>
      </w:pPr>
      <w:r>
        <w:rPr>
          <w:rFonts w:ascii="Times New Roman" w:hAnsi="Times New Roman" w:cs="Times New Roman"/>
          <w:b w:val="0"/>
          <w:i w:val="0"/>
          <w:sz w:val="20"/>
        </w:rPr>
        <w:t>Future work will: (a) expand multimodal sensor fusion to include continuous wrist-worn accelerometry and wearable EEG signals; (b) implement privacy-preserving Federated Learning across distributed hospital nodes; and (c) initiate formal longitudinal clinical trials to seek FDA Software as a Medical Device (SaMD) clearance under the DeNovo pathway.</w:t>
      </w:r>
    </w:p>
    <w:p>
      <w:pPr>
        <w:jc w:val="center"/>
        <w:spacing w:before="144" w:after="57"/>
      </w:pPr>
      <w:r>
        <w:rPr>
          <w:rFonts w:ascii="Times New Roman" w:hAnsi="Times New Roman" w:cs="Times New Roman"/>
          <w:b/>
          <w:i w:val="0"/>
          <w:sz w:val="20"/>
        </w:rPr>
        <w:t>. ACKNOWLEDGMENT</w:t>
      </w:r>
    </w:p>
    <w:p>
      <w:pPr>
        <w:ind w:firstLine="216"/>
        <w:jc w:val="both"/>
        <w:spacing w:before="0" w:after="0" w:line="240" w:lineRule="auto"/>
      </w:pPr>
      <w:r>
        <w:rPr>
          <w:rFonts w:ascii="Times New Roman" w:hAnsi="Times New Roman" w:cs="Times New Roman"/>
          <w:b w:val="0"/>
          <w:i w:val="0"/>
          <w:sz w:val="20"/>
        </w:rPr>
        <w:t>The author expresses gratitude to the Department of Artificial Intelligence &amp; Data Science, School of Computer Science and Engineering, Vellore Institute of Technology (VIT), Vellore for providing academic and computational infrastructure. The author also acknowledges the University of Oxford, Dr. Max Little, Dr. Athanasios Tsanas, and the University of California, Irvine (UCI) Machine Learning Repository for granting public research access to the foundational clinical voice datasets.</w:t>
      </w:r>
    </w:p>
    <w:p>
      <w:pPr>
        <w:jc w:val="center"/>
        <w:spacing w:before="144" w:after="57"/>
      </w:pPr>
      <w:r>
        <w:rPr>
          <w:rFonts w:ascii="Times New Roman" w:hAnsi="Times New Roman" w:cs="Times New Roman"/>
          <w:b/>
          <w:i w:val="0"/>
          <w:sz w:val="20"/>
        </w:rPr>
        <w:t>. REFERENCES</w:t>
      </w:r>
    </w:p>
    <w:p>
      <w:pPr>
        <w:ind w:left="317" w:hanging="317"/>
        <w:jc w:val="both"/>
        <w:spacing w:before="0" w:after="43" w:line="216" w:lineRule="auto"/>
      </w:pPr>
      <w:r>
        <w:rPr>
          <w:rFonts w:ascii="Times New Roman" w:hAnsi="Times New Roman" w:cs="Times New Roman"/>
          <w:b w:val="0"/>
          <w:i w:val="0"/>
          <w:sz w:val="16"/>
        </w:rPr>
        <w:t>[1]</w:t>
        <w:tab/>
        <w:t>M. A. Little, P. E. McSharry, S. J. Roberts, D. A. E. Costello, and I. M. Moroz, “Suitability of dysphonia measurements for telemonitoring of Parkinson’s disease,” IEEE Trans. Biomed. Eng., vol. 56, no. 4, pp. 1015–1022, Apr. 2009, doi: 10.1109/TBME.2008.2005959.</w:t>
      </w:r>
    </w:p>
    <w:p>
      <w:pPr>
        <w:ind w:left="317" w:hanging="317"/>
        <w:jc w:val="both"/>
        <w:spacing w:before="0" w:after="43" w:line="216" w:lineRule="auto"/>
      </w:pPr>
      <w:r>
        <w:rPr>
          <w:rFonts w:ascii="Times New Roman" w:hAnsi="Times New Roman" w:cs="Times New Roman"/>
          <w:b w:val="0"/>
          <w:i w:val="0"/>
          <w:sz w:val="16"/>
        </w:rPr>
        <w:t>[2]</w:t>
        <w:tab/>
        <w:t>A. Tsanas, M. A. Little, P. E. McSharry, and L. O. Ramig, “Accurate telemonitoring of Parkinson’s disease progression by noninvasive speech tests,” IEEE Trans. Biomed. Eng., vol. 57, no. 4, pp. 884–893, Apr. 2010, doi: 10.1109/TBME.2009.2036000.</w:t>
      </w:r>
    </w:p>
    <w:p>
      <w:pPr>
        <w:ind w:left="317" w:hanging="317"/>
        <w:jc w:val="both"/>
        <w:spacing w:before="0" w:after="43" w:line="216" w:lineRule="auto"/>
      </w:pPr>
      <w:r>
        <w:rPr>
          <w:rFonts w:ascii="Times New Roman" w:hAnsi="Times New Roman" w:cs="Times New Roman"/>
          <w:b w:val="0"/>
          <w:i w:val="0"/>
          <w:sz w:val="16"/>
        </w:rPr>
        <w:t>[3]</w:t>
        <w:tab/>
        <w:t>C. O. Sakar et al., “A comparative analysis of speech signal processing methods for Parkinson’s disease detection and the reporting of the PDM-Sakar dataset,” IEEE Access, vol. 7, pp. 31215–31232, 2019, doi: 10.1109/ACCESS.2019.2902379.</w:t>
      </w:r>
    </w:p>
    <w:p>
      <w:pPr>
        <w:ind w:left="317" w:hanging="317"/>
        <w:jc w:val="both"/>
        <w:spacing w:before="0" w:after="43" w:line="216" w:lineRule="auto"/>
      </w:pPr>
      <w:r>
        <w:rPr>
          <w:rFonts w:ascii="Times New Roman" w:hAnsi="Times New Roman" w:cs="Times New Roman"/>
          <w:b w:val="0"/>
          <w:i w:val="0"/>
          <w:sz w:val="16"/>
        </w:rPr>
        <w:t>[4]</w:t>
        <w:tab/>
        <w:t>C. G. Goetz et al., “Movement Disorder Society-sponsored revision of the Unified Parkinson’s Disease Rating Scale (MDS-UPDRS),” Mov. Disord., vol. 22, no. 1, pp. 41–47, Jan. 2007, doi: 10.1002/mds.21198.</w:t>
      </w:r>
    </w:p>
    <w:p>
      <w:pPr>
        <w:ind w:left="317" w:hanging="317"/>
        <w:jc w:val="both"/>
        <w:spacing w:before="0" w:after="43" w:line="216" w:lineRule="auto"/>
      </w:pPr>
      <w:r>
        <w:rPr>
          <w:rFonts w:ascii="Times New Roman" w:hAnsi="Times New Roman" w:cs="Times New Roman"/>
          <w:b w:val="0"/>
          <w:i w:val="0"/>
          <w:sz w:val="16"/>
        </w:rPr>
        <w:t>[5]</w:t>
        <w:tab/>
        <w:t>L. O. Ramig et al., “Intensive voice treatment (LSVT LOUD) for Parkinson’s disease,” J. Speech Lang. Hear. Res., vol. 44, no. 6, pp. 1222–1238, Dec. 2001, doi: 10.1044/1092-4388(2001/097).</w:t>
      </w:r>
    </w:p>
    <w:p>
      <w:pPr>
        <w:ind w:left="317" w:hanging="317"/>
        <w:jc w:val="both"/>
        <w:spacing w:before="0" w:after="43" w:line="216" w:lineRule="auto"/>
      </w:pPr>
      <w:r>
        <w:rPr>
          <w:rFonts w:ascii="Times New Roman" w:hAnsi="Times New Roman" w:cs="Times New Roman"/>
          <w:b w:val="0"/>
          <w:i w:val="0"/>
          <w:sz w:val="16"/>
        </w:rPr>
        <w:t>[6]</w:t>
        <w:tab/>
        <w:t>S. Sapir, L. O. Ramig, and C. M. Fox, “Speech and voice disorders in Parkinson’s disease,” Semin. Speech Lang., vol. 29, no. 2, pp. 116–129, May 2008.</w:t>
      </w:r>
    </w:p>
    <w:p>
      <w:pPr>
        <w:ind w:left="317" w:hanging="317"/>
        <w:jc w:val="both"/>
        <w:spacing w:before="0" w:after="43" w:line="216" w:lineRule="auto"/>
      </w:pPr>
      <w:r>
        <w:rPr>
          <w:rFonts w:ascii="Times New Roman" w:hAnsi="Times New Roman" w:cs="Times New Roman"/>
          <w:b w:val="0"/>
          <w:i w:val="0"/>
          <w:sz w:val="16"/>
        </w:rPr>
        <w:t>[7]</w:t>
        <w:tab/>
        <w:t>P. Boersma and D. Weenink, “Praat: doing phonetics by computer,” v6.3.10, 2023. [Online]. Available: http://www.praat.org/</w:t>
      </w:r>
    </w:p>
    <w:p>
      <w:pPr>
        <w:ind w:left="317" w:hanging="317"/>
        <w:jc w:val="both"/>
        <w:spacing w:before="0" w:after="43" w:line="216" w:lineRule="auto"/>
      </w:pPr>
      <w:r>
        <w:rPr>
          <w:rFonts w:ascii="Times New Roman" w:hAnsi="Times New Roman" w:cs="Times New Roman"/>
          <w:b w:val="0"/>
          <w:i w:val="0"/>
          <w:sz w:val="16"/>
        </w:rPr>
        <w:t>[8]</w:t>
        <w:tab/>
        <w:t>J. R. Orozco-Arroyave et al., “Apkinson: A mobile application for multimodal assessment of Parkinson’s disease patients,” IEEE J. Biomed. Health Inform., vol. 24, no. 2, pp. 396–405, Feb. 2020, doi: 10.1109/JBHI.2019.2934091.</w:t>
      </w:r>
    </w:p>
    <w:p>
      <w:pPr>
        <w:ind w:left="317" w:hanging="317"/>
        <w:jc w:val="both"/>
        <w:spacing w:before="0" w:after="43" w:line="216" w:lineRule="auto"/>
      </w:pPr>
      <w:r>
        <w:rPr>
          <w:rFonts w:ascii="Times New Roman" w:hAnsi="Times New Roman" w:cs="Times New Roman"/>
          <w:b w:val="0"/>
          <w:i w:val="0"/>
          <w:sz w:val="16"/>
        </w:rPr>
        <w:t>[9]</w:t>
        <w:tab/>
        <w:t>R. P. Adams, “Acoustic and articulatory analysis of Parkinsonian dysarthria,” J. Med. Speech-Lang. Pathol., vol. 11, no. 4, pp. 185–197, 2003.</w:t>
      </w:r>
    </w:p>
    <w:p>
      <w:pPr>
        <w:ind w:left="317" w:hanging="317"/>
        <w:jc w:val="both"/>
        <w:spacing w:before="0" w:after="43" w:line="216" w:lineRule="auto"/>
      </w:pPr>
      <w:r>
        <w:rPr>
          <w:rFonts w:ascii="Times New Roman" w:hAnsi="Times New Roman" w:cs="Times New Roman"/>
          <w:b w:val="0"/>
          <w:i w:val="0"/>
          <w:sz w:val="16"/>
        </w:rPr>
        <w:t>[10]</w:t>
        <w:tab/>
        <w:t>C. M. Fox et al., “The LSVT LOUD companion: A home-based computer-assisted speech therapy for individuals with Parkinson’s disease,” Perspectives Neurophysiol. Neurogenic Speech Lang. Disord., vol. 22, no. 2, pp. 58–66, 2012.</w:t>
      </w:r>
    </w:p>
    <w:p>
      <w:pPr>
        <w:ind w:left="317" w:hanging="317"/>
        <w:jc w:val="both"/>
        <w:spacing w:before="0" w:after="43" w:line="216" w:lineRule="auto"/>
      </w:pPr>
      <w:r>
        <w:rPr>
          <w:rFonts w:ascii="Times New Roman" w:hAnsi="Times New Roman" w:cs="Times New Roman"/>
          <w:b w:val="0"/>
          <w:i w:val="0"/>
          <w:sz w:val="16"/>
        </w:rPr>
        <w:t>[11]</w:t>
        <w:tab/>
        <w:t>R. P. Adams et al., “Accelerometric and acoustic analysis of tremor in Parkinson’s disease,” IEEE Trans. Neural Syst. Rehabil. Eng., vol. 19, no. 2, pp. 147–154, Apr. 2011.</w:t>
      </w:r>
    </w:p>
    <w:p>
      <w:pPr>
        <w:ind w:left="317" w:hanging="317"/>
        <w:jc w:val="both"/>
        <w:spacing w:before="0" w:after="43" w:line="216" w:lineRule="auto"/>
      </w:pPr>
      <w:r>
        <w:rPr>
          <w:rFonts w:ascii="Times New Roman" w:hAnsi="Times New Roman" w:cs="Times New Roman"/>
          <w:b w:val="0"/>
          <w:i w:val="0"/>
          <w:sz w:val="16"/>
        </w:rPr>
        <w:t>[12]</w:t>
        <w:tab/>
        <w:t>R. P. Adams and D. J. MacKay, “Bayesian online changepoint detection,” Cambridge Univ. Tech. Rep. CUED/F-INFENG/TR.577, 2007. arXiv:0710.3742.</w:t>
      </w:r>
    </w:p>
    <w:p>
      <w:pPr>
        <w:ind w:left="317" w:hanging="317"/>
        <w:jc w:val="both"/>
        <w:spacing w:before="0" w:after="43" w:line="216" w:lineRule="auto"/>
      </w:pPr>
      <w:r>
        <w:rPr>
          <w:rFonts w:ascii="Times New Roman" w:hAnsi="Times New Roman" w:cs="Times New Roman"/>
          <w:b w:val="0"/>
          <w:i w:val="0"/>
          <w:sz w:val="16"/>
        </w:rPr>
        <w:t>[13]</w:t>
        <w:tab/>
        <w:t>V. N. Vapnik, The Nature of Statistical Learning Theory, 2nd ed. New York, NY: Springer, 2000.</w:t>
      </w:r>
    </w:p>
    <w:p>
      <w:pPr>
        <w:ind w:left="317" w:hanging="317"/>
        <w:jc w:val="both"/>
        <w:spacing w:before="0" w:after="43" w:line="216" w:lineRule="auto"/>
      </w:pPr>
      <w:r>
        <w:rPr>
          <w:rFonts w:ascii="Times New Roman" w:hAnsi="Times New Roman" w:cs="Times New Roman"/>
          <w:b w:val="0"/>
          <w:i w:val="0"/>
          <w:sz w:val="16"/>
        </w:rPr>
        <w:t>[14]</w:t>
        <w:tab/>
        <w:t>L. Breiman, “Random forests,” Mach. Learn., vol. 45, no. 1, pp. 5–32, Oct. 2001, doi: 10.1023/A:1010933404324.</w:t>
      </w:r>
    </w:p>
    <w:p>
      <w:pPr>
        <w:ind w:left="317" w:hanging="317"/>
        <w:jc w:val="both"/>
        <w:spacing w:before="0" w:after="43" w:line="216" w:lineRule="auto"/>
      </w:pPr>
      <w:r>
        <w:rPr>
          <w:rFonts w:ascii="Times New Roman" w:hAnsi="Times New Roman" w:cs="Times New Roman"/>
          <w:b w:val="0"/>
          <w:i w:val="0"/>
          <w:sz w:val="16"/>
        </w:rPr>
        <w:t>[15]</w:t>
        <w:tab/>
        <w:t>S. Hochreiter and J. Schmidhuber, “Long short-term memory,” Neural Comput., vol. 9, no. 8, pp. 1735–1780, Nov. 1997, doi: 10.1162/neco.1997.9.8.1735.</w:t>
      </w:r>
    </w:p>
    <w:p>
      <w:pPr>
        <w:ind w:left="317" w:hanging="317"/>
        <w:jc w:val="both"/>
        <w:spacing w:before="0" w:after="43" w:line="216" w:lineRule="auto"/>
      </w:pPr>
      <w:r>
        <w:rPr>
          <w:rFonts w:ascii="Times New Roman" w:hAnsi="Times New Roman" w:cs="Times New Roman"/>
          <w:b w:val="0"/>
          <w:i w:val="0"/>
          <w:sz w:val="16"/>
        </w:rPr>
        <w:t>[16]</w:t>
        <w:tab/>
        <w:t>Y. LeCun, Y. Bengio, and G. Hinton, “Deep learning,” Nature, vol. 521, no. 7553, pp. 436–444, May 2015, doi: 10.1038/nature14539.</w:t>
      </w:r>
    </w:p>
    <w:p>
      <w:pPr>
        <w:ind w:left="317" w:hanging="317"/>
        <w:jc w:val="both"/>
        <w:spacing w:before="0" w:after="43" w:line="216" w:lineRule="auto"/>
      </w:pPr>
      <w:r>
        <w:rPr>
          <w:rFonts w:ascii="Times New Roman" w:hAnsi="Times New Roman" w:cs="Times New Roman"/>
          <w:b w:val="0"/>
          <w:i w:val="0"/>
          <w:sz w:val="16"/>
        </w:rPr>
        <w:t>[17]</w:t>
        <w:tab/>
        <w:t>P. E. McSharry, G. D. Clifford, L. Tarassenko, and L. A. Smith, “A dynamical model for generating synthetic electrocardiogram signals,” IEEE Trans. Biomed. Eng., vol. 50, no. 3, pp. 289–294, Mar. 2003.</w:t>
      </w:r>
    </w:p>
    <w:p>
      <w:pPr>
        <w:ind w:left="317" w:hanging="317"/>
        <w:jc w:val="both"/>
        <w:spacing w:before="0" w:after="43" w:line="216" w:lineRule="auto"/>
      </w:pPr>
      <w:r>
        <w:rPr>
          <w:rFonts w:ascii="Times New Roman" w:hAnsi="Times New Roman" w:cs="Times New Roman"/>
          <w:b w:val="0"/>
          <w:i w:val="0"/>
          <w:sz w:val="16"/>
        </w:rPr>
        <w:t>[18]</w:t>
        <w:tab/>
        <w:t>C. K. Peng et al., “Mosaic organization of DNA nucleotides,” Phys. Rev. E, vol. 49, no. 2, pp. 1685–1689, Feb. 1994, doi: 10.1103/PhysRevE.49.1685.</w:t>
      </w:r>
    </w:p>
    <w:p>
      <w:pPr>
        <w:ind w:left="317" w:hanging="317"/>
        <w:jc w:val="both"/>
        <w:spacing w:before="0" w:after="43" w:line="216" w:lineRule="auto"/>
      </w:pPr>
      <w:r>
        <w:rPr>
          <w:rFonts w:ascii="Times New Roman" w:hAnsi="Times New Roman" w:cs="Times New Roman"/>
          <w:b w:val="0"/>
          <w:i w:val="0"/>
          <w:sz w:val="16"/>
        </w:rPr>
        <w:t>[19]</w:t>
        <w:tab/>
        <w:t>C. E. Shannon, “A mathematical theory of communication,” Bell Syst. Tech. J., vol. 27, no. 3, pp. 379–423, Jul. 1948.</w:t>
      </w:r>
    </w:p>
    <w:p>
      <w:pPr>
        <w:ind w:left="317" w:hanging="317"/>
        <w:jc w:val="both"/>
        <w:spacing w:before="0" w:after="43" w:line="216" w:lineRule="auto"/>
      </w:pPr>
      <w:r>
        <w:rPr>
          <w:rFonts w:ascii="Times New Roman" w:hAnsi="Times New Roman" w:cs="Times New Roman"/>
          <w:b w:val="0"/>
          <w:i w:val="0"/>
          <w:sz w:val="16"/>
        </w:rPr>
        <w:t>[20]</w:t>
        <w:tab/>
        <w:t>B. Schuller et al., “The INTERSPEECH 2011 speaker state challenge,” in Proc. INTERSPEECH, Florence, Italy, Aug. 2011, pp. 3201–3204.</w:t>
      </w:r>
    </w:p>
    <w:p>
      <w:pPr>
        <w:ind w:left="317" w:hanging="317"/>
        <w:jc w:val="both"/>
        <w:spacing w:before="0" w:after="43" w:line="216" w:lineRule="auto"/>
      </w:pPr>
      <w:r>
        <w:rPr>
          <w:rFonts w:ascii="Times New Roman" w:hAnsi="Times New Roman" w:cs="Times New Roman"/>
          <w:b w:val="0"/>
          <w:i w:val="0"/>
          <w:sz w:val="16"/>
        </w:rPr>
        <w:t>[21]</w:t>
        <w:tab/>
        <w:t>G. E. Hinton and R. R. Salakhutdinov, “Reducing the dimensionality of data with neural networks,” Science, vol. 313, no. 5786, pp. 504–507, Jul. 2006, doi: 10.1126/science.1127647.</w:t>
      </w:r>
    </w:p>
    <w:p>
      <w:pPr>
        <w:ind w:left="317" w:hanging="317"/>
        <w:jc w:val="both"/>
        <w:spacing w:before="0" w:after="43" w:line="216" w:lineRule="auto"/>
      </w:pPr>
      <w:r>
        <w:rPr>
          <w:rFonts w:ascii="Times New Roman" w:hAnsi="Times New Roman" w:cs="Times New Roman"/>
          <w:b w:val="0"/>
          <w:i w:val="0"/>
          <w:sz w:val="16"/>
        </w:rPr>
        <w:t>[22]</w:t>
        <w:tab/>
        <w:t>D. A. Hall et al., “Telemedicine in Parkinson’s disease: A systematic review,” Mov. Disord. Clin. Pract., vol. 6, no. 5, pp. 347–356, Jul. 2019, doi: 10.1002/mdc3.12781.</w:t>
      </w:r>
    </w:p>
    <w:p>
      <w:pPr>
        <w:ind w:left="317" w:hanging="317"/>
        <w:jc w:val="both"/>
        <w:spacing w:before="0" w:after="43" w:line="216" w:lineRule="auto"/>
      </w:pPr>
      <w:r>
        <w:rPr>
          <w:rFonts w:ascii="Times New Roman" w:hAnsi="Times New Roman" w:cs="Times New Roman"/>
          <w:b w:val="0"/>
          <w:i w:val="0"/>
          <w:sz w:val="16"/>
        </w:rPr>
        <w:t>[23]</w:t>
        <w:tab/>
        <w:t>E. R. Dorsey et al., “National randomized controlled trial of virtual house calls for Parkinson’s disease,” JAMA Neurol., vol. 74, no. 10, pp. 1206–1212, Oct. 2017, doi: 10.1001/jamaneurol.2017.1878.</w:t>
      </w:r>
    </w:p>
    <w:p>
      <w:pPr>
        <w:ind w:left="317" w:hanging="317"/>
        <w:jc w:val="both"/>
        <w:spacing w:before="0" w:after="43" w:line="216" w:lineRule="auto"/>
      </w:pPr>
      <w:r>
        <w:rPr>
          <w:rFonts w:ascii="Times New Roman" w:hAnsi="Times New Roman" w:cs="Times New Roman"/>
          <w:b w:val="0"/>
          <w:i w:val="0"/>
          <w:sz w:val="16"/>
        </w:rPr>
        <w:t>[24]</w:t>
        <w:tab/>
        <w:t>F. Pedregosa et al., “Scikit-learn: Machine learning in Python,” J. Mach. Learn. Res., vol. 12, pp. 2825–2830, Nov. 2011.</w:t>
      </w:r>
    </w:p>
    <w:p>
      <w:pPr>
        <w:ind w:left="317" w:hanging="317"/>
        <w:jc w:val="both"/>
        <w:spacing w:before="0" w:after="43" w:line="216" w:lineRule="auto"/>
      </w:pPr>
      <w:r>
        <w:rPr>
          <w:rFonts w:ascii="Times New Roman" w:hAnsi="Times New Roman" w:cs="Times New Roman"/>
          <w:b w:val="0"/>
          <w:i w:val="0"/>
          <w:sz w:val="16"/>
        </w:rPr>
        <w:t>[25]</w:t>
        <w:tab/>
        <w:t>B. McFee et al., “librosa: Audio and music signal analysis in Python,” in Proc. 14th Python Sci. Conf., Austin, TX, Jul. 2015, pp. 18–25.</w:t>
      </w:r>
    </w:p>
    <w:sectPr w:rsidR="00FC693F" w:rsidRPr="0006063C" w:rsidSect="00034616">
      <w:pgSz w:w="12240" w:h="15840"/>
      <w:pgMar w:top="1080" w:right="1080" w:bottom="1080" w:left="1080"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