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9"/>
      </w:pPr>
      <w:r>
        <w:rPr>
          <w:rFonts w:ascii="Times New Roman" w:hAnsi="Times New Roman" w:cs="Times New Roman"/>
          <w:b w:val="0"/>
          <w:i w:val="0"/>
          <w:sz w:val="48"/>
        </w:rPr>
        <w:t>Multimodal Acoustic Biomarker Telemonitoring and Longitudinal Disease Progression Tracking for Parkinson’s Disease Using Deep Ensemble Learning</w:t>
      </w:r>
    </w:p>
    <w:p>
      <w:pPr>
        <w:jc w:val="center"/>
        <w:spacing w:before="0" w:after="100"/>
      </w:pPr>
      <w:r>
        <w:rPr>
          <w:rFonts w:ascii="Times New Roman" w:hAnsi="Times New Roman" w:cs="Times New Roman"/>
          <w:b w:val="0"/>
          <w:i w:val="0"/>
          <w:sz w:val="22"/>
        </w:rPr>
        <w:t>Raaghav Agarwal</w:t>
        <w:br/>
      </w:r>
      <w:r>
        <w:rPr>
          <w:rFonts w:ascii="Times New Roman" w:hAnsi="Times New Roman" w:cs="Times New Roman"/>
          <w:b w:val="0"/>
          <w:i/>
          <w:sz w:val="18"/>
        </w:rPr>
        <w:t>Dept. of Artificial Intelligence &amp; Data Science,  School of Computer Science and Engineering</w:t>
        <w:br/>
        <w:t>Vellore Institute of Technology (VIT), Vellore, India — 632014</w:t>
        <w:br/>
        <w:t>Reg. No.: 24BAI1453   |   raaghav.agarwal2024@vitstudent.ac.in</w:t>
        <w:br/>
        <w:t>https://github.com/RaaghavAgarwal28/parkinsons-voice-companion</w:t>
      </w:r>
    </w:p>
    <w:p>
      <w:pPr>
        <w:spacing w:before="0" w:after="0"/>
      </w:pPr>
      <w:r>
        <w:rPr>
          <w:rFonts w:ascii="Times New Roman" w:hAnsi="Times New Roman" w:cs="Times New Roman"/>
          <w:b w:val="0"/>
          <w:i w:val="0"/>
          <w:sz w:val="8"/>
        </w:rPr>
      </w:r>
    </w:p>
    <w:p>
      <w:pPr>
        <w:spacing w:before="0" w:after="0"/>
        <w:sectPr>
          <w:cols w:num="2" w:space="288" w:equalWidth="1"/>
          <w:pgSz w:w="12240" w:h="15840"/>
          <w:pgMar w:top="1080" w:right="1080" w:bottom="1080" w:left="1080" w:header="709" w:footer="709" w:gutter="0"/>
          <w:type w:val="continuous"/>
        </w:sectPr>
      </w:pPr>
    </w:p>
    <w:p>
      <w:pPr>
        <w:jc w:val="both"/>
        <w:spacing w:before="0" w:after="43" w:line="240" w:lineRule="auto"/>
      </w:pPr>
      <w:r>
        <w:rPr>
          <w:rFonts w:ascii="Times New Roman" w:hAnsi="Times New Roman" w:cs="Times New Roman"/>
          <w:b/>
          <w:i/>
          <w:sz w:val="20"/>
        </w:rPr>
        <w:t>Abstract—</w:t>
      </w:r>
      <w:r>
        <w:rPr>
          <w:rFonts w:ascii="Times New Roman" w:hAnsi="Times New Roman" w:cs="Times New Roman"/>
          <w:b w:val="0"/>
          <w:i/>
          <w:sz w:val="20"/>
        </w:rPr>
        <w:t>Parkinson’s Disease (PD) is an incurable neurodegenerative disorder caused by progressive striatal dopaminergic neuron degradation, resulting in debilitating motor and non-motor symptoms. Emerging clinical evidence indicates that hypokinetic dysarthria and vocal dysphonia manifest in up to 90 % of early-stage PD patients, often years before the clinical diagnosis of cardinal appendicular tremor and bradykinesia. We design, implement, and empirically validate —Parkinson’s Voice Companion— an end-to-end telemonitoring system integrating deterministic DSP, deep representation learning, and longitudinal state tracking. A 22-dimensional acoustic feature vector (Jitter, Shimmer, HNR, NHR, PPE, RPDE, DFA) from sustained phonation (/a/) feeds a hybrid ensemble (RBF-SVM, RF, 1D-CNN-BiLSTM, Autoencoder) achieving 94.87 % accuracy and AUC-ROC = 0.962. MDS-UPDRS motor regression yields RMSE = 2.85 pts. We additionally deploy Bayesian Online Changepoint Detection (BOCPD) for Levodopa tracking, LSVT LOUD® biofeedback, and motor-acoustic fusion. End-to-end latency is under 1.15 s.</w:t>
      </w:r>
    </w:p>
    <w:p>
      <w:pPr>
        <w:jc w:val="both"/>
        <w:spacing w:before="0" w:after="144" w:line="240" w:lineRule="auto"/>
      </w:pPr>
      <w:r>
        <w:rPr>
          <w:rFonts w:ascii="Times New Roman" w:hAnsi="Times New Roman" w:cs="Times New Roman"/>
          <w:b/>
          <w:i/>
          <w:sz w:val="20"/>
        </w:rPr>
        <w:t>Keywords—</w:t>
      </w:r>
      <w:r>
        <w:rPr>
          <w:rFonts w:ascii="Times New Roman" w:hAnsi="Times New Roman" w:cs="Times New Roman"/>
          <w:b w:val="0"/>
          <w:i/>
          <w:sz w:val="20"/>
        </w:rPr>
        <w:t>Parkinson’s Disease, Acoustic Biomarkers, Dysphonia, Non-Linear Dynamics, Ensemble Learning, CNN-BiLSTM, UPDRS Telemonitoring, BOCPD, LSVT LOUD, Telemedicine.</w:t>
      </w:r>
    </w:p>
    <w:p>
      <w:pPr>
        <w:jc w:val="center"/>
        <w:spacing w:before="144" w:after="57"/>
      </w:pPr>
      <w:r>
        <w:rPr>
          <w:rFonts w:ascii="Times New Roman" w:hAnsi="Times New Roman" w:cs="Times New Roman"/>
          <w:b/>
          <w:i w:val="0"/>
          <w:sz w:val="20"/>
        </w:rPr>
        <w:t>I. INTRODUCTION</w:t>
      </w:r>
    </w:p>
    <w:p>
      <w:pPr>
        <w:ind w:firstLine="216"/>
        <w:jc w:val="both"/>
        <w:spacing w:before="0" w:after="0" w:line="240" w:lineRule="auto"/>
      </w:pPr>
      <w:r>
        <w:rPr>
          <w:rFonts w:ascii="Times New Roman" w:hAnsi="Times New Roman" w:cs="Times New Roman"/>
          <w:b w:val="0"/>
          <w:i w:val="0"/>
          <w:sz w:val="20"/>
        </w:rPr>
        <w:t>Parkinson’s Disease (PD) is the second most prevalent neurodegenerative disorder worldwide, affecting over 10 million individuals [1]. Pathologically, PD is characterized by accelerated loss of dopaminergic neurons in the substantia nigra pars compacta and intraneuronal accumulation of misfolded alpha-synuclein aggregates (Lewy bodies) [2], as shown conceptually in Fig. 1. The resulting striatal dopamine depletion impairs basal ganglia-thalamocortical circuitry, giving rise to resting tremor, cogwheel rigidity, akinesia/bradykinesia, and postural instability [3].</w:t>
      </w:r>
    </w:p>
    <w:p>
      <w:pPr>
        <w:jc w:val="center"/>
        <w:spacing w:before="72" w:after="28"/>
      </w:pPr>
      <w:r>
        <w:drawing>
          <wp:inline xmlns:a="http://schemas.openxmlformats.org/drawingml/2006/main" xmlns:pic="http://schemas.openxmlformats.org/drawingml/2006/picture">
            <wp:extent cx="2743200" cy="1425892"/>
            <wp:docPr id="1" name="Picture 1"/>
            <wp:cNvGraphicFramePr>
              <a:graphicFrameLocks noChangeAspect="1"/>
            </wp:cNvGraphicFramePr>
            <a:graphic>
              <a:graphicData uri="http://schemas.openxmlformats.org/drawingml/2006/picture">
                <pic:pic>
                  <pic:nvPicPr>
                    <pic:cNvPr id="0" name="glow_substantia_nigra_1792616628683.png"/>
                    <pic:cNvPicPr/>
                  </pic:nvPicPr>
                  <pic:blipFill>
                    <a:blip r:embed="rId9"/>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1.  </w:t>
      </w:r>
      <w:r>
        <w:rPr>
          <w:rFonts w:ascii="Times New Roman" w:hAnsi="Times New Roman" w:cs="Times New Roman"/>
          <w:b w:val="0"/>
          <w:i w:val="0"/>
          <w:sz w:val="18"/>
        </w:rPr>
        <w:t>Conceptual illustration of substantia nigra dopaminergic neuron degeneration in Parkinson’s Disease. The glow region highlights the area of progressive neuronal loss (Three.js 3D rendering from the developed platform).</w:t>
      </w:r>
    </w:p>
    <w:p>
      <w:pPr>
        <w:ind w:firstLine="216"/>
        <w:jc w:val="both"/>
        <w:spacing w:before="0" w:after="0" w:line="240" w:lineRule="auto"/>
      </w:pPr>
      <w:r>
        <w:rPr>
          <w:rFonts w:ascii="Times New Roman" w:hAnsi="Times New Roman" w:cs="Times New Roman"/>
          <w:b w:val="0"/>
          <w:i w:val="0"/>
          <w:sz w:val="20"/>
        </w:rPr>
        <w:t>Speech impairments—hypokinetic dysarthria—manifest in up to 90 % of PD individuals and often emerge years before visible limb tremors [1], [4]. Phonatory disturbances arise from incomplete vocal fold closure (hypoadduction), laryngeal muscular rigidity, and reduced respiratory drive [5]. Sustained vowel phonation (/a/) isolates laryngeal neuromotor control from linguistic confounders, providing a sensitive, non-invasive acoustic window into neurodegeneration [1].</w:t>
      </w:r>
    </w:p>
    <w:p>
      <w:pPr>
        <w:ind w:firstLine="216"/>
        <w:jc w:val="both"/>
        <w:spacing w:before="0" w:after="0" w:line="240" w:lineRule="auto"/>
      </w:pPr>
      <w:r>
        <w:rPr>
          <w:rFonts w:ascii="Times New Roman" w:hAnsi="Times New Roman" w:cs="Times New Roman"/>
          <w:b w:val="0"/>
          <w:i w:val="0"/>
          <w:sz w:val="20"/>
        </w:rPr>
        <w:t>Despite established clinical utility, monitoring remains tethered to intermittent hospital visits using MDS-UPDRS [4]. This approach suffers from inter-rater subjectivity and inability to detect day-to-day Levodopa-induced On/Off fluctuations [2]. Telemonitoring and acoustic biomarker extraction present an attractive decentralized alternative [1], [8].</w:t>
      </w:r>
    </w:p>
    <w:p>
      <w:pPr>
        <w:ind w:firstLine="216"/>
        <w:jc w:val="both"/>
        <w:spacing w:before="0" w:after="0" w:line="240" w:lineRule="auto"/>
      </w:pPr>
      <w:r>
        <w:rPr>
          <w:rFonts w:ascii="Times New Roman" w:hAnsi="Times New Roman" w:cs="Times New Roman"/>
          <w:b w:val="0"/>
          <w:i w:val="0"/>
          <w:sz w:val="20"/>
        </w:rPr>
        <w:t>Primary contributions of this work:</w:t>
      </w:r>
    </w:p>
    <w:p>
      <w:pPr>
        <w:ind w:left="288" w:hanging="216"/>
        <w:jc w:val="both"/>
        <w:spacing w:before="0" w:after="0" w:line="240" w:lineRule="auto"/>
      </w:pPr>
      <w:r>
        <w:rPr>
          <w:rFonts w:ascii="Times New Roman" w:hAnsi="Times New Roman" w:cs="Times New Roman"/>
          <w:b/>
          <w:i w:val="0"/>
          <w:sz w:val="20"/>
        </w:rPr>
        <w:t xml:space="preserve">• 1: </w:t>
      </w:r>
      <w:r>
        <w:rPr>
          <w:rFonts w:ascii="Times New Roman" w:hAnsi="Times New Roman" w:cs="Times New Roman"/>
          <w:b w:val="0"/>
          <w:i w:val="0"/>
          <w:sz w:val="20"/>
        </w:rPr>
        <w:t>Deterministic DSP extraction of 22 clinical acoustic biomarkers via Praat-Parselmouth</w:t>
      </w:r>
    </w:p>
    <w:p>
      <w:pPr>
        <w:ind w:left="288" w:hanging="216"/>
        <w:jc w:val="both"/>
        <w:spacing w:before="0" w:after="0" w:line="240" w:lineRule="auto"/>
      </w:pPr>
      <w:r>
        <w:rPr>
          <w:rFonts w:ascii="Times New Roman" w:hAnsi="Times New Roman" w:cs="Times New Roman"/>
          <w:b/>
          <w:i w:val="0"/>
          <w:sz w:val="20"/>
        </w:rPr>
        <w:t xml:space="preserve">• 2: </w:t>
      </w:r>
      <w:r>
        <w:rPr>
          <w:rFonts w:ascii="Times New Roman" w:hAnsi="Times New Roman" w:cs="Times New Roman"/>
          <w:b w:val="0"/>
          <w:i w:val="0"/>
          <w:sz w:val="20"/>
        </w:rPr>
        <w:t>Hybrid deep ensemble (RBF-SVM, RF, 1D-CNN-BiLSTM, Autoencoder) achieving 94.87 % accuracy and AUC-ROC = 0.962</w:t>
      </w:r>
    </w:p>
    <w:p>
      <w:pPr>
        <w:ind w:left="288" w:hanging="216"/>
        <w:jc w:val="both"/>
        <w:spacing w:before="0" w:after="0" w:line="240" w:lineRule="auto"/>
      </w:pPr>
      <w:r>
        <w:rPr>
          <w:rFonts w:ascii="Times New Roman" w:hAnsi="Times New Roman" w:cs="Times New Roman"/>
          <w:b/>
          <w:i w:val="0"/>
          <w:sz w:val="20"/>
        </w:rPr>
        <w:t xml:space="preserve">• 3: </w:t>
      </w:r>
      <w:r>
        <w:rPr>
          <w:rFonts w:ascii="Times New Roman" w:hAnsi="Times New Roman" w:cs="Times New Roman"/>
          <w:b w:val="0"/>
          <w:i w:val="0"/>
          <w:sz w:val="20"/>
        </w:rPr>
        <w:t>Continuous MDS-UPDRS motor/total regression + Bayesian Online Changepoint Detection (BOCPD) for Levodopa tracking</w:t>
      </w:r>
    </w:p>
    <w:p>
      <w:pPr>
        <w:ind w:left="288" w:hanging="216"/>
        <w:jc w:val="both"/>
        <w:spacing w:before="0" w:after="0" w:line="240" w:lineRule="auto"/>
      </w:pPr>
      <w:r>
        <w:rPr>
          <w:rFonts w:ascii="Times New Roman" w:hAnsi="Times New Roman" w:cs="Times New Roman"/>
          <w:b/>
          <w:i w:val="0"/>
          <w:sz w:val="20"/>
        </w:rPr>
        <w:t xml:space="preserve">• 4: </w:t>
      </w:r>
      <w:r>
        <w:rPr>
          <w:rFonts w:ascii="Times New Roman" w:hAnsi="Times New Roman" w:cs="Times New Roman"/>
          <w:b w:val="0"/>
          <w:i w:val="0"/>
          <w:sz w:val="20"/>
        </w:rPr>
        <w:t>Browser-based LSVT LOUD® biofeedback with real-time dB SPL metering and MDS-UPDRS 3.4 motor tapping fusion</w:t>
      </w:r>
    </w:p>
    <w:p>
      <w:pPr>
        <w:jc w:val="center"/>
        <w:spacing w:before="144" w:after="57"/>
      </w:pPr>
      <w:r>
        <w:rPr>
          <w:rFonts w:ascii="Times New Roman" w:hAnsi="Times New Roman" w:cs="Times New Roman"/>
          <w:b/>
          <w:i w:val="0"/>
          <w:sz w:val="20"/>
        </w:rPr>
        <w:t>II. RELATED WORK &amp; LITERATURE SURVEY</w:t>
      </w:r>
    </w:p>
    <w:p>
      <w:pPr>
        <w:ind w:firstLine="216"/>
        <w:jc w:val="both"/>
        <w:spacing w:before="0" w:after="0" w:line="240" w:lineRule="auto"/>
      </w:pPr>
      <w:r>
        <w:rPr>
          <w:rFonts w:ascii="Times New Roman" w:hAnsi="Times New Roman" w:cs="Times New Roman"/>
          <w:b w:val="0"/>
          <w:i w:val="0"/>
          <w:sz w:val="20"/>
        </w:rPr>
        <w:t>Acoustic assessment of Parkinsonian speech was pioneered by Little et al. [1], who introduced non-linear dynamical measures—PPE and DFA—achieving 91.4 % accuracy on sustained phonations, demonstrating that classical perturbation metrics alone are inadequate due to turbulent chaotic airflow induced by laryngeal tremor.</w:t>
      </w:r>
    </w:p>
    <w:p>
      <w:pPr>
        <w:ind w:firstLine="216"/>
        <w:jc w:val="both"/>
        <w:spacing w:before="0" w:after="0" w:line="240" w:lineRule="auto"/>
      </w:pPr>
      <w:r>
        <w:rPr>
          <w:rFonts w:ascii="Times New Roman" w:hAnsi="Times New Roman" w:cs="Times New Roman"/>
          <w:b w:val="0"/>
          <w:i w:val="0"/>
          <w:sz w:val="20"/>
        </w:rPr>
        <w:t>Tsanas et al. [2] collected 5,875 recordings from 42 early-stage PD subjects over six months, demonstrating that vocal biomarkers predict UPDRS scores within 10 % of the clinical scale range. Sakar et al. [3] analyzed 252 subjects with MFCCs, wavelets, and vocal fold excitation metrics, revealing that ensemble feature combinations boost diagnostic reliability substantially.</w:t>
      </w:r>
    </w:p>
    <w:p>
      <w:pPr>
        <w:ind w:firstLine="216"/>
        <w:jc w:val="both"/>
        <w:spacing w:before="0" w:after="0" w:line="240" w:lineRule="auto"/>
      </w:pPr>
      <w:r>
        <w:rPr>
          <w:rFonts w:ascii="Times New Roman" w:hAnsi="Times New Roman" w:cs="Times New Roman"/>
          <w:b w:val="0"/>
          <w:i w:val="0"/>
          <w:sz w:val="20"/>
        </w:rPr>
        <w:t>Critical research gaps persist: (a) offline-only deployments without live web inference; (b) no Levodopa-state changepoint detection; (c) absence of integrated LSVT LOUD® biofeedback; (d) no multimodal motor-acoustic fusion. This work addresses all four gaps.</w:t>
      </w:r>
    </w:p>
    <w:p>
      <w:pPr>
        <w:jc w:val="center"/>
        <w:spacing w:before="144" w:after="57"/>
      </w:pPr>
      <w:r>
        <w:rPr>
          <w:rFonts w:ascii="Times New Roman" w:hAnsi="Times New Roman" w:cs="Times New Roman"/>
          <w:b/>
          <w:i w:val="0"/>
          <w:sz w:val="20"/>
        </w:rPr>
        <w:t>III. SYSTEM ARCHITECTURE &amp; ACOUSTIC BIOMARKER FORMULATION</w:t>
      </w:r>
    </w:p>
    <w:p>
      <w:pPr>
        <w:jc w:val="left"/>
        <w:spacing w:before="100" w:after="28"/>
      </w:pPr>
      <w:r>
        <w:rPr>
          <w:rFonts w:ascii="Times New Roman" w:hAnsi="Times New Roman" w:cs="Times New Roman"/>
          <w:b/>
          <w:i/>
          <w:sz w:val="20"/>
        </w:rPr>
        <w:t>A. Five-Phase Processing Pipeline</w:t>
      </w:r>
    </w:p>
    <w:p>
      <w:pPr>
        <w:ind w:firstLine="216"/>
        <w:jc w:val="both"/>
        <w:spacing w:before="0" w:after="0" w:line="240" w:lineRule="auto"/>
      </w:pPr>
      <w:r>
        <w:rPr>
          <w:rFonts w:ascii="Times New Roman" w:hAnsi="Times New Roman" w:cs="Times New Roman"/>
          <w:b w:val="0"/>
          <w:i w:val="0"/>
          <w:sz w:val="20"/>
        </w:rPr>
        <w:t>The Parkinson’s Voice Companion is a decoupled, microservices-based clinical telemonitoring system. Fig. 2 illustrates the complete five-phase pipeline:</w:t>
      </w:r>
    </w:p>
    <w:p>
      <w:pPr>
        <w:jc w:val="center"/>
        <w:spacing w:before="72" w:after="28"/>
      </w:pPr>
      <w:r>
        <w:drawing>
          <wp:inline xmlns:a="http://schemas.openxmlformats.org/drawingml/2006/main" xmlns:pic="http://schemas.openxmlformats.org/drawingml/2006/picture">
            <wp:extent cx="2834640" cy="1582125"/>
            <wp:docPr id="2" name="Picture 2"/>
            <wp:cNvGraphicFramePr>
              <a:graphicFrameLocks noChangeAspect="1"/>
            </wp:cNvGraphicFramePr>
            <a:graphic>
              <a:graphicData uri="http://schemas.openxmlformats.org/drawingml/2006/picture">
                <pic:pic>
                  <pic:nvPicPr>
                    <pic:cNvPr id="0" name="Parkinsons_Architecture_Diagram.jpg"/>
                    <pic:cNvPicPr/>
                  </pic:nvPicPr>
                  <pic:blipFill>
                    <a:blip r:embed="rId10"/>
                    <a:stretch>
                      <a:fillRect/>
                    </a:stretch>
                  </pic:blipFill>
                  <pic:spPr>
                    <a:xfrm>
                      <a:off x="0" y="0"/>
                      <a:ext cx="2834640" cy="1582125"/>
                    </a:xfrm>
                    <a:prstGeom prst="rect"/>
                  </pic:spPr>
                </pic:pic>
              </a:graphicData>
            </a:graphic>
          </wp:inline>
        </w:drawing>
      </w:r>
    </w:p>
    <w:p>
      <w:pPr>
        <w:jc w:val="center"/>
        <w:spacing w:before="0" w:after="100"/>
      </w:pPr>
      <w:r>
        <w:rPr>
          <w:rFonts w:ascii="Times New Roman" w:hAnsi="Times New Roman" w:cs="Times New Roman"/>
          <w:b/>
          <w:i w:val="0"/>
          <w:sz w:val="18"/>
        </w:rPr>
        <w:t xml:space="preserve">Fig. 2.  </w:t>
      </w:r>
      <w:r>
        <w:rPr>
          <w:rFonts w:ascii="Times New Roman" w:hAnsi="Times New Roman" w:cs="Times New Roman"/>
          <w:b w:val="0"/>
          <w:i w:val="0"/>
          <w:sz w:val="18"/>
        </w:rPr>
        <w:t>End-to-end system architecture: audio ingestion (44.1 kHz Web Audio API) → Librosa preprocessing → Praat-Parselmouth 22-dim DSP engine → parallel ensemble ML inference → clinical telemonitoring UI.</w:t>
      </w:r>
    </w:p>
    <w:p>
      <w:pPr>
        <w:ind w:left="288" w:hanging="288"/>
        <w:jc w:val="both"/>
        <w:spacing w:before="0" w:after="0" w:line="240" w:lineRule="auto"/>
      </w:pPr>
      <w:r>
        <w:rPr>
          <w:rFonts w:ascii="Times New Roman" w:hAnsi="Times New Roman" w:cs="Times New Roman"/>
          <w:b/>
          <w:i/>
          <w:sz w:val="20"/>
        </w:rPr>
        <w:t xml:space="preserve">1) Ingestion: </w:t>
      </w:r>
      <w:r>
        <w:rPr>
          <w:rFonts w:ascii="Times New Roman" w:hAnsi="Times New Roman" w:cs="Times New Roman"/>
          <w:b w:val="0"/>
          <w:i w:val="0"/>
          <w:sz w:val="20"/>
        </w:rPr>
        <w:t>Sustained /a/ phonation (3–5 s) captured via browser Web Audio API at 44.1 kHz, 16-bit PCM.</w:t>
      </w:r>
    </w:p>
    <w:p>
      <w:pPr>
        <w:ind w:left="288" w:hanging="288"/>
        <w:jc w:val="both"/>
        <w:spacing w:before="0" w:after="0" w:line="240" w:lineRule="auto"/>
      </w:pPr>
      <w:r>
        <w:rPr>
          <w:rFonts w:ascii="Times New Roman" w:hAnsi="Times New Roman" w:cs="Times New Roman"/>
          <w:b/>
          <w:i/>
          <w:sz w:val="20"/>
        </w:rPr>
        <w:t xml:space="preserve">2) Preprocessing: </w:t>
      </w:r>
      <w:r>
        <w:rPr>
          <w:rFonts w:ascii="Times New Roman" w:hAnsi="Times New Roman" w:cs="Times New Roman"/>
          <w:b w:val="0"/>
          <w:i w:val="0"/>
          <w:sz w:val="20"/>
        </w:rPr>
        <w:t>Librosa resamples to 22,050 Hz, removes DC offset, applies pre-emphasis (α = 0.97).</w:t>
      </w:r>
    </w:p>
    <w:p>
      <w:pPr>
        <w:ind w:left="288" w:hanging="288"/>
        <w:jc w:val="both"/>
        <w:spacing w:before="0" w:after="0" w:line="240" w:lineRule="auto"/>
      </w:pPr>
      <w:r>
        <w:rPr>
          <w:rFonts w:ascii="Times New Roman" w:hAnsi="Times New Roman" w:cs="Times New Roman"/>
          <w:b/>
          <w:i/>
          <w:sz w:val="20"/>
        </w:rPr>
        <w:t xml:space="preserve">3) DSP Engine: </w:t>
      </w:r>
      <w:r>
        <w:rPr>
          <w:rFonts w:ascii="Times New Roman" w:hAnsi="Times New Roman" w:cs="Times New Roman"/>
          <w:b w:val="0"/>
          <w:i w:val="0"/>
          <w:sz w:val="20"/>
        </w:rPr>
        <w:t>Praat-Parselmouth extracts f₀ contours, perturbation indices, and spectral harmonicity → 22-dimensional feature vector.</w:t>
      </w:r>
    </w:p>
    <w:p>
      <w:pPr>
        <w:ind w:left="288" w:hanging="288"/>
        <w:jc w:val="both"/>
        <w:spacing w:before="0" w:after="0" w:line="240" w:lineRule="auto"/>
      </w:pPr>
      <w:r>
        <w:rPr>
          <w:rFonts w:ascii="Times New Roman" w:hAnsi="Times New Roman" w:cs="Times New Roman"/>
          <w:b/>
          <w:i/>
          <w:sz w:val="20"/>
        </w:rPr>
        <w:t xml:space="preserve">4) ML Inference: </w:t>
      </w:r>
      <w:r>
        <w:rPr>
          <w:rFonts w:ascii="Times New Roman" w:hAnsi="Times New Roman" w:cs="Times New Roman"/>
          <w:b w:val="0"/>
          <w:i w:val="0"/>
          <w:sz w:val="20"/>
        </w:rPr>
        <w:t>Normalized vector passed simultaneously to SVM, RF, CNN-BiLSTM, Autoencoder, and UPDRS regression engines.</w:t>
      </w:r>
    </w:p>
    <w:p>
      <w:pPr>
        <w:ind w:left="288" w:hanging="288"/>
        <w:jc w:val="both"/>
        <w:spacing w:before="0" w:after="0" w:line="240" w:lineRule="auto"/>
      </w:pPr>
      <w:r>
        <w:rPr>
          <w:rFonts w:ascii="Times New Roman" w:hAnsi="Times New Roman" w:cs="Times New Roman"/>
          <w:b/>
          <w:i/>
          <w:sz w:val="20"/>
        </w:rPr>
        <w:t xml:space="preserve">5) Clinical Synthesis: </w:t>
      </w:r>
      <w:r>
        <w:rPr>
          <w:rFonts w:ascii="Times New Roman" w:hAnsi="Times New Roman" w:cs="Times New Roman"/>
          <w:b w:val="0"/>
          <w:i w:val="0"/>
          <w:sz w:val="20"/>
        </w:rPr>
        <w:t>Results rendered via interactive radar charts, UPDRS trajectories, and Three.js 3D neurological visualization (Fig. 3).</w:t>
      </w:r>
    </w:p>
    <w:p>
      <w:pPr>
        <w:jc w:val="center"/>
        <w:spacing w:before="72" w:after="28"/>
      </w:pPr>
      <w:r>
        <w:drawing>
          <wp:inline xmlns:a="http://schemas.openxmlformats.org/drawingml/2006/main" xmlns:pic="http://schemas.openxmlformats.org/drawingml/2006/picture">
            <wp:extent cx="2743200" cy="1425892"/>
            <wp:docPr id="3" name="Picture 3"/>
            <wp:cNvGraphicFramePr>
              <a:graphicFrameLocks noChangeAspect="1"/>
            </wp:cNvGraphicFramePr>
            <a:graphic>
              <a:graphicData uri="http://schemas.openxmlformats.org/drawingml/2006/picture">
                <pic:pic>
                  <pic:nvPicPr>
                    <pic:cNvPr id="0" name="refined_3d_brain_1792614505061.png"/>
                    <pic:cNvPicPr/>
                  </pic:nvPicPr>
                  <pic:blipFill>
                    <a:blip r:embed="rId11"/>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3.  </w:t>
      </w:r>
      <w:r>
        <w:rPr>
          <w:rFonts w:ascii="Times New Roman" w:hAnsi="Times New Roman" w:cs="Times New Roman"/>
          <w:b w:val="0"/>
          <w:i w:val="0"/>
          <w:sz w:val="18"/>
        </w:rPr>
        <w:t>Three.js 3D neural particle brain visualization from the developed platform, rendered in real-time via WebGL shaders. Particle density encodes regional dopaminergic activity levels.</w:t>
      </w:r>
    </w:p>
    <w:p>
      <w:pPr>
        <w:jc w:val="left"/>
        <w:spacing w:before="100" w:after="28"/>
      </w:pPr>
      <w:r>
        <w:rPr>
          <w:rFonts w:ascii="Times New Roman" w:hAnsi="Times New Roman" w:cs="Times New Roman"/>
          <w:b/>
          <w:i/>
          <w:sz w:val="20"/>
        </w:rPr>
        <w:t>B. Acoustic Biomarker Mathematical Formulation</w:t>
      </w:r>
    </w:p>
    <w:p>
      <w:pPr>
        <w:ind w:firstLine="216"/>
        <w:jc w:val="both"/>
        <w:spacing w:before="0" w:after="0" w:line="240" w:lineRule="auto"/>
      </w:pPr>
      <w:r>
        <w:rPr>
          <w:rFonts w:ascii="Times New Roman" w:hAnsi="Times New Roman" w:cs="Times New Roman"/>
          <w:b w:val="0"/>
          <w:i w:val="0"/>
          <w:sz w:val="20"/>
        </w:rPr>
        <w:t>Let T_i = i-th glottal pitch period, A_i = peak-to-peak amplitude, N = total glottal cycles.</w:t>
      </w:r>
    </w:p>
    <w:p>
      <w:pPr>
        <w:jc w:val="both"/>
        <w:spacing w:before="0" w:after="0" w:line="240" w:lineRule="auto"/>
      </w:pPr>
      <w:r>
        <w:rPr>
          <w:rFonts w:ascii="Times New Roman" w:hAnsi="Times New Roman" w:cs="Times New Roman"/>
          <w:b w:val="0"/>
          <w:i w:val="0"/>
          <w:sz w:val="20"/>
        </w:rPr>
        <w:t>1)  Pitch Perturbation (Jitter) — laryngeal tremor instability:</w:t>
      </w:r>
    </w:p>
    <w:p>
      <w:pPr>
        <w:jc w:val="center"/>
        <w:spacing w:before="43" w:after="43"/>
      </w:pPr>
      <w:r>
        <w:rPr>
          <w:rFonts w:ascii="Times New Roman" w:hAnsi="Times New Roman" w:cs="Times New Roman"/>
          <w:b w:val="0"/>
          <w:i/>
          <w:sz w:val="20"/>
        </w:rPr>
        <w:t>Jitter(local) = [Σ|T_i−T_{i+1}|/(N−1)] / [ΣT_i/N] ×100%</w:t>
      </w:r>
      <w:r>
        <w:rPr>
          <w:rFonts w:ascii="Times New Roman" w:hAnsi="Times New Roman" w:cs="Times New Roman"/>
          <w:b w:val="0"/>
          <w:i w:val="0"/>
          <w:sz w:val="20"/>
        </w:rPr>
        <w:t xml:space="preserve">     (1)</w:t>
      </w:r>
    </w:p>
    <w:p>
      <w:pPr>
        <w:jc w:val="center"/>
        <w:spacing w:before="43" w:after="43"/>
      </w:pPr>
      <w:r>
        <w:rPr>
          <w:rFonts w:ascii="Times New Roman" w:hAnsi="Times New Roman" w:cs="Times New Roman"/>
          <w:b w:val="0"/>
          <w:i/>
          <w:sz w:val="20"/>
        </w:rPr>
        <w:t>RAP = [Σ|T_i−(1/3)ΣT_{i+k}|/(N−2)] / [ΣT_i/N] ×100%</w:t>
      </w:r>
      <w:r>
        <w:rPr>
          <w:rFonts w:ascii="Times New Roman" w:hAnsi="Times New Roman" w:cs="Times New Roman"/>
          <w:b w:val="0"/>
          <w:i w:val="0"/>
          <w:sz w:val="20"/>
        </w:rPr>
        <w:t xml:space="preserve">     (2)</w:t>
      </w:r>
    </w:p>
    <w:p>
      <w:pPr>
        <w:jc w:val="center"/>
        <w:spacing w:before="72" w:after="28"/>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vocal_cords_3d.jpg"/>
                    <pic:cNvPicPr/>
                  </pic:nvPicPr>
                  <pic:blipFill>
                    <a:blip r:embed="rId12"/>
                    <a:stretch>
                      <a:fillRect/>
                    </a:stretch>
                  </pic:blipFill>
                  <pic:spPr>
                    <a:xfrm>
                      <a:off x="0" y="0"/>
                      <a:ext cx="2743200" cy="2743200"/>
                    </a:xfrm>
                    <a:prstGeom prst="rect"/>
                  </pic:spPr>
                </pic:pic>
              </a:graphicData>
            </a:graphic>
          </wp:inline>
        </w:drawing>
      </w:r>
    </w:p>
    <w:p>
      <w:pPr>
        <w:jc w:val="center"/>
        <w:spacing w:before="0" w:after="100"/>
      </w:pPr>
      <w:r>
        <w:rPr>
          <w:rFonts w:ascii="Times New Roman" w:hAnsi="Times New Roman" w:cs="Times New Roman"/>
          <w:b/>
          <w:i w:val="0"/>
          <w:sz w:val="18"/>
        </w:rPr>
        <w:t xml:space="preserve">Fig. 4.  </w:t>
      </w:r>
      <w:r>
        <w:rPr>
          <w:rFonts w:ascii="Times New Roman" w:hAnsi="Times New Roman" w:cs="Times New Roman"/>
          <w:b w:val="0"/>
          <w:i w:val="0"/>
          <w:sz w:val="18"/>
        </w:rPr>
        <w:t>3D visualization of vocal fold mechanics during sustained /a/ phonation. Parkinsonian laryngeal rigidity causes hypoadduction, generating the perturbation signals quantified by Jitter, Shimmer, and HNR features.</w:t>
      </w:r>
    </w:p>
    <w:p>
      <w:pPr>
        <w:jc w:val="both"/>
        <w:spacing w:before="0" w:after="0" w:line="240" w:lineRule="auto"/>
      </w:pPr>
      <w:r>
        <w:rPr>
          <w:rFonts w:ascii="Times New Roman" w:hAnsi="Times New Roman" w:cs="Times New Roman"/>
          <w:b w:val="0"/>
          <w:i w:val="0"/>
          <w:sz w:val="20"/>
        </w:rPr>
        <w:t>2)  Amplitude Perturbation (Shimmer) — vocal fold weakness:</w:t>
      </w:r>
    </w:p>
    <w:p>
      <w:pPr>
        <w:jc w:val="center"/>
        <w:spacing w:before="43" w:after="43"/>
      </w:pPr>
      <w:r>
        <w:rPr>
          <w:rFonts w:ascii="Times New Roman" w:hAnsi="Times New Roman" w:cs="Times New Roman"/>
          <w:b w:val="0"/>
          <w:i/>
          <w:sz w:val="20"/>
        </w:rPr>
        <w:t>Shimmer(local) = [Σ|A_i−A_{i+1}|/(N−1)] / [ΣA_i/N] ×100%</w:t>
      </w:r>
      <w:r>
        <w:rPr>
          <w:rFonts w:ascii="Times New Roman" w:hAnsi="Times New Roman" w:cs="Times New Roman"/>
          <w:b w:val="0"/>
          <w:i w:val="0"/>
          <w:sz w:val="20"/>
        </w:rPr>
        <w:t xml:space="preserve">     (3)</w:t>
      </w:r>
    </w:p>
    <w:p>
      <w:pPr>
        <w:jc w:val="center"/>
        <w:spacing w:before="43" w:after="43"/>
      </w:pPr>
      <w:r>
        <w:rPr>
          <w:rFonts w:ascii="Times New Roman" w:hAnsi="Times New Roman" w:cs="Times New Roman"/>
          <w:b w:val="0"/>
          <w:i/>
          <w:sz w:val="20"/>
        </w:rPr>
        <w:t>Shimmer(dB) = Σ|20·log₁₀(A_{i+1}/A_i)| / (N−1)</w:t>
      </w:r>
      <w:r>
        <w:rPr>
          <w:rFonts w:ascii="Times New Roman" w:hAnsi="Times New Roman" w:cs="Times New Roman"/>
          <w:b w:val="0"/>
          <w:i w:val="0"/>
          <w:sz w:val="20"/>
        </w:rPr>
        <w:t xml:space="preserve">     (4)</w:t>
      </w:r>
    </w:p>
    <w:p>
      <w:pPr>
        <w:jc w:val="both"/>
        <w:spacing w:before="0" w:after="0" w:line="240" w:lineRule="auto"/>
      </w:pPr>
      <w:r>
        <w:rPr>
          <w:rFonts w:ascii="Times New Roman" w:hAnsi="Times New Roman" w:cs="Times New Roman"/>
          <w:b w:val="0"/>
          <w:i w:val="0"/>
          <w:sz w:val="20"/>
        </w:rPr>
        <w:t>3)  Harmonics-to-Noise Ratio (HNR) via autocorrelation r_x(τ):</w:t>
      </w:r>
    </w:p>
    <w:p>
      <w:pPr>
        <w:jc w:val="center"/>
        <w:spacing w:before="43" w:after="43"/>
      </w:pPr>
      <w:r>
        <w:rPr>
          <w:rFonts w:ascii="Times New Roman" w:hAnsi="Times New Roman" w:cs="Times New Roman"/>
          <w:b w:val="0"/>
          <w:i/>
          <w:sz w:val="20"/>
        </w:rPr>
        <w:t>HNR = 10·log₁₀[ r_x(τ_max) / (1−r_x(τ_max)) ]</w:t>
      </w:r>
      <w:r>
        <w:rPr>
          <w:rFonts w:ascii="Times New Roman" w:hAnsi="Times New Roman" w:cs="Times New Roman"/>
          <w:b w:val="0"/>
          <w:i w:val="0"/>
          <w:sz w:val="20"/>
        </w:rPr>
        <w:t xml:space="preserve">     (5)</w:t>
      </w:r>
    </w:p>
    <w:p>
      <w:pPr>
        <w:jc w:val="both"/>
        <w:spacing w:before="0" w:after="0" w:line="240" w:lineRule="auto"/>
      </w:pPr>
      <w:r>
        <w:rPr>
          <w:rFonts w:ascii="Times New Roman" w:hAnsi="Times New Roman" w:cs="Times New Roman"/>
          <w:b w:val="0"/>
          <w:i w:val="0"/>
          <w:sz w:val="20"/>
        </w:rPr>
        <w:t>4)  Non-Linear Complexity metrics:</w:t>
      </w:r>
    </w:p>
    <w:p>
      <w:pPr>
        <w:jc w:val="both"/>
        <w:spacing w:before="0" w:after="0" w:line="240" w:lineRule="auto"/>
      </w:pPr>
      <w:r>
        <w:rPr>
          <w:rFonts w:ascii="Times New Roman" w:hAnsi="Times New Roman" w:cs="Times New Roman"/>
          <w:b w:val="0"/>
          <w:i w:val="0"/>
          <w:sz w:val="20"/>
        </w:rPr>
        <w:t xml:space="preserve">   •  RPDE (Recurrence Period Density Entropy) [17]:</w:t>
      </w:r>
    </w:p>
    <w:p>
      <w:pPr>
        <w:jc w:val="center"/>
        <w:spacing w:before="43" w:after="43"/>
      </w:pPr>
      <w:r>
        <w:rPr>
          <w:rFonts w:ascii="Times New Roman" w:hAnsi="Times New Roman" w:cs="Times New Roman"/>
          <w:b w:val="0"/>
          <w:i/>
          <w:sz w:val="20"/>
        </w:rPr>
        <w:t>RPDE = −(1/ln T_max) · Σ P(t)·ln P(t)</w:t>
      </w:r>
      <w:r>
        <w:rPr>
          <w:rFonts w:ascii="Times New Roman" w:hAnsi="Times New Roman" w:cs="Times New Roman"/>
          <w:b w:val="0"/>
          <w:i w:val="0"/>
          <w:sz w:val="20"/>
        </w:rPr>
        <w:t xml:space="preserve">     (6)</w:t>
      </w:r>
    </w:p>
    <w:p>
      <w:pPr>
        <w:jc w:val="both"/>
        <w:spacing w:before="0" w:after="0" w:line="240" w:lineRule="auto"/>
      </w:pPr>
      <w:r>
        <w:rPr>
          <w:rFonts w:ascii="Times New Roman" w:hAnsi="Times New Roman" w:cs="Times New Roman"/>
          <w:b w:val="0"/>
          <w:i w:val="0"/>
          <w:sz w:val="20"/>
        </w:rPr>
        <w:t xml:space="preserve">   •  DFA (Detrended Fluctuation Analysis) [18]:</w:t>
      </w:r>
    </w:p>
    <w:p>
      <w:pPr>
        <w:jc w:val="center"/>
        <w:spacing w:before="43" w:after="43"/>
      </w:pPr>
      <w:r>
        <w:rPr>
          <w:rFonts w:ascii="Times New Roman" w:hAnsi="Times New Roman" w:cs="Times New Roman"/>
          <w:b w:val="0"/>
          <w:i/>
          <w:sz w:val="20"/>
        </w:rPr>
        <w:t>F(s) = √[(1/N)Σ(y_k−y_s(k))²]  ∝  s^α</w:t>
      </w:r>
      <w:r>
        <w:rPr>
          <w:rFonts w:ascii="Times New Roman" w:hAnsi="Times New Roman" w:cs="Times New Roman"/>
          <w:b w:val="0"/>
          <w:i w:val="0"/>
          <w:sz w:val="20"/>
        </w:rPr>
        <w:t xml:space="preserve">     (7)</w:t>
      </w:r>
    </w:p>
    <w:p>
      <w:pPr>
        <w:jc w:val="both"/>
        <w:spacing w:before="0" w:after="0" w:line="240" w:lineRule="auto"/>
      </w:pPr>
      <w:r>
        <w:rPr>
          <w:rFonts w:ascii="Times New Roman" w:hAnsi="Times New Roman" w:cs="Times New Roman"/>
          <w:b w:val="0"/>
          <w:i w:val="0"/>
          <w:sz w:val="20"/>
        </w:rPr>
        <w:t xml:space="preserve">   •  PPE (Pitch Period Entropy): Impaired pitch control on a logarithmic semitone scale [1].</w:t>
      </w:r>
    </w:p>
    <w:p>
      <w:pPr>
        <w:jc w:val="center"/>
        <w:spacing w:before="72" w:after="28"/>
      </w:pPr>
      <w:r>
        <w:drawing>
          <wp:inline xmlns:a="http://schemas.openxmlformats.org/drawingml/2006/main" xmlns:pic="http://schemas.openxmlformats.org/drawingml/2006/picture">
            <wp:extent cx="2743200" cy="1840375"/>
            <wp:docPr id="5" name="Picture 5"/>
            <wp:cNvGraphicFramePr>
              <a:graphicFrameLocks noChangeAspect="1"/>
            </wp:cNvGraphicFramePr>
            <a:graphic>
              <a:graphicData uri="http://schemas.openxmlformats.org/drawingml/2006/picture">
                <pic:pic>
                  <pic:nvPicPr>
                    <pic:cNvPr id="0" name="voice_neural.jpg"/>
                    <pic:cNvPicPr/>
                  </pic:nvPicPr>
                  <pic:blipFill>
                    <a:blip r:embed="rId13"/>
                    <a:stretch>
                      <a:fillRect/>
                    </a:stretch>
                  </pic:blipFill>
                  <pic:spPr>
                    <a:xfrm>
                      <a:off x="0" y="0"/>
                      <a:ext cx="2743200" cy="1840375"/>
                    </a:xfrm>
                    <a:prstGeom prst="rect"/>
                  </pic:spPr>
                </pic:pic>
              </a:graphicData>
            </a:graphic>
          </wp:inline>
        </w:drawing>
      </w:r>
    </w:p>
    <w:p>
      <w:pPr>
        <w:jc w:val="center"/>
        <w:spacing w:before="0" w:after="100"/>
      </w:pPr>
      <w:r>
        <w:rPr>
          <w:rFonts w:ascii="Times New Roman" w:hAnsi="Times New Roman" w:cs="Times New Roman"/>
          <w:b/>
          <w:i w:val="0"/>
          <w:sz w:val="18"/>
        </w:rPr>
        <w:t xml:space="preserve">Fig. 5.  </w:t>
      </w:r>
      <w:r>
        <w:rPr>
          <w:rFonts w:ascii="Times New Roman" w:hAnsi="Times New Roman" w:cs="Times New Roman"/>
          <w:b w:val="0"/>
          <w:i w:val="0"/>
          <w:sz w:val="18"/>
        </w:rPr>
        <w:t>Acoustic waveform representation and voice neural frequency analysis of sustained /a/ phonation showing the spectro-temporal perturbations characteristic of Parkinsonian dysphonia.</w:t>
      </w:r>
    </w:p>
    <w:p>
      <w:pPr>
        <w:jc w:val="center"/>
        <w:spacing w:before="144" w:after="57"/>
      </w:pPr>
      <w:r>
        <w:rPr>
          <w:rFonts w:ascii="Times New Roman" w:hAnsi="Times New Roman" w:cs="Times New Roman"/>
          <w:b/>
          <w:i w:val="0"/>
          <w:sz w:val="20"/>
        </w:rPr>
        <w:t>IV. MACHINE LEARNING ARCHITECTURE &amp; ENSEMBLE STRATEGY</w:t>
      </w:r>
    </w:p>
    <w:p>
      <w:pPr>
        <w:jc w:val="left"/>
        <w:spacing w:before="100" w:after="28"/>
      </w:pPr>
      <w:r>
        <w:rPr>
          <w:rFonts w:ascii="Times New Roman" w:hAnsi="Times New Roman" w:cs="Times New Roman"/>
          <w:b/>
          <w:i/>
          <w:sz w:val="20"/>
        </w:rPr>
        <w:t>A. Supervised Classification Ensemble</w:t>
      </w:r>
    </w:p>
    <w:p>
      <w:pPr>
        <w:ind w:left="288" w:hanging="288"/>
        <w:jc w:val="both"/>
        <w:spacing w:before="0" w:after="0" w:line="240" w:lineRule="auto"/>
      </w:pPr>
      <w:r>
        <w:rPr>
          <w:rFonts w:ascii="Times New Roman" w:hAnsi="Times New Roman" w:cs="Times New Roman"/>
          <w:b/>
          <w:i/>
          <w:sz w:val="20"/>
        </w:rPr>
        <w:t xml:space="preserve">1) SVM (RBF Kernel): </w:t>
      </w:r>
      <w:r>
        <w:rPr>
          <w:rFonts w:ascii="Times New Roman" w:hAnsi="Times New Roman" w:cs="Times New Roman"/>
          <w:b w:val="0"/>
          <w:i w:val="0"/>
          <w:sz w:val="20"/>
        </w:rPr>
        <w:t>K(x_i,x_j)=exp(−γ‖x_i−x_j‖²), C=10.0, γ=0.05 via 5-fold nested grid search.</w:t>
      </w:r>
    </w:p>
    <w:p>
      <w:pPr>
        <w:ind w:left="288" w:hanging="288"/>
        <w:jc w:val="both"/>
        <w:spacing w:before="0" w:after="0" w:line="240" w:lineRule="auto"/>
      </w:pPr>
      <w:r>
        <w:rPr>
          <w:rFonts w:ascii="Times New Roman" w:hAnsi="Times New Roman" w:cs="Times New Roman"/>
          <w:b/>
          <w:i/>
          <w:sz w:val="20"/>
        </w:rPr>
        <w:t xml:space="preserve">2) Random Forest: </w:t>
      </w:r>
      <w:r>
        <w:rPr>
          <w:rFonts w:ascii="Times New Roman" w:hAnsi="Times New Roman" w:cs="Times New Roman"/>
          <w:b w:val="0"/>
          <w:i w:val="0"/>
          <w:sz w:val="20"/>
        </w:rPr>
        <w:t>100 decorrelated trees, bootstrap aggregation, √d=4 features/split, Gini impurity.</w:t>
      </w:r>
    </w:p>
    <w:p>
      <w:pPr>
        <w:ind w:left="288" w:hanging="288"/>
        <w:jc w:val="both"/>
        <w:spacing w:before="0" w:after="0" w:line="240" w:lineRule="auto"/>
      </w:pPr>
      <w:r>
        <w:rPr>
          <w:rFonts w:ascii="Times New Roman" w:hAnsi="Times New Roman" w:cs="Times New Roman"/>
          <w:b/>
          <w:i/>
          <w:sz w:val="20"/>
        </w:rPr>
        <w:t xml:space="preserve">3) 1D-CNN-BiLSTM: </w:t>
      </w:r>
      <w:r>
        <w:rPr>
          <w:rFonts w:ascii="Times New Roman" w:hAnsi="Times New Roman" w:cs="Times New Roman"/>
          <w:b w:val="0"/>
          <w:i w:val="0"/>
          <w:sz w:val="20"/>
        </w:rPr>
        <w:t>Conv1D(32,k=3)→Conv1D(64,k=3)→BN→MaxPool→BiLSTM(32,drop=0.3)→Dense(Softmax).</w:t>
      </w:r>
    </w:p>
    <w:p>
      <w:pPr>
        <w:ind w:left="288" w:hanging="288"/>
        <w:jc w:val="both"/>
        <w:spacing w:before="0" w:after="0" w:line="240" w:lineRule="auto"/>
      </w:pPr>
      <w:r>
        <w:rPr>
          <w:rFonts w:ascii="Times New Roman" w:hAnsi="Times New Roman" w:cs="Times New Roman"/>
          <w:b/>
          <w:i/>
          <w:sz w:val="20"/>
        </w:rPr>
        <w:t xml:space="preserve">4) Ensemble Voting: </w:t>
      </w:r>
      <w:r>
        <w:rPr>
          <w:rFonts w:ascii="Times New Roman" w:hAnsi="Times New Roman" w:cs="Times New Roman"/>
          <w:b w:val="0"/>
          <w:i w:val="0"/>
          <w:sz w:val="20"/>
        </w:rPr>
        <w:t>P_ens = 0.35·P_SVM + 0.35·P_RF + 0.30·P_CNN (validation-optimized weights).</w:t>
      </w:r>
    </w:p>
    <w:p>
      <w:pPr>
        <w:jc w:val="left"/>
        <w:spacing w:before="100" w:after="28"/>
      </w:pPr>
      <w:r>
        <w:rPr>
          <w:rFonts w:ascii="Times New Roman" w:hAnsi="Times New Roman" w:cs="Times New Roman"/>
          <w:b/>
          <w:i/>
          <w:sz w:val="20"/>
        </w:rPr>
        <w:t>B. Unsupervised Autoencoder Anomaly Detection</w:t>
      </w:r>
    </w:p>
    <w:p>
      <w:pPr>
        <w:ind w:firstLine="216"/>
        <w:jc w:val="both"/>
        <w:spacing w:before="0" w:after="0" w:line="240" w:lineRule="auto"/>
      </w:pPr>
      <w:r>
        <w:rPr>
          <w:rFonts w:ascii="Times New Roman" w:hAnsi="Times New Roman" w:cs="Times New Roman"/>
          <w:b w:val="0"/>
          <w:i w:val="0"/>
          <w:sz w:val="20"/>
        </w:rPr>
        <w:t>An undercomplete Autoencoder trained on healthy phonations only: Input(22)→Dense(14)→Bottleneck(8)→Dense(14)→Output(22). Reconstruction MSE:</w:t>
      </w:r>
    </w:p>
    <w:p>
      <w:pPr>
        <w:jc w:val="center"/>
        <w:spacing w:before="43" w:after="43"/>
      </w:pPr>
      <w:r>
        <w:rPr>
          <w:rFonts w:ascii="Times New Roman" w:hAnsi="Times New Roman" w:cs="Times New Roman"/>
          <w:b w:val="0"/>
          <w:i/>
          <w:sz w:val="20"/>
        </w:rPr>
        <w:t>MSE_recon = (1/d)·Σ(x_j − x̂_j)²</w:t>
      </w:r>
      <w:r>
        <w:rPr>
          <w:rFonts w:ascii="Times New Roman" w:hAnsi="Times New Roman" w:cs="Times New Roman"/>
          <w:b w:val="0"/>
          <w:i w:val="0"/>
          <w:sz w:val="20"/>
        </w:rPr>
        <w:t xml:space="preserve">     (8)</w:t>
      </w:r>
    </w:p>
    <w:p>
      <w:pPr>
        <w:jc w:val="both"/>
        <w:spacing w:before="0" w:after="0" w:line="240" w:lineRule="auto"/>
      </w:pPr>
      <w:r>
        <w:rPr>
          <w:rFonts w:ascii="Times New Roman" w:hAnsi="Times New Roman" w:cs="Times New Roman"/>
          <w:b w:val="0"/>
          <w:i w:val="0"/>
          <w:sz w:val="20"/>
        </w:rPr>
        <w:t>Z = (MSE−μ_healthy)/σ_healthy. Z &gt; 2.0 flags significant dysphonic deviation (p &lt; 0.05).</w:t>
      </w:r>
    </w:p>
    <w:p>
      <w:pPr>
        <w:jc w:val="center"/>
        <w:spacing w:before="72" w:after="28"/>
      </w:pPr>
      <w:r>
        <w:drawing>
          <wp:inline xmlns:a="http://schemas.openxmlformats.org/drawingml/2006/main" xmlns:pic="http://schemas.openxmlformats.org/drawingml/2006/picture">
            <wp:extent cx="2743200" cy="1425892"/>
            <wp:docPr id="6" name="Picture 6"/>
            <wp:cNvGraphicFramePr>
              <a:graphicFrameLocks noChangeAspect="1"/>
            </wp:cNvGraphicFramePr>
            <a:graphic>
              <a:graphicData uri="http://schemas.openxmlformats.org/drawingml/2006/picture">
                <pic:pic>
                  <pic:nvPicPr>
                    <pic:cNvPr id="0" name="refined_vocal_motor_1792614548557.png"/>
                    <pic:cNvPicPr/>
                  </pic:nvPicPr>
                  <pic:blipFill>
                    <a:blip r:embed="rId14"/>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6.  </w:t>
      </w:r>
      <w:r>
        <w:rPr>
          <w:rFonts w:ascii="Times New Roman" w:hAnsi="Times New Roman" w:cs="Times New Roman"/>
          <w:b w:val="0"/>
          <w:i w:val="0"/>
          <w:sz w:val="18"/>
        </w:rPr>
        <w:t>Real-time vocal-motor multimodal panel from the clinical interface. Left: waveform and harmonic spectrogram. Right: extracted 22-dimensional biomarker vector with individual feature Z-scores vs. healthy normative baseline.</w:t>
      </w:r>
    </w:p>
    <w:p>
      <w:pPr>
        <w:jc w:val="left"/>
        <w:spacing w:before="100" w:after="28"/>
      </w:pPr>
      <w:r>
        <w:rPr>
          <w:rFonts w:ascii="Times New Roman" w:hAnsi="Times New Roman" w:cs="Times New Roman"/>
          <w:b/>
          <w:i/>
          <w:sz w:val="20"/>
        </w:rPr>
        <w:t>C. UPDRS Regression &amp; Bayesian Changepoint Detection</w:t>
      </w:r>
    </w:p>
    <w:p>
      <w:pPr>
        <w:ind w:firstLine="216"/>
        <w:jc w:val="both"/>
        <w:spacing w:before="0" w:after="0" w:line="240" w:lineRule="auto"/>
      </w:pPr>
      <w:r>
        <w:rPr>
          <w:rFonts w:ascii="Times New Roman" w:hAnsi="Times New Roman" w:cs="Times New Roman"/>
          <w:b w:val="0"/>
          <w:i w:val="0"/>
          <w:sz w:val="20"/>
        </w:rPr>
        <w:t>Multi-target Random Forest regression maps x ∈ ℝ^22 to continuous MDS-UPDRS Motor (0–108) and Total (0–176) scores. BOCPD [12] estimates the posterior over run-length r_t:</w:t>
      </w:r>
    </w:p>
    <w:p>
      <w:pPr>
        <w:jc w:val="center"/>
        <w:spacing w:before="43" w:after="43"/>
      </w:pPr>
      <w:r>
        <w:rPr>
          <w:rFonts w:ascii="Times New Roman" w:hAnsi="Times New Roman" w:cs="Times New Roman"/>
          <w:b w:val="0"/>
          <w:i/>
          <w:sz w:val="20"/>
        </w:rPr>
        <w:t>P(r_t|y_{1:t}) ∝ Σ P(r_t|r_{t-1})·P(y_t|r_{t-1},y^(r))·P(r_{t-1}|y_{1:t-1})</w:t>
      </w:r>
      <w:r>
        <w:rPr>
          <w:rFonts w:ascii="Times New Roman" w:hAnsi="Times New Roman" w:cs="Times New Roman"/>
          <w:b w:val="0"/>
          <w:i w:val="0"/>
          <w:sz w:val="20"/>
        </w:rPr>
        <w:t xml:space="preserve">     (9)</w:t>
      </w:r>
    </w:p>
    <w:p>
      <w:pPr>
        <w:jc w:val="both"/>
        <w:spacing w:before="0" w:after="0" w:line="240" w:lineRule="auto"/>
      </w:pPr>
      <w:r>
        <w:rPr>
          <w:rFonts w:ascii="Times New Roman" w:hAnsi="Times New Roman" w:cs="Times New Roman"/>
          <w:b w:val="0"/>
          <w:i w:val="0"/>
          <w:sz w:val="20"/>
        </w:rPr>
        <w:t>A drop in expected run-length triggers a Levodopa medication adjustment alert.</w:t>
      </w:r>
    </w:p>
    <w:p>
      <w:pPr>
        <w:jc w:val="left"/>
        <w:spacing w:before="100" w:after="28"/>
      </w:pPr>
      <w:r>
        <w:rPr>
          <w:rFonts w:ascii="Times New Roman" w:hAnsi="Times New Roman" w:cs="Times New Roman"/>
          <w:b/>
          <w:i/>
          <w:sz w:val="20"/>
        </w:rPr>
        <w:t>D. Multimodal Motor-Acoustic Fusion</w:t>
      </w:r>
    </w:p>
    <w:p>
      <w:pPr>
        <w:ind w:firstLine="216"/>
        <w:jc w:val="both"/>
        <w:spacing w:before="0" w:after="0" w:line="240" w:lineRule="auto"/>
      </w:pPr>
      <w:r>
        <w:rPr>
          <w:rFonts w:ascii="Times New Roman" w:hAnsi="Times New Roman" w:cs="Times New Roman"/>
          <w:b w:val="0"/>
          <w:i w:val="0"/>
          <w:sz w:val="20"/>
        </w:rPr>
        <w:t>MDS-UPDRS 3.4 finger-tapping test: 10-second rapid alternating keystrokes. Kinematic features: f_tap, CV_ITI, S_fatigue. Composite risk score:</w:t>
      </w:r>
    </w:p>
    <w:p>
      <w:pPr>
        <w:jc w:val="center"/>
        <w:spacing w:before="43" w:after="43"/>
      </w:pPr>
      <w:r>
        <w:rPr>
          <w:rFonts w:ascii="Times New Roman" w:hAnsi="Times New Roman" w:cs="Times New Roman"/>
          <w:b w:val="0"/>
          <w:i/>
          <w:sz w:val="20"/>
        </w:rPr>
        <w:t>S_composite = 0.70·P_ensemble + 0.30·S_motor</w:t>
      </w:r>
      <w:r>
        <w:rPr>
          <w:rFonts w:ascii="Times New Roman" w:hAnsi="Times New Roman" w:cs="Times New Roman"/>
          <w:b w:val="0"/>
          <w:i w:val="0"/>
          <w:sz w:val="20"/>
        </w:rPr>
        <w:t xml:space="preserve">     (10)</w:t>
      </w:r>
    </w:p>
    <w:p>
      <w:pPr>
        <w:jc w:val="both"/>
        <w:spacing w:before="0" w:after="0" w:line="240" w:lineRule="auto"/>
      </w:pPr>
      <w:r>
        <w:rPr>
          <w:rFonts w:ascii="Times New Roman" w:hAnsi="Times New Roman" w:cs="Times New Roman"/>
          <w:b w:val="0"/>
          <w:i w:val="0"/>
          <w:sz w:val="20"/>
        </w:rPr>
        <w:t>Reduces false-positive rates by 38 % on borderline phonation cases.</w:t>
      </w:r>
    </w:p>
    <w:p>
      <w:pPr>
        <w:jc w:val="center"/>
        <w:spacing w:before="144" w:after="57"/>
      </w:pPr>
      <w:r>
        <w:rPr>
          <w:rFonts w:ascii="Times New Roman" w:hAnsi="Times New Roman" w:cs="Times New Roman"/>
          <w:b/>
          <w:i w:val="0"/>
          <w:sz w:val="20"/>
        </w:rPr>
        <w:t>V. DATASETS &amp; EXPERIMENTAL SETUP</w:t>
      </w:r>
    </w:p>
    <w:p>
      <w:pPr>
        <w:jc w:val="left"/>
        <w:spacing w:before="100" w:after="28"/>
      </w:pPr>
      <w:r>
        <w:rPr>
          <w:rFonts w:ascii="Times New Roman" w:hAnsi="Times New Roman" w:cs="Times New Roman"/>
          <w:b/>
          <w:i/>
          <w:sz w:val="20"/>
        </w:rPr>
        <w:t>A. Benchmark Datasets</w:t>
      </w:r>
    </w:p>
    <w:p>
      <w:pPr>
        <w:ind w:left="288" w:hanging="288"/>
        <w:jc w:val="both"/>
        <w:spacing w:before="0" w:after="0" w:line="240" w:lineRule="auto"/>
      </w:pPr>
      <w:r>
        <w:rPr>
          <w:rFonts w:ascii="Times New Roman" w:hAnsi="Times New Roman" w:cs="Times New Roman"/>
          <w:b/>
          <w:i/>
          <w:sz w:val="20"/>
        </w:rPr>
        <w:t xml:space="preserve">1) Oxford Dataset [1]: </w:t>
      </w:r>
      <w:r>
        <w:rPr>
          <w:rFonts w:ascii="Times New Roman" w:hAnsi="Times New Roman" w:cs="Times New Roman"/>
          <w:b w:val="0"/>
          <w:i w:val="0"/>
          <w:sz w:val="20"/>
        </w:rPr>
        <w:t>195 /a/ phonations, 31 subjects (23 PD, 8 controls), 22 acoustic features (UCI ML Repository).</w:t>
      </w:r>
    </w:p>
    <w:p>
      <w:pPr>
        <w:ind w:left="288" w:hanging="288"/>
        <w:jc w:val="both"/>
        <w:spacing w:before="0" w:after="0" w:line="240" w:lineRule="auto"/>
      </w:pPr>
      <w:r>
        <w:rPr>
          <w:rFonts w:ascii="Times New Roman" w:hAnsi="Times New Roman" w:cs="Times New Roman"/>
          <w:b/>
          <w:i/>
          <w:sz w:val="20"/>
        </w:rPr>
        <w:t xml:space="preserve">2) Telemonitoring Dataset [2]: </w:t>
      </w:r>
      <w:r>
        <w:rPr>
          <w:rFonts w:ascii="Times New Roman" w:hAnsi="Times New Roman" w:cs="Times New Roman"/>
          <w:b w:val="0"/>
          <w:i w:val="0"/>
          <w:sz w:val="20"/>
        </w:rPr>
        <w:t>5,875 recordings, 42 early-stage PD subjects over 6 months, weekly UPDRS annotations.</w:t>
      </w:r>
    </w:p>
    <w:p>
      <w:pPr>
        <w:ind w:left="288" w:hanging="288"/>
        <w:jc w:val="both"/>
        <w:spacing w:before="0" w:after="0" w:line="240" w:lineRule="auto"/>
      </w:pPr>
      <w:r>
        <w:rPr>
          <w:rFonts w:ascii="Times New Roman" w:hAnsi="Times New Roman" w:cs="Times New Roman"/>
          <w:b/>
          <w:i/>
          <w:sz w:val="20"/>
        </w:rPr>
        <w:t xml:space="preserve">3) Sakar et al. [3]: </w:t>
      </w:r>
      <w:r>
        <w:rPr>
          <w:rFonts w:ascii="Times New Roman" w:hAnsi="Times New Roman" w:cs="Times New Roman"/>
          <w:b w:val="0"/>
          <w:i w:val="0"/>
          <w:sz w:val="20"/>
        </w:rPr>
        <w:t>756 phonations, 252 subjects, extended MFCCs and wavelet baselines.</w:t>
      </w:r>
    </w:p>
    <w:p>
      <w:pPr>
        <w:jc w:val="left"/>
        <w:spacing w:before="100" w:after="28"/>
      </w:pPr>
      <w:r>
        <w:rPr>
          <w:rFonts w:ascii="Times New Roman" w:hAnsi="Times New Roman" w:cs="Times New Roman"/>
          <w:b/>
          <w:i/>
          <w:sz w:val="20"/>
        </w:rPr>
        <w:t>B. Validation Protocol</w:t>
      </w:r>
    </w:p>
    <w:p>
      <w:pPr>
        <w:ind w:firstLine="216"/>
        <w:jc w:val="both"/>
        <w:spacing w:before="0" w:after="0" w:line="240" w:lineRule="auto"/>
      </w:pPr>
      <w:r>
        <w:rPr>
          <w:rFonts w:ascii="Times New Roman" w:hAnsi="Times New Roman" w:cs="Times New Roman"/>
          <w:b w:val="0"/>
          <w:i w:val="0"/>
          <w:sz w:val="20"/>
        </w:rPr>
        <w:t>Stratified 10-Fold Subject-Independent Cross-Validation: all recordings from a single subject assigned strictly to one fold per split to prevent data leakage. Backend: Python 3.10 (FastAPI, Scikit-learn 1.2, PyTorch 2.0, Librosa 0.10, Praat-Parselmouth 0.4.3). Frontend: HTML5/ES6, Web Audio API, Three.js.</w:t>
      </w:r>
    </w:p>
    <w:p>
      <w:pPr>
        <w:jc w:val="center"/>
        <w:spacing w:before="144" w:after="57"/>
      </w:pPr>
      <w:r>
        <w:rPr>
          <w:rFonts w:ascii="Times New Roman" w:hAnsi="Times New Roman" w:cs="Times New Roman"/>
          <w:b/>
          <w:i w:val="0"/>
          <w:sz w:val="20"/>
        </w:rPr>
        <w:t>VI. RESULTS AND PERFORMANCE EVALUATION</w:t>
      </w:r>
    </w:p>
    <w:p>
      <w:pPr>
        <w:jc w:val="left"/>
        <w:spacing w:before="100" w:after="28"/>
      </w:pPr>
      <w:r>
        <w:rPr>
          <w:rFonts w:ascii="Times New Roman" w:hAnsi="Times New Roman" w:cs="Times New Roman"/>
          <w:b/>
          <w:i/>
          <w:sz w:val="20"/>
        </w:rPr>
        <w:t>A. Diagnostic Classification Performance</w:t>
      </w:r>
    </w:p>
    <w:p>
      <w:pPr>
        <w:jc w:val="center"/>
        <w:spacing w:before="100" w:after="28"/>
      </w:pPr>
      <w:r>
        <w:rPr>
          <w:rFonts w:ascii="Times New Roman" w:hAnsi="Times New Roman" w:cs="Times New Roman"/>
          <w:b/>
          <w:i w:val="0"/>
          <w:sz w:val="18"/>
        </w:rPr>
        <w:t>TABLE I</w:t>
        <w:br/>
      </w:r>
      <w:r>
        <w:rPr>
          <w:rFonts w:ascii="Times New Roman" w:hAnsi="Times New Roman" w:cs="Times New Roman"/>
          <w:b/>
          <w:i w:val="0"/>
          <w:sz w:val="18"/>
        </w:rPr>
        <w:t>CLASSIFICATION PERFORMANCE — 10-FOLD SUBJECT-INDEPENDENT CV</w:t>
      </w:r>
    </w:p>
    <w:p>
      <w:pPr>
        <w:spacing w:before="0" w:after="0"/>
        <w:pBdr>
          <w:top w:val="single" w:sz="4" w:space="1" w:color="000000"/>
        </w:pBdr>
      </w:pP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680"/>
        <w:gridCol w:w="1680"/>
        <w:gridCol w:w="1680"/>
        <w:gridCol w:w="1680"/>
        <w:gridCol w:w="1680"/>
        <w:gridCol w:w="1680"/>
      </w:tblGrid>
      <w:tr>
        <w:tc>
          <w:tcPr>
            <w:tcW w:type="dxa" w:w="1680"/>
          </w:tcPr>
          <w:p>
            <w:pPr>
              <w:jc w:val="center"/>
              <w:spacing w:before="60" w:after="60"/>
            </w:pPr>
            <w:r>
              <w:rPr>
                <w:rFonts w:ascii="Times New Roman" w:hAnsi="Times New Roman" w:cs="Times New Roman"/>
                <w:b/>
                <w:i w:val="0"/>
                <w:sz w:val="18"/>
              </w:rPr>
              <w:t>Model</w:t>
            </w:r>
          </w:p>
        </w:tc>
        <w:tc>
          <w:tcPr>
            <w:tcW w:type="dxa" w:w="1680"/>
          </w:tcPr>
          <w:p>
            <w:pPr>
              <w:jc w:val="center"/>
              <w:spacing w:before="60" w:after="60"/>
            </w:pPr>
            <w:r>
              <w:rPr>
                <w:rFonts w:ascii="Times New Roman" w:hAnsi="Times New Roman" w:cs="Times New Roman"/>
                <w:b/>
                <w:i w:val="0"/>
                <w:sz w:val="18"/>
              </w:rPr>
              <w:t>Acc.</w:t>
            </w:r>
          </w:p>
        </w:tc>
        <w:tc>
          <w:tcPr>
            <w:tcW w:type="dxa" w:w="1680"/>
          </w:tcPr>
          <w:p>
            <w:pPr>
              <w:jc w:val="center"/>
              <w:spacing w:before="60" w:after="60"/>
            </w:pPr>
            <w:r>
              <w:rPr>
                <w:rFonts w:ascii="Times New Roman" w:hAnsi="Times New Roman" w:cs="Times New Roman"/>
                <w:b/>
                <w:i w:val="0"/>
                <w:sz w:val="18"/>
              </w:rPr>
              <w:t>Sens.</w:t>
            </w:r>
          </w:p>
        </w:tc>
        <w:tc>
          <w:tcPr>
            <w:tcW w:type="dxa" w:w="1680"/>
          </w:tcPr>
          <w:p>
            <w:pPr>
              <w:jc w:val="center"/>
              <w:spacing w:before="60" w:after="60"/>
            </w:pPr>
            <w:r>
              <w:rPr>
                <w:rFonts w:ascii="Times New Roman" w:hAnsi="Times New Roman" w:cs="Times New Roman"/>
                <w:b/>
                <w:i w:val="0"/>
                <w:sz w:val="18"/>
              </w:rPr>
              <w:t>Spec.</w:t>
            </w:r>
          </w:p>
        </w:tc>
        <w:tc>
          <w:tcPr>
            <w:tcW w:type="dxa" w:w="1680"/>
          </w:tcPr>
          <w:p>
            <w:pPr>
              <w:jc w:val="center"/>
              <w:spacing w:before="60" w:after="60"/>
            </w:pPr>
            <w:r>
              <w:rPr>
                <w:rFonts w:ascii="Times New Roman" w:hAnsi="Times New Roman" w:cs="Times New Roman"/>
                <w:b/>
                <w:i w:val="0"/>
                <w:sz w:val="18"/>
              </w:rPr>
              <w:t>F1</w:t>
            </w:r>
          </w:p>
        </w:tc>
        <w:tc>
          <w:tcPr>
            <w:tcW w:type="dxa" w:w="1680"/>
          </w:tcPr>
          <w:p>
            <w:pPr>
              <w:jc w:val="center"/>
              <w:spacing w:before="60" w:after="60"/>
            </w:pPr>
            <w:r>
              <w:rPr>
                <w:rFonts w:ascii="Times New Roman" w:hAnsi="Times New Roman" w:cs="Times New Roman"/>
                <w:b/>
                <w:i w:val="0"/>
                <w:sz w:val="18"/>
              </w:rPr>
              <w:t>AUC</w:t>
            </w:r>
          </w:p>
        </w:tc>
      </w:tr>
      <w:tr>
        <w:tc>
          <w:tcPr>
            <w:tcW w:type="dxa" w:w="1680"/>
          </w:tcPr>
          <w:p>
            <w:pPr>
              <w:jc w:val="left"/>
              <w:spacing w:before="50" w:after="50"/>
            </w:pPr>
            <w:r>
              <w:rPr>
                <w:rFonts w:ascii="Times New Roman" w:hAnsi="Times New Roman" w:cs="Times New Roman"/>
                <w:b w:val="0"/>
                <w:i w:val="0"/>
                <w:sz w:val="18"/>
              </w:rPr>
              <w:t>SVM (RBF)</w:t>
            </w:r>
          </w:p>
        </w:tc>
        <w:tc>
          <w:tcPr>
            <w:tcW w:type="dxa" w:w="1680"/>
          </w:tcPr>
          <w:p>
            <w:pPr>
              <w:jc w:val="center"/>
              <w:spacing w:before="50" w:after="50"/>
            </w:pPr>
            <w:r>
              <w:rPr>
                <w:rFonts w:ascii="Times New Roman" w:hAnsi="Times New Roman" w:cs="Times New Roman"/>
                <w:b w:val="0"/>
                <w:i w:val="0"/>
                <w:sz w:val="18"/>
              </w:rPr>
              <w:t>91.80%</w:t>
            </w:r>
          </w:p>
        </w:tc>
        <w:tc>
          <w:tcPr>
            <w:tcW w:type="dxa" w:w="1680"/>
          </w:tcPr>
          <w:p>
            <w:pPr>
              <w:jc w:val="center"/>
              <w:spacing w:before="50" w:after="50"/>
            </w:pPr>
            <w:r>
              <w:rPr>
                <w:rFonts w:ascii="Times New Roman" w:hAnsi="Times New Roman" w:cs="Times New Roman"/>
                <w:b w:val="0"/>
                <w:i w:val="0"/>
                <w:sz w:val="18"/>
              </w:rPr>
              <w:t>93.44%</w:t>
            </w:r>
          </w:p>
        </w:tc>
        <w:tc>
          <w:tcPr>
            <w:tcW w:type="dxa" w:w="1680"/>
          </w:tcPr>
          <w:p>
            <w:pPr>
              <w:jc w:val="center"/>
              <w:spacing w:before="50" w:after="50"/>
            </w:pPr>
            <w:r>
              <w:rPr>
                <w:rFonts w:ascii="Times New Roman" w:hAnsi="Times New Roman" w:cs="Times New Roman"/>
                <w:b w:val="0"/>
                <w:i w:val="0"/>
                <w:sz w:val="18"/>
              </w:rPr>
              <w:t>87.18%</w:t>
            </w:r>
          </w:p>
        </w:tc>
        <w:tc>
          <w:tcPr>
            <w:tcW w:type="dxa" w:w="1680"/>
          </w:tcPr>
          <w:p>
            <w:pPr>
              <w:jc w:val="center"/>
              <w:spacing w:before="50" w:after="50"/>
            </w:pPr>
            <w:r>
              <w:rPr>
                <w:rFonts w:ascii="Times New Roman" w:hAnsi="Times New Roman" w:cs="Times New Roman"/>
                <w:b w:val="0"/>
                <w:i w:val="0"/>
                <w:sz w:val="18"/>
              </w:rPr>
              <w:t>0.923</w:t>
            </w:r>
          </w:p>
        </w:tc>
        <w:tc>
          <w:tcPr>
            <w:tcW w:type="dxa" w:w="1680"/>
          </w:tcPr>
          <w:p>
            <w:pPr>
              <w:jc w:val="center"/>
              <w:spacing w:before="50" w:after="50"/>
            </w:pPr>
            <w:r>
              <w:rPr>
                <w:rFonts w:ascii="Times New Roman" w:hAnsi="Times New Roman" w:cs="Times New Roman"/>
                <w:b w:val="0"/>
                <w:i w:val="0"/>
                <w:sz w:val="18"/>
              </w:rPr>
              <w:t>0.938</w:t>
            </w:r>
          </w:p>
        </w:tc>
      </w:tr>
      <w:tr>
        <w:tc>
          <w:tcPr>
            <w:tcW w:type="dxa" w:w="1680"/>
          </w:tcPr>
          <w:p>
            <w:pPr>
              <w:jc w:val="left"/>
              <w:spacing w:before="50" w:after="50"/>
            </w:pPr>
            <w:r>
              <w:rPr>
                <w:rFonts w:ascii="Times New Roman" w:hAnsi="Times New Roman" w:cs="Times New Roman"/>
                <w:b w:val="0"/>
                <w:i w:val="0"/>
                <w:sz w:val="18"/>
              </w:rPr>
              <w:t>Random Forest</w:t>
            </w:r>
          </w:p>
        </w:tc>
        <w:tc>
          <w:tcPr>
            <w:tcW w:type="dxa" w:w="1680"/>
          </w:tcPr>
          <w:p>
            <w:pPr>
              <w:jc w:val="center"/>
              <w:spacing w:before="50" w:after="50"/>
            </w:pPr>
            <w:r>
              <w:rPr>
                <w:rFonts w:ascii="Times New Roman" w:hAnsi="Times New Roman" w:cs="Times New Roman"/>
                <w:b w:val="0"/>
                <w:i w:val="0"/>
                <w:sz w:val="18"/>
              </w:rPr>
              <w:t>92.31%</w:t>
            </w:r>
          </w:p>
        </w:tc>
        <w:tc>
          <w:tcPr>
            <w:tcW w:type="dxa" w:w="1680"/>
          </w:tcPr>
          <w:p>
            <w:pPr>
              <w:jc w:val="center"/>
              <w:spacing w:before="50" w:after="50"/>
            </w:pPr>
            <w:r>
              <w:rPr>
                <w:rFonts w:ascii="Times New Roman" w:hAnsi="Times New Roman" w:cs="Times New Roman"/>
                <w:b w:val="0"/>
                <w:i w:val="0"/>
                <w:sz w:val="18"/>
              </w:rPr>
              <w:t>94.26%</w:t>
            </w:r>
          </w:p>
        </w:tc>
        <w:tc>
          <w:tcPr>
            <w:tcW w:type="dxa" w:w="1680"/>
          </w:tcPr>
          <w:p>
            <w:pPr>
              <w:jc w:val="center"/>
              <w:spacing w:before="50" w:after="50"/>
            </w:pPr>
            <w:r>
              <w:rPr>
                <w:rFonts w:ascii="Times New Roman" w:hAnsi="Times New Roman" w:cs="Times New Roman"/>
                <w:b w:val="0"/>
                <w:i w:val="0"/>
                <w:sz w:val="18"/>
              </w:rPr>
              <w:t>87.18%</w:t>
            </w:r>
          </w:p>
        </w:tc>
        <w:tc>
          <w:tcPr>
            <w:tcW w:type="dxa" w:w="1680"/>
          </w:tcPr>
          <w:p>
            <w:pPr>
              <w:jc w:val="center"/>
              <w:spacing w:before="50" w:after="50"/>
            </w:pPr>
            <w:r>
              <w:rPr>
                <w:rFonts w:ascii="Times New Roman" w:hAnsi="Times New Roman" w:cs="Times New Roman"/>
                <w:b w:val="0"/>
                <w:i w:val="0"/>
                <w:sz w:val="18"/>
              </w:rPr>
              <w:t>0.928</w:t>
            </w:r>
          </w:p>
        </w:tc>
        <w:tc>
          <w:tcPr>
            <w:tcW w:type="dxa" w:w="1680"/>
          </w:tcPr>
          <w:p>
            <w:pPr>
              <w:jc w:val="center"/>
              <w:spacing w:before="50" w:after="50"/>
            </w:pPr>
            <w:r>
              <w:rPr>
                <w:rFonts w:ascii="Times New Roman" w:hAnsi="Times New Roman" w:cs="Times New Roman"/>
                <w:b w:val="0"/>
                <w:i w:val="0"/>
                <w:sz w:val="18"/>
              </w:rPr>
              <w:t>0.945</w:t>
            </w:r>
          </w:p>
        </w:tc>
      </w:tr>
      <w:tr>
        <w:tc>
          <w:tcPr>
            <w:tcW w:type="dxa" w:w="1680"/>
          </w:tcPr>
          <w:p>
            <w:pPr>
              <w:jc w:val="left"/>
              <w:spacing w:before="50" w:after="50"/>
            </w:pPr>
            <w:r>
              <w:rPr>
                <w:rFonts w:ascii="Times New Roman" w:hAnsi="Times New Roman" w:cs="Times New Roman"/>
                <w:b w:val="0"/>
                <w:i w:val="0"/>
                <w:sz w:val="18"/>
              </w:rPr>
              <w:t>Grad. Boosting</w:t>
            </w:r>
          </w:p>
        </w:tc>
        <w:tc>
          <w:tcPr>
            <w:tcW w:type="dxa" w:w="1680"/>
          </w:tcPr>
          <w:p>
            <w:pPr>
              <w:jc w:val="center"/>
              <w:spacing w:before="50" w:after="50"/>
            </w:pPr>
            <w:r>
              <w:rPr>
                <w:rFonts w:ascii="Times New Roman" w:hAnsi="Times New Roman" w:cs="Times New Roman"/>
                <w:b w:val="0"/>
                <w:i w:val="0"/>
                <w:sz w:val="18"/>
              </w:rPr>
              <w:t>90.77%</w:t>
            </w:r>
          </w:p>
        </w:tc>
        <w:tc>
          <w:tcPr>
            <w:tcW w:type="dxa" w:w="1680"/>
          </w:tcPr>
          <w:p>
            <w:pPr>
              <w:jc w:val="center"/>
              <w:spacing w:before="50" w:after="50"/>
            </w:pPr>
            <w:r>
              <w:rPr>
                <w:rFonts w:ascii="Times New Roman" w:hAnsi="Times New Roman" w:cs="Times New Roman"/>
                <w:b w:val="0"/>
                <w:i w:val="0"/>
                <w:sz w:val="18"/>
              </w:rPr>
              <w:t>92.62%</w:t>
            </w:r>
          </w:p>
        </w:tc>
        <w:tc>
          <w:tcPr>
            <w:tcW w:type="dxa" w:w="1680"/>
          </w:tcPr>
          <w:p>
            <w:pPr>
              <w:jc w:val="center"/>
              <w:spacing w:before="50" w:after="50"/>
            </w:pPr>
            <w:r>
              <w:rPr>
                <w:rFonts w:ascii="Times New Roman" w:hAnsi="Times New Roman" w:cs="Times New Roman"/>
                <w:b w:val="0"/>
                <w:i w:val="0"/>
                <w:sz w:val="18"/>
              </w:rPr>
              <w:t>85.37%</w:t>
            </w:r>
          </w:p>
        </w:tc>
        <w:tc>
          <w:tcPr>
            <w:tcW w:type="dxa" w:w="1680"/>
          </w:tcPr>
          <w:p>
            <w:pPr>
              <w:jc w:val="center"/>
              <w:spacing w:before="50" w:after="50"/>
            </w:pPr>
            <w:r>
              <w:rPr>
                <w:rFonts w:ascii="Times New Roman" w:hAnsi="Times New Roman" w:cs="Times New Roman"/>
                <w:b w:val="0"/>
                <w:i w:val="0"/>
                <w:sz w:val="18"/>
              </w:rPr>
              <w:t>0.914</w:t>
            </w:r>
          </w:p>
        </w:tc>
        <w:tc>
          <w:tcPr>
            <w:tcW w:type="dxa" w:w="1680"/>
          </w:tcPr>
          <w:p>
            <w:pPr>
              <w:jc w:val="center"/>
              <w:spacing w:before="50" w:after="50"/>
            </w:pPr>
            <w:r>
              <w:rPr>
                <w:rFonts w:ascii="Times New Roman" w:hAnsi="Times New Roman" w:cs="Times New Roman"/>
                <w:b w:val="0"/>
                <w:i w:val="0"/>
                <w:sz w:val="18"/>
              </w:rPr>
              <w:t>0.929</w:t>
            </w:r>
          </w:p>
        </w:tc>
      </w:tr>
      <w:tr>
        <w:tc>
          <w:tcPr>
            <w:tcW w:type="dxa" w:w="1680"/>
          </w:tcPr>
          <w:p>
            <w:pPr>
              <w:jc w:val="left"/>
              <w:spacing w:before="50" w:after="50"/>
            </w:pPr>
            <w:r>
              <w:rPr>
                <w:rFonts w:ascii="Times New Roman" w:hAnsi="Times New Roman" w:cs="Times New Roman"/>
                <w:b w:val="0"/>
                <w:i w:val="0"/>
                <w:sz w:val="18"/>
              </w:rPr>
              <w:t>CNN-BiLSTM</w:t>
            </w:r>
          </w:p>
        </w:tc>
        <w:tc>
          <w:tcPr>
            <w:tcW w:type="dxa" w:w="1680"/>
          </w:tcPr>
          <w:p>
            <w:pPr>
              <w:jc w:val="center"/>
              <w:spacing w:before="50" w:after="50"/>
            </w:pPr>
            <w:r>
              <w:rPr>
                <w:rFonts w:ascii="Times New Roman" w:hAnsi="Times New Roman" w:cs="Times New Roman"/>
                <w:b w:val="0"/>
                <w:i w:val="0"/>
                <w:sz w:val="18"/>
              </w:rPr>
              <w:t>93.33%</w:t>
            </w:r>
          </w:p>
        </w:tc>
        <w:tc>
          <w:tcPr>
            <w:tcW w:type="dxa" w:w="1680"/>
          </w:tcPr>
          <w:p>
            <w:pPr>
              <w:jc w:val="center"/>
              <w:spacing w:before="50" w:after="50"/>
            </w:pPr>
            <w:r>
              <w:rPr>
                <w:rFonts w:ascii="Times New Roman" w:hAnsi="Times New Roman" w:cs="Times New Roman"/>
                <w:b w:val="0"/>
                <w:i w:val="0"/>
                <w:sz w:val="18"/>
              </w:rPr>
              <w:t>95.08%</w:t>
            </w:r>
          </w:p>
        </w:tc>
        <w:tc>
          <w:tcPr>
            <w:tcW w:type="dxa" w:w="1680"/>
          </w:tcPr>
          <w:p>
            <w:pPr>
              <w:jc w:val="center"/>
              <w:spacing w:before="50" w:after="50"/>
            </w:pPr>
            <w:r>
              <w:rPr>
                <w:rFonts w:ascii="Times New Roman" w:hAnsi="Times New Roman" w:cs="Times New Roman"/>
                <w:b w:val="0"/>
                <w:i w:val="0"/>
                <w:sz w:val="18"/>
              </w:rPr>
              <w:t>88.64%</w:t>
            </w:r>
          </w:p>
        </w:tc>
        <w:tc>
          <w:tcPr>
            <w:tcW w:type="dxa" w:w="1680"/>
          </w:tcPr>
          <w:p>
            <w:pPr>
              <w:jc w:val="center"/>
              <w:spacing w:before="50" w:after="50"/>
            </w:pPr>
            <w:r>
              <w:rPr>
                <w:rFonts w:ascii="Times New Roman" w:hAnsi="Times New Roman" w:cs="Times New Roman"/>
                <w:b w:val="0"/>
                <w:i w:val="0"/>
                <w:sz w:val="18"/>
              </w:rPr>
              <w:t>0.937</w:t>
            </w:r>
          </w:p>
        </w:tc>
        <w:tc>
          <w:tcPr>
            <w:tcW w:type="dxa" w:w="1680"/>
          </w:tcPr>
          <w:p>
            <w:pPr>
              <w:jc w:val="center"/>
              <w:spacing w:before="50" w:after="50"/>
            </w:pPr>
            <w:r>
              <w:rPr>
                <w:rFonts w:ascii="Times New Roman" w:hAnsi="Times New Roman" w:cs="Times New Roman"/>
                <w:b w:val="0"/>
                <w:i w:val="0"/>
                <w:sz w:val="18"/>
              </w:rPr>
              <w:t>0.951</w:t>
            </w:r>
          </w:p>
        </w:tc>
      </w:tr>
      <w:tr>
        <w:tc>
          <w:tcPr>
            <w:tcW w:type="dxa" w:w="1680"/>
          </w:tcPr>
          <w:p>
            <w:pPr>
              <w:jc w:val="left"/>
              <w:spacing w:before="50" w:after="50"/>
            </w:pPr>
            <w:r>
              <w:rPr>
                <w:rFonts w:ascii="Times New Roman" w:hAnsi="Times New Roman" w:cs="Times New Roman"/>
                <w:b/>
                <w:i w:val="0"/>
                <w:sz w:val="18"/>
              </w:rPr>
              <w:t>Hybrid Ensemble</w:t>
            </w:r>
          </w:p>
        </w:tc>
        <w:tc>
          <w:tcPr>
            <w:tcW w:type="dxa" w:w="1680"/>
          </w:tcPr>
          <w:p>
            <w:pPr>
              <w:jc w:val="center"/>
              <w:spacing w:before="50" w:after="50"/>
            </w:pPr>
            <w:r>
              <w:rPr>
                <w:rFonts w:ascii="Times New Roman" w:hAnsi="Times New Roman" w:cs="Times New Roman"/>
                <w:b/>
                <w:i w:val="0"/>
                <w:sz w:val="18"/>
              </w:rPr>
              <w:t>94.87%</w:t>
            </w:r>
          </w:p>
        </w:tc>
        <w:tc>
          <w:tcPr>
            <w:tcW w:type="dxa" w:w="1680"/>
          </w:tcPr>
          <w:p>
            <w:pPr>
              <w:jc w:val="center"/>
              <w:spacing w:before="50" w:after="50"/>
            </w:pPr>
            <w:r>
              <w:rPr>
                <w:rFonts w:ascii="Times New Roman" w:hAnsi="Times New Roman" w:cs="Times New Roman"/>
                <w:b/>
                <w:i w:val="0"/>
                <w:sz w:val="18"/>
              </w:rPr>
              <w:t>96.15%</w:t>
            </w:r>
          </w:p>
        </w:tc>
        <w:tc>
          <w:tcPr>
            <w:tcW w:type="dxa" w:w="1680"/>
          </w:tcPr>
          <w:p>
            <w:pPr>
              <w:jc w:val="center"/>
              <w:spacing w:before="50" w:after="50"/>
            </w:pPr>
            <w:r>
              <w:rPr>
                <w:rFonts w:ascii="Times New Roman" w:hAnsi="Times New Roman" w:cs="Times New Roman"/>
                <w:b/>
                <w:i w:val="0"/>
                <w:sz w:val="18"/>
              </w:rPr>
              <w:t>91.30%</w:t>
            </w:r>
          </w:p>
        </w:tc>
        <w:tc>
          <w:tcPr>
            <w:tcW w:type="dxa" w:w="1680"/>
          </w:tcPr>
          <w:p>
            <w:pPr>
              <w:jc w:val="center"/>
              <w:spacing w:before="50" w:after="50"/>
            </w:pPr>
            <w:r>
              <w:rPr>
                <w:rFonts w:ascii="Times New Roman" w:hAnsi="Times New Roman" w:cs="Times New Roman"/>
                <w:b/>
                <w:i w:val="0"/>
                <w:sz w:val="18"/>
              </w:rPr>
              <w:t>0.952</w:t>
            </w:r>
          </w:p>
        </w:tc>
        <w:tc>
          <w:tcPr>
            <w:tcW w:type="dxa" w:w="1680"/>
          </w:tcPr>
          <w:p>
            <w:pPr>
              <w:jc w:val="center"/>
              <w:spacing w:before="50" w:after="50"/>
            </w:pPr>
            <w:r>
              <w:rPr>
                <w:rFonts w:ascii="Times New Roman" w:hAnsi="Times New Roman" w:cs="Times New Roman"/>
                <w:b/>
                <w:i w:val="0"/>
                <w:sz w:val="18"/>
              </w:rPr>
              <w:t>0.962</w:t>
            </w:r>
          </w:p>
        </w:tc>
      </w:tr>
    </w:tbl>
    <w:p>
      <w:pPr>
        <w:spacing w:before="0" w:after="0"/>
        <w:pBdr>
          <w:top w:val="single" w:sz="4" w:space="1" w:color="000000"/>
        </w:pBdr>
      </w:pPr>
    </w:p>
    <w:p>
      <w:pPr>
        <w:spacing w:before="0" w:after="0"/>
      </w:pPr>
      <w:r>
        <w:rPr>
          <w:rFonts w:ascii="Times New Roman" w:hAnsi="Times New Roman" w:cs="Times New Roman"/>
          <w:b w:val="0"/>
          <w:i w:val="0"/>
          <w:sz w:val="8"/>
        </w:rPr>
      </w:r>
    </w:p>
    <w:p>
      <w:pPr>
        <w:ind w:firstLine="216"/>
        <w:jc w:val="both"/>
        <w:spacing w:before="0" w:after="0" w:line="240" w:lineRule="auto"/>
      </w:pPr>
      <w:r>
        <w:rPr>
          <w:rFonts w:ascii="Times New Roman" w:hAnsi="Times New Roman" w:cs="Times New Roman"/>
          <w:b w:val="0"/>
          <w:i w:val="0"/>
          <w:sz w:val="20"/>
        </w:rPr>
        <w:t>The hybrid ensemble achieved 94.87 % accuracy and AUC-ROC = 0.962, outperforming all individual models. Sensitivity of 96.15 % minimizes false negatives—critical for clinical screening.</w:t>
      </w:r>
    </w:p>
    <w:p>
      <w:pPr>
        <w:jc w:val="center"/>
        <w:spacing w:before="72" w:after="28"/>
      </w:pPr>
      <w:r>
        <w:drawing>
          <wp:inline xmlns:a="http://schemas.openxmlformats.org/drawingml/2006/main" xmlns:pic="http://schemas.openxmlformats.org/drawingml/2006/picture">
            <wp:extent cx="2743200" cy="1425892"/>
            <wp:docPr id="7" name="Picture 7"/>
            <wp:cNvGraphicFramePr>
              <a:graphicFrameLocks noChangeAspect="1"/>
            </wp:cNvGraphicFramePr>
            <a:graphic>
              <a:graphicData uri="http://schemas.openxmlformats.org/drawingml/2006/picture">
                <pic:pic>
                  <pic:nvPicPr>
                    <pic:cNvPr id="0" name="radar_chart_and_table_visible_1792614243126.png"/>
                    <pic:cNvPicPr/>
                  </pic:nvPicPr>
                  <pic:blipFill>
                    <a:blip r:embed="rId15"/>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7.  </w:t>
      </w:r>
      <w:r>
        <w:rPr>
          <w:rFonts w:ascii="Times New Roman" w:hAnsi="Times New Roman" w:cs="Times New Roman"/>
          <w:b w:val="0"/>
          <w:i w:val="0"/>
          <w:sz w:val="18"/>
        </w:rPr>
        <w:t>Interactive 22-biomarker radar chart rendered in the clinical web interface. Red boundary: patient’s acoustic profile. Blue boundary: healthy normative baseline derived from the Oxford dataset. Spikes indicate pathological perturbation.</w:t>
      </w:r>
    </w:p>
    <w:p>
      <w:pPr>
        <w:jc w:val="left"/>
        <w:spacing w:before="100" w:after="28"/>
      </w:pPr>
      <w:r>
        <w:rPr>
          <w:rFonts w:ascii="Times New Roman" w:hAnsi="Times New Roman" w:cs="Times New Roman"/>
          <w:b/>
          <w:i/>
          <w:sz w:val="20"/>
        </w:rPr>
        <w:t>B. UPDRS Disease Severity Regression</w:t>
      </w:r>
    </w:p>
    <w:p>
      <w:pPr>
        <w:jc w:val="center"/>
        <w:spacing w:before="100" w:after="28"/>
      </w:pPr>
      <w:r>
        <w:rPr>
          <w:rFonts w:ascii="Times New Roman" w:hAnsi="Times New Roman" w:cs="Times New Roman"/>
          <w:b/>
          <w:i w:val="0"/>
          <w:sz w:val="18"/>
        </w:rPr>
        <w:t>TABLE II</w:t>
        <w:br/>
      </w:r>
      <w:r>
        <w:rPr>
          <w:rFonts w:ascii="Times New Roman" w:hAnsi="Times New Roman" w:cs="Times New Roman"/>
          <w:b/>
          <w:i w:val="0"/>
          <w:sz w:val="18"/>
        </w:rPr>
        <w:t>MDS-UPDRS CONTINUOUS REGRESSION EVALUATION</w:t>
      </w:r>
    </w:p>
    <w:p>
      <w:pPr>
        <w:spacing w:before="0" w:after="0"/>
        <w:pBdr>
          <w:top w:val="single" w:sz="4" w:space="1" w:color="000000"/>
        </w:pBdr>
      </w:pP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2016"/>
        <w:gridCol w:w="2016"/>
        <w:gridCol w:w="2016"/>
        <w:gridCol w:w="2016"/>
        <w:gridCol w:w="2016"/>
      </w:tblGrid>
      <w:tr>
        <w:tc>
          <w:tcPr>
            <w:tcW w:type="dxa" w:w="2016"/>
          </w:tcPr>
          <w:p>
            <w:pPr>
              <w:jc w:val="center"/>
              <w:spacing w:before="60" w:after="60"/>
            </w:pPr>
            <w:r>
              <w:rPr>
                <w:rFonts w:ascii="Times New Roman" w:hAnsi="Times New Roman" w:cs="Times New Roman"/>
                <w:b/>
                <w:i w:val="0"/>
                <w:sz w:val="18"/>
              </w:rPr>
              <w:t>Metric</w:t>
            </w:r>
          </w:p>
        </w:tc>
        <w:tc>
          <w:tcPr>
            <w:tcW w:type="dxa" w:w="2016"/>
          </w:tcPr>
          <w:p>
            <w:pPr>
              <w:jc w:val="center"/>
              <w:spacing w:before="60" w:after="60"/>
            </w:pPr>
            <w:r>
              <w:rPr>
                <w:rFonts w:ascii="Times New Roman" w:hAnsi="Times New Roman" w:cs="Times New Roman"/>
                <w:b/>
                <w:i w:val="0"/>
                <w:sz w:val="18"/>
              </w:rPr>
              <w:t>Range</w:t>
            </w:r>
          </w:p>
        </w:tc>
        <w:tc>
          <w:tcPr>
            <w:tcW w:type="dxa" w:w="2016"/>
          </w:tcPr>
          <w:p>
            <w:pPr>
              <w:jc w:val="center"/>
              <w:spacing w:before="60" w:after="60"/>
            </w:pPr>
            <w:r>
              <w:rPr>
                <w:rFonts w:ascii="Times New Roman" w:hAnsi="Times New Roman" w:cs="Times New Roman"/>
                <w:b/>
                <w:i w:val="0"/>
                <w:sz w:val="18"/>
              </w:rPr>
              <w:t>MAE</w:t>
            </w:r>
          </w:p>
        </w:tc>
        <w:tc>
          <w:tcPr>
            <w:tcW w:type="dxa" w:w="2016"/>
          </w:tcPr>
          <w:p>
            <w:pPr>
              <w:jc w:val="center"/>
              <w:spacing w:before="60" w:after="60"/>
            </w:pPr>
            <w:r>
              <w:rPr>
                <w:rFonts w:ascii="Times New Roman" w:hAnsi="Times New Roman" w:cs="Times New Roman"/>
                <w:b/>
                <w:i w:val="0"/>
                <w:sz w:val="18"/>
              </w:rPr>
              <w:t>RMSE</w:t>
            </w:r>
          </w:p>
        </w:tc>
        <w:tc>
          <w:tcPr>
            <w:tcW w:type="dxa" w:w="2016"/>
          </w:tcPr>
          <w:p>
            <w:pPr>
              <w:jc w:val="center"/>
              <w:spacing w:before="60" w:after="60"/>
            </w:pPr>
            <w:r>
              <w:rPr>
                <w:rFonts w:ascii="Times New Roman" w:hAnsi="Times New Roman" w:cs="Times New Roman"/>
                <w:b/>
                <w:i w:val="0"/>
                <w:sz w:val="18"/>
              </w:rPr>
              <w:t>R²</w:t>
            </w:r>
          </w:p>
        </w:tc>
      </w:tr>
      <w:tr>
        <w:tc>
          <w:tcPr>
            <w:tcW w:type="dxa" w:w="2016"/>
          </w:tcPr>
          <w:p>
            <w:pPr>
              <w:jc w:val="left"/>
              <w:spacing w:before="50" w:after="50"/>
            </w:pPr>
            <w:r>
              <w:rPr>
                <w:rFonts w:ascii="Times New Roman" w:hAnsi="Times New Roman" w:cs="Times New Roman"/>
                <w:b w:val="0"/>
                <w:i w:val="0"/>
                <w:sz w:val="18"/>
              </w:rPr>
              <w:t>Motor-UPDRS</w:t>
            </w:r>
          </w:p>
        </w:tc>
        <w:tc>
          <w:tcPr>
            <w:tcW w:type="dxa" w:w="2016"/>
          </w:tcPr>
          <w:p>
            <w:pPr>
              <w:jc w:val="center"/>
              <w:spacing w:before="50" w:after="50"/>
            </w:pPr>
            <w:r>
              <w:rPr>
                <w:rFonts w:ascii="Times New Roman" w:hAnsi="Times New Roman" w:cs="Times New Roman"/>
                <w:b w:val="0"/>
                <w:i w:val="0"/>
                <w:sz w:val="18"/>
              </w:rPr>
              <w:t>0–108</w:t>
            </w:r>
          </w:p>
        </w:tc>
        <w:tc>
          <w:tcPr>
            <w:tcW w:type="dxa" w:w="2016"/>
          </w:tcPr>
          <w:p>
            <w:pPr>
              <w:jc w:val="center"/>
              <w:spacing w:before="50" w:after="50"/>
            </w:pPr>
            <w:r>
              <w:rPr>
                <w:rFonts w:ascii="Times New Roman" w:hAnsi="Times New Roman" w:cs="Times New Roman"/>
                <w:b w:val="0"/>
                <w:i w:val="0"/>
                <w:sz w:val="18"/>
              </w:rPr>
              <w:t>2.14±0.32</w:t>
            </w:r>
          </w:p>
        </w:tc>
        <w:tc>
          <w:tcPr>
            <w:tcW w:type="dxa" w:w="2016"/>
          </w:tcPr>
          <w:p>
            <w:pPr>
              <w:jc w:val="center"/>
              <w:spacing w:before="50" w:after="50"/>
            </w:pPr>
            <w:r>
              <w:rPr>
                <w:rFonts w:ascii="Times New Roman" w:hAnsi="Times New Roman" w:cs="Times New Roman"/>
                <w:b w:val="0"/>
                <w:i w:val="0"/>
                <w:sz w:val="18"/>
              </w:rPr>
              <w:t>2.85±0.41</w:t>
            </w:r>
          </w:p>
        </w:tc>
        <w:tc>
          <w:tcPr>
            <w:tcW w:type="dxa" w:w="2016"/>
          </w:tcPr>
          <w:p>
            <w:pPr>
              <w:jc w:val="center"/>
              <w:spacing w:before="50" w:after="50"/>
            </w:pPr>
            <w:r>
              <w:rPr>
                <w:rFonts w:ascii="Times New Roman" w:hAnsi="Times New Roman" w:cs="Times New Roman"/>
                <w:b w:val="0"/>
                <w:i w:val="0"/>
                <w:sz w:val="18"/>
              </w:rPr>
              <w:t>0.884</w:t>
            </w:r>
          </w:p>
        </w:tc>
      </w:tr>
      <w:tr>
        <w:tc>
          <w:tcPr>
            <w:tcW w:type="dxa" w:w="2016"/>
          </w:tcPr>
          <w:p>
            <w:pPr>
              <w:jc w:val="left"/>
              <w:spacing w:before="50" w:after="50"/>
            </w:pPr>
            <w:r>
              <w:rPr>
                <w:rFonts w:ascii="Times New Roman" w:hAnsi="Times New Roman" w:cs="Times New Roman"/>
                <w:b/>
                <w:i w:val="0"/>
                <w:sz w:val="18"/>
              </w:rPr>
              <w:t>Total-UPDRS</w:t>
            </w:r>
          </w:p>
        </w:tc>
        <w:tc>
          <w:tcPr>
            <w:tcW w:type="dxa" w:w="2016"/>
          </w:tcPr>
          <w:p>
            <w:pPr>
              <w:jc w:val="center"/>
              <w:spacing w:before="50" w:after="50"/>
            </w:pPr>
            <w:r>
              <w:rPr>
                <w:rFonts w:ascii="Times New Roman" w:hAnsi="Times New Roman" w:cs="Times New Roman"/>
                <w:b/>
                <w:i w:val="0"/>
                <w:sz w:val="18"/>
              </w:rPr>
              <w:t>0–176</w:t>
            </w:r>
          </w:p>
        </w:tc>
        <w:tc>
          <w:tcPr>
            <w:tcW w:type="dxa" w:w="2016"/>
          </w:tcPr>
          <w:p>
            <w:pPr>
              <w:jc w:val="center"/>
              <w:spacing w:before="50" w:after="50"/>
            </w:pPr>
            <w:r>
              <w:rPr>
                <w:rFonts w:ascii="Times New Roman" w:hAnsi="Times New Roman" w:cs="Times New Roman"/>
                <w:b/>
                <w:i w:val="0"/>
                <w:sz w:val="18"/>
              </w:rPr>
              <w:t>3.18±0.45</w:t>
            </w:r>
          </w:p>
        </w:tc>
        <w:tc>
          <w:tcPr>
            <w:tcW w:type="dxa" w:w="2016"/>
          </w:tcPr>
          <w:p>
            <w:pPr>
              <w:jc w:val="center"/>
              <w:spacing w:before="50" w:after="50"/>
            </w:pPr>
            <w:r>
              <w:rPr>
                <w:rFonts w:ascii="Times New Roman" w:hAnsi="Times New Roman" w:cs="Times New Roman"/>
                <w:b/>
                <w:i w:val="0"/>
                <w:sz w:val="18"/>
              </w:rPr>
              <w:t>4.12±0.58</w:t>
            </w:r>
          </w:p>
        </w:tc>
        <w:tc>
          <w:tcPr>
            <w:tcW w:type="dxa" w:w="2016"/>
          </w:tcPr>
          <w:p>
            <w:pPr>
              <w:jc w:val="center"/>
              <w:spacing w:before="50" w:after="50"/>
            </w:pPr>
            <w:r>
              <w:rPr>
                <w:rFonts w:ascii="Times New Roman" w:hAnsi="Times New Roman" w:cs="Times New Roman"/>
                <w:b/>
                <w:i w:val="0"/>
                <w:sz w:val="18"/>
              </w:rPr>
              <w:t>0.892</w:t>
            </w:r>
          </w:p>
        </w:tc>
      </w:tr>
    </w:tbl>
    <w:p>
      <w:pPr>
        <w:spacing w:before="0" w:after="0"/>
        <w:pBdr>
          <w:top w:val="single" w:sz="4" w:space="1" w:color="000000"/>
        </w:pBdr>
      </w:pPr>
    </w:p>
    <w:p>
      <w:pPr>
        <w:spacing w:before="0" w:after="0"/>
      </w:pPr>
      <w:r>
        <w:rPr>
          <w:rFonts w:ascii="Times New Roman" w:hAnsi="Times New Roman" w:cs="Times New Roman"/>
          <w:b w:val="0"/>
          <w:i w:val="0"/>
          <w:sz w:val="8"/>
        </w:rPr>
      </w:r>
    </w:p>
    <w:p>
      <w:pPr>
        <w:jc w:val="center"/>
        <w:spacing w:before="72" w:after="28"/>
      </w:pPr>
      <w:r>
        <w:drawing>
          <wp:inline xmlns:a="http://schemas.openxmlformats.org/drawingml/2006/main" xmlns:pic="http://schemas.openxmlformats.org/drawingml/2006/picture">
            <wp:extent cx="2743200" cy="1425892"/>
            <wp:docPr id="8" name="Picture 8"/>
            <wp:cNvGraphicFramePr>
              <a:graphicFrameLocks noChangeAspect="1"/>
            </wp:cNvGraphicFramePr>
            <a:graphic>
              <a:graphicData uri="http://schemas.openxmlformats.org/drawingml/2006/picture">
                <pic:pic>
                  <pic:nvPicPr>
                    <pic:cNvPr id="0" name="diagnostic_results_1792613883724.png"/>
                    <pic:cNvPicPr/>
                  </pic:nvPicPr>
                  <pic:blipFill>
                    <a:blip r:embed="rId16"/>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8.  </w:t>
      </w:r>
      <w:r>
        <w:rPr>
          <w:rFonts w:ascii="Times New Roman" w:hAnsi="Times New Roman" w:cs="Times New Roman"/>
          <w:b w:val="0"/>
          <w:i w:val="0"/>
          <w:sz w:val="18"/>
        </w:rPr>
        <w:t>Diagnostic results panel showing ensemble Parkinson’s probability, autoencoder anomaly Z-score, predicted Motor-UPDRS and Total-UPDRS scores, and per-feature normative status table.</w:t>
      </w:r>
    </w:p>
    <w:p>
      <w:pPr>
        <w:jc w:val="left"/>
        <w:spacing w:before="100" w:after="28"/>
      </w:pPr>
      <w:r>
        <w:rPr>
          <w:rFonts w:ascii="Times New Roman" w:hAnsi="Times New Roman" w:cs="Times New Roman"/>
          <w:b/>
          <w:i/>
          <w:sz w:val="20"/>
        </w:rPr>
        <w:t>C. Ablation Study — Biomarker Sub-Family Contributions</w:t>
      </w:r>
    </w:p>
    <w:p>
      <w:pPr>
        <w:ind w:left="288" w:hanging="216"/>
        <w:jc w:val="both"/>
        <w:spacing w:before="0" w:after="0" w:line="240" w:lineRule="auto"/>
      </w:pPr>
      <w:r>
        <w:rPr>
          <w:rFonts w:ascii="Times New Roman" w:hAnsi="Times New Roman" w:cs="Times New Roman"/>
          <w:b/>
          <w:i w:val="0"/>
          <w:sz w:val="20"/>
        </w:rPr>
        <w:t xml:space="preserve">• Jitter alone: </w:t>
      </w:r>
      <w:r>
        <w:rPr>
          <w:rFonts w:ascii="Times New Roman" w:hAnsi="Times New Roman" w:cs="Times New Roman"/>
          <w:b w:val="0"/>
          <w:i w:val="0"/>
          <w:sz w:val="20"/>
        </w:rPr>
        <w:t>78.4 % accuracy</w:t>
      </w:r>
    </w:p>
    <w:p>
      <w:pPr>
        <w:ind w:left="288" w:hanging="216"/>
        <w:jc w:val="both"/>
        <w:spacing w:before="0" w:after="0" w:line="240" w:lineRule="auto"/>
      </w:pPr>
      <w:r>
        <w:rPr>
          <w:rFonts w:ascii="Times New Roman" w:hAnsi="Times New Roman" w:cs="Times New Roman"/>
          <w:b/>
          <w:i w:val="0"/>
          <w:sz w:val="20"/>
        </w:rPr>
        <w:t xml:space="preserve">• Shimmer alone: </w:t>
      </w:r>
      <w:r>
        <w:rPr>
          <w:rFonts w:ascii="Times New Roman" w:hAnsi="Times New Roman" w:cs="Times New Roman"/>
          <w:b w:val="0"/>
          <w:i w:val="0"/>
          <w:sz w:val="20"/>
        </w:rPr>
        <w:t>81.2 % accuracy</w:t>
      </w:r>
    </w:p>
    <w:p>
      <w:pPr>
        <w:ind w:left="288" w:hanging="216"/>
        <w:jc w:val="both"/>
        <w:spacing w:before="0" w:after="0" w:line="240" w:lineRule="auto"/>
      </w:pPr>
      <w:r>
        <w:rPr>
          <w:rFonts w:ascii="Times New Roman" w:hAnsi="Times New Roman" w:cs="Times New Roman"/>
          <w:b/>
          <w:i w:val="0"/>
          <w:sz w:val="20"/>
        </w:rPr>
        <w:t xml:space="preserve">• HNR / NHR: </w:t>
      </w:r>
      <w:r>
        <w:rPr>
          <w:rFonts w:ascii="Times New Roman" w:hAnsi="Times New Roman" w:cs="Times New Roman"/>
          <w:b w:val="0"/>
          <w:i w:val="0"/>
          <w:sz w:val="20"/>
        </w:rPr>
        <w:t>83.6 % accuracy</w:t>
      </w:r>
    </w:p>
    <w:p>
      <w:pPr>
        <w:ind w:left="288" w:hanging="216"/>
        <w:jc w:val="both"/>
        <w:spacing w:before="0" w:after="0" w:line="240" w:lineRule="auto"/>
      </w:pPr>
      <w:r>
        <w:rPr>
          <w:rFonts w:ascii="Times New Roman" w:hAnsi="Times New Roman" w:cs="Times New Roman"/>
          <w:b/>
          <w:i w:val="0"/>
          <w:sz w:val="20"/>
        </w:rPr>
        <w:t xml:space="preserve">• Non-linear (PPE, RPDE, DFA): </w:t>
      </w:r>
      <w:r>
        <w:rPr>
          <w:rFonts w:ascii="Times New Roman" w:hAnsi="Times New Roman" w:cs="Times New Roman"/>
          <w:b w:val="0"/>
          <w:i w:val="0"/>
          <w:sz w:val="20"/>
        </w:rPr>
        <w:t>88.7 % accuracy</w:t>
      </w:r>
    </w:p>
    <w:p>
      <w:pPr>
        <w:ind w:left="288" w:hanging="216"/>
        <w:jc w:val="both"/>
        <w:spacing w:before="0" w:after="0" w:line="240" w:lineRule="auto"/>
      </w:pPr>
      <w:r>
        <w:rPr>
          <w:rFonts w:ascii="Times New Roman" w:hAnsi="Times New Roman" w:cs="Times New Roman"/>
          <w:b/>
          <w:i w:val="0"/>
          <w:sz w:val="20"/>
        </w:rPr>
        <w:t xml:space="preserve">• Full 22-dim vector: </w:t>
      </w:r>
      <w:r>
        <w:rPr>
          <w:rFonts w:ascii="Times New Roman" w:hAnsi="Times New Roman" w:cs="Times New Roman"/>
          <w:b w:val="0"/>
          <w:i w:val="0"/>
          <w:sz w:val="20"/>
        </w:rPr>
        <w:t>94.87 % accuracy</w:t>
      </w:r>
    </w:p>
    <w:p>
      <w:pPr>
        <w:ind w:firstLine="216"/>
        <w:jc w:val="both"/>
        <w:spacing w:before="0" w:after="0" w:line="240" w:lineRule="auto"/>
      </w:pPr>
      <w:r>
        <w:rPr>
          <w:rFonts w:ascii="Times New Roman" w:hAnsi="Times New Roman" w:cs="Times New Roman"/>
          <w:b w:val="0"/>
          <w:i w:val="0"/>
          <w:sz w:val="20"/>
        </w:rPr>
        <w:t>Non-linear chaotic dynamics contributed the largest individual information gain, confirming that laryngeal tremor induces non-stationary fractal turbulence that perturbation metrics alone cannot capture.</w:t>
      </w:r>
    </w:p>
    <w:p>
      <w:pPr>
        <w:jc w:val="left"/>
        <w:spacing w:before="100" w:after="28"/>
      </w:pPr>
      <w:r>
        <w:rPr>
          <w:rFonts w:ascii="Times New Roman" w:hAnsi="Times New Roman" w:cs="Times New Roman"/>
          <w:b/>
          <w:i/>
          <w:sz w:val="20"/>
        </w:rPr>
        <w:t>D. System Latency Benchmark</w:t>
      </w:r>
    </w:p>
    <w:p>
      <w:pPr>
        <w:ind w:firstLine="216"/>
        <w:jc w:val="both"/>
        <w:spacing w:before="0" w:after="0" w:line="240" w:lineRule="auto"/>
      </w:pPr>
      <w:r>
        <w:rPr>
          <w:rFonts w:ascii="Times New Roman" w:hAnsi="Times New Roman" w:cs="Times New Roman"/>
          <w:b w:val="0"/>
          <w:i w:val="0"/>
          <w:sz w:val="20"/>
        </w:rPr>
        <w:t>Intel Core i7-12700H, 16 GB RAM, no GPU: Audio POST: 120±25 ms; DSP extraction: 410±45 ms; ML inference: 280±30 ms; Serialization: 35±8 ms. Total: 845 ms (max 1,120 ms) — satisfies real-time clinical standards (&lt; 1.5 s).</w:t>
      </w:r>
    </w:p>
    <w:p>
      <w:pPr>
        <w:jc w:val="center"/>
        <w:spacing w:before="144" w:after="57"/>
      </w:pPr>
      <w:r>
        <w:rPr>
          <w:rFonts w:ascii="Times New Roman" w:hAnsi="Times New Roman" w:cs="Times New Roman"/>
          <w:b/>
          <w:i w:val="0"/>
          <w:sz w:val="20"/>
        </w:rPr>
        <w:t>VII. CLINICAL INTERFACE &amp; LSVT LOUD® MODULE</w:t>
      </w:r>
    </w:p>
    <w:p>
      <w:pPr>
        <w:jc w:val="center"/>
        <w:spacing w:before="72" w:after="28"/>
      </w:pPr>
      <w:r>
        <w:drawing>
          <wp:inline xmlns:a="http://schemas.openxmlformats.org/drawingml/2006/main" xmlns:pic="http://schemas.openxmlformats.org/drawingml/2006/picture">
            <wp:extent cx="2834640" cy="1473422"/>
            <wp:docPr id="9" name="Picture 9"/>
            <wp:cNvGraphicFramePr>
              <a:graphicFrameLocks noChangeAspect="1"/>
            </wp:cNvGraphicFramePr>
            <a:graphic>
              <a:graphicData uri="http://schemas.openxmlformats.org/drawingml/2006/picture">
                <pic:pic>
                  <pic:nvPicPr>
                    <pic:cNvPr id="0" name="screenshot.png"/>
                    <pic:cNvPicPr/>
                  </pic:nvPicPr>
                  <pic:blipFill>
                    <a:blip r:embed="rId17"/>
                    <a:stretch>
                      <a:fillRect/>
                    </a:stretch>
                  </pic:blipFill>
                  <pic:spPr>
                    <a:xfrm>
                      <a:off x="0" y="0"/>
                      <a:ext cx="2834640" cy="1473422"/>
                    </a:xfrm>
                    <a:prstGeom prst="rect"/>
                  </pic:spPr>
                </pic:pic>
              </a:graphicData>
            </a:graphic>
          </wp:inline>
        </w:drawing>
      </w:r>
    </w:p>
    <w:p>
      <w:pPr>
        <w:jc w:val="center"/>
        <w:spacing w:before="0" w:after="100"/>
      </w:pPr>
      <w:r>
        <w:rPr>
          <w:rFonts w:ascii="Times New Roman" w:hAnsi="Times New Roman" w:cs="Times New Roman"/>
          <w:b/>
          <w:i w:val="0"/>
          <w:sz w:val="18"/>
        </w:rPr>
        <w:t xml:space="preserve">Fig. 9.  </w:t>
      </w:r>
      <w:r>
        <w:rPr>
          <w:rFonts w:ascii="Times New Roman" w:hAnsi="Times New Roman" w:cs="Times New Roman"/>
          <w:b w:val="0"/>
          <w:i w:val="0"/>
          <w:sz w:val="18"/>
        </w:rPr>
        <w:t>Full clinical telemonitoring web interface: (top-left) voice recording controls and biomarker gauges; (top-right) Three.js 3D brain; (bottom) longitudinal UPDRS trend with BOCPD changepoint markers.</w:t>
      </w:r>
    </w:p>
    <w:p>
      <w:pPr>
        <w:ind w:firstLine="216"/>
        <w:jc w:val="both"/>
        <w:spacing w:before="0" w:after="0" w:line="240" w:lineRule="auto"/>
      </w:pPr>
      <w:r>
        <w:rPr>
          <w:rFonts w:ascii="Times New Roman" w:hAnsi="Times New Roman" w:cs="Times New Roman"/>
          <w:b w:val="0"/>
          <w:i w:val="0"/>
          <w:sz w:val="20"/>
        </w:rPr>
        <w:t>The Parkinson’s Voice Companion clinical portal was designed to a professional biotech aesthetic using glassmorphism, WebGL particle shaders, and Chart.js interactive visualizations. Fig. 9 shows the complete interface. The LSVT LOUD® module (Fig. 10) provides real-time calibrated dB SPL metering and Maximum Phonation Time (MPT) timing, enabling patients to perform home-based vocal intensity exercises with immediate visual biofeedback.</w:t>
      </w:r>
    </w:p>
    <w:p>
      <w:pPr>
        <w:jc w:val="center"/>
        <w:spacing w:before="72" w:after="28"/>
      </w:pPr>
      <w:r>
        <w:drawing>
          <wp:inline xmlns:a="http://schemas.openxmlformats.org/drawingml/2006/main" xmlns:pic="http://schemas.openxmlformats.org/drawingml/2006/picture">
            <wp:extent cx="2743200" cy="1425892"/>
            <wp:docPr id="10" name="Picture 10"/>
            <wp:cNvGraphicFramePr>
              <a:graphicFrameLocks noChangeAspect="1"/>
            </wp:cNvGraphicFramePr>
            <a:graphic>
              <a:graphicData uri="http://schemas.openxmlformats.org/drawingml/2006/picture">
                <pic:pic>
                  <pic:nvPicPr>
                    <pic:cNvPr id="0" name="scrolled_down_calibration_1792613461601.png"/>
                    <pic:cNvPicPr/>
                  </pic:nvPicPr>
                  <pic:blipFill>
                    <a:blip r:embed="rId18"/>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10.  </w:t>
      </w:r>
      <w:r>
        <w:rPr>
          <w:rFonts w:ascii="Times New Roman" w:hAnsi="Times New Roman" w:cs="Times New Roman"/>
          <w:b w:val="0"/>
          <w:i w:val="0"/>
          <w:sz w:val="18"/>
        </w:rPr>
        <w:t>LSVT LOUD® biofeedback module: real-time dB SPL meter with target loudness zone (green band = therapeutic target 70–80 dBSPL), Maximum Phonation Time (MPT) countdown timer, and per-session progress log.</w:t>
      </w:r>
    </w:p>
    <w:p>
      <w:pPr>
        <w:ind w:firstLine="216"/>
        <w:jc w:val="both"/>
        <w:spacing w:before="0" w:after="0" w:line="240" w:lineRule="auto"/>
      </w:pPr>
      <w:r>
        <w:rPr>
          <w:rFonts w:ascii="Times New Roman" w:hAnsi="Times New Roman" w:cs="Times New Roman"/>
          <w:b w:val="0"/>
          <w:i w:val="0"/>
          <w:sz w:val="20"/>
        </w:rPr>
        <w:t>The holographic dashboard visualization (Fig. 11) provides an executive-level summary view for clinicians, condensing the full multi-model ensemble output, longitudinal UPDRS trajectory, and BOCPD changepoint markers into a single at-a-glance clinical panel.</w:t>
      </w:r>
    </w:p>
    <w:p>
      <w:pPr>
        <w:jc w:val="center"/>
        <w:spacing w:before="72" w:after="28"/>
      </w:pPr>
      <w:r>
        <w:drawing>
          <wp:inline xmlns:a="http://schemas.openxmlformats.org/drawingml/2006/main" xmlns:pic="http://schemas.openxmlformats.org/drawingml/2006/picture">
            <wp:extent cx="2743200" cy="1531088"/>
            <wp:docPr id="11" name="Picture 11"/>
            <wp:cNvGraphicFramePr>
              <a:graphicFrameLocks noChangeAspect="1"/>
            </wp:cNvGraphicFramePr>
            <a:graphic>
              <a:graphicData uri="http://schemas.openxmlformats.org/drawingml/2006/picture">
                <pic:pic>
                  <pic:nvPicPr>
                    <pic:cNvPr id="0" name="holographic_dashboard.jpg"/>
                    <pic:cNvPicPr/>
                  </pic:nvPicPr>
                  <pic:blipFill>
                    <a:blip r:embed="rId19"/>
                    <a:stretch>
                      <a:fillRect/>
                    </a:stretch>
                  </pic:blipFill>
                  <pic:spPr>
                    <a:xfrm>
                      <a:off x="0" y="0"/>
                      <a:ext cx="2743200" cy="1531088"/>
                    </a:xfrm>
                    <a:prstGeom prst="rect"/>
                  </pic:spPr>
                </pic:pic>
              </a:graphicData>
            </a:graphic>
          </wp:inline>
        </w:drawing>
      </w:r>
    </w:p>
    <w:p>
      <w:pPr>
        <w:jc w:val="center"/>
        <w:spacing w:before="0" w:after="100"/>
      </w:pPr>
      <w:r>
        <w:rPr>
          <w:rFonts w:ascii="Times New Roman" w:hAnsi="Times New Roman" w:cs="Times New Roman"/>
          <w:b/>
          <w:i w:val="0"/>
          <w:sz w:val="18"/>
        </w:rPr>
        <w:t xml:space="preserve">Fig. 11.  </w:t>
      </w:r>
      <w:r>
        <w:rPr>
          <w:rFonts w:ascii="Times New Roman" w:hAnsi="Times New Roman" w:cs="Times New Roman"/>
          <w:b w:val="0"/>
          <w:i w:val="0"/>
          <w:sz w:val="18"/>
        </w:rPr>
        <w:t>Holographic summary dashboard panel: ensemble PD probability gauge, longitudinal UPDRS motor trajectory with BOCPD changepoints annotated (red dashed lines), and per-session acoustic biomarker heat map.</w:t>
      </w:r>
    </w:p>
    <w:p>
      <w:pPr>
        <w:jc w:val="center"/>
        <w:spacing w:before="144" w:after="57"/>
      </w:pPr>
      <w:r>
        <w:rPr>
          <w:rFonts w:ascii="Times New Roman" w:hAnsi="Times New Roman" w:cs="Times New Roman"/>
          <w:b/>
          <w:i w:val="0"/>
          <w:sz w:val="20"/>
        </w:rPr>
        <w:t>VIII. DISCUSSION &amp; CLINICAL IMPLICATIONS</w:t>
      </w:r>
    </w:p>
    <w:p>
      <w:pPr>
        <w:ind w:firstLine="216"/>
        <w:jc w:val="both"/>
        <w:spacing w:before="0" w:after="0" w:line="240" w:lineRule="auto"/>
      </w:pPr>
      <w:r>
        <w:rPr>
          <w:rFonts w:ascii="Times New Roman" w:hAnsi="Times New Roman" w:cs="Times New Roman"/>
          <w:b w:val="0"/>
          <w:i w:val="0"/>
          <w:sz w:val="20"/>
        </w:rPr>
        <w:t>The empirical findings demonstrate that acoustic biomarker telemonitoring offers a clinically robust surrogate for conventional in-clinic Parkinson’s evaluations. Traditional MDS-UPDRS assessments rely on subjective visual inspection, introducing inter-examiner variability and failing to capture sub-clinical changes. Deterministic vocal micro-perturbation extraction provides continuous, objective laryngeal rigidity quantification.</w:t>
      </w:r>
    </w:p>
    <w:p>
      <w:pPr>
        <w:ind w:firstLine="216"/>
        <w:jc w:val="both"/>
        <w:spacing w:before="0" w:after="0" w:line="240" w:lineRule="auto"/>
      </w:pPr>
      <w:r>
        <w:rPr>
          <w:rFonts w:ascii="Times New Roman" w:hAnsi="Times New Roman" w:cs="Times New Roman"/>
          <w:b w:val="0"/>
          <w:i w:val="0"/>
          <w:sz w:val="20"/>
        </w:rPr>
        <w:t>BOCPD directly addresses Levodopa motor fluctuations: in advanced PD, patients cycle between ‘On’ (effective control) and ‘Off’ (severe rigidity) states as plasma drug concentrations decay. Automated acoustic-based changepoint detection enables personalized dosage optimization, mitigating drug-induced dyskinesia.</w:t>
      </w:r>
    </w:p>
    <w:p>
      <w:pPr>
        <w:jc w:val="center"/>
        <w:spacing w:before="72" w:after="28"/>
      </w:pPr>
      <w:r>
        <w:drawing>
          <wp:inline xmlns:a="http://schemas.openxmlformats.org/drawingml/2006/main" xmlns:pic="http://schemas.openxmlformats.org/drawingml/2006/picture">
            <wp:extent cx="2743200" cy="1425892"/>
            <wp:docPr id="12" name="Picture 12"/>
            <wp:cNvGraphicFramePr>
              <a:graphicFrameLocks noChangeAspect="1"/>
            </wp:cNvGraphicFramePr>
            <a:graphic>
              <a:graphicData uri="http://schemas.openxmlformats.org/drawingml/2006/picture">
                <pic:pic>
                  <pic:nvPicPr>
                    <pic:cNvPr id="0" name="screenshot.png"/>
                    <pic:cNvPicPr/>
                  </pic:nvPicPr>
                  <pic:blipFill>
                    <a:blip r:embed="rId17"/>
                    <a:stretch>
                      <a:fillRect/>
                    </a:stretch>
                  </pic:blipFill>
                  <pic:spPr>
                    <a:xfrm>
                      <a:off x="0" y="0"/>
                      <a:ext cx="2743200" cy="1425892"/>
                    </a:xfrm>
                    <a:prstGeom prst="rect"/>
                  </pic:spPr>
                </pic:pic>
              </a:graphicData>
            </a:graphic>
          </wp:inline>
        </w:drawing>
      </w:r>
    </w:p>
    <w:p>
      <w:pPr>
        <w:jc w:val="center"/>
        <w:spacing w:before="0" w:after="100"/>
      </w:pPr>
      <w:r>
        <w:rPr>
          <w:rFonts w:ascii="Times New Roman" w:hAnsi="Times New Roman" w:cs="Times New Roman"/>
          <w:b/>
          <w:i w:val="0"/>
          <w:sz w:val="18"/>
        </w:rPr>
        <w:t xml:space="preserve">Fig. 12.  </w:t>
      </w:r>
      <w:r>
        <w:rPr>
          <w:rFonts w:ascii="Times New Roman" w:hAnsi="Times New Roman" w:cs="Times New Roman"/>
          <w:b w:val="0"/>
          <w:i w:val="0"/>
          <w:sz w:val="18"/>
        </w:rPr>
        <w:t>Three.js 3D neurological particle visualization with glowing dopaminergic pathway highlighting. The substantia nigra degeneration zone (central glow) correlates dynamically with the computed Parkinson’s probability score.</w:t>
      </w:r>
    </w:p>
    <w:p>
      <w:pPr>
        <w:jc w:val="center"/>
        <w:spacing w:before="144" w:after="57"/>
      </w:pPr>
      <w:r>
        <w:rPr>
          <w:rFonts w:ascii="Times New Roman" w:hAnsi="Times New Roman" w:cs="Times New Roman"/>
          <w:b/>
          <w:i w:val="0"/>
          <w:sz w:val="20"/>
        </w:rPr>
        <w:t>IX. CONCLUSION &amp; FUTURE WORK</w:t>
      </w:r>
    </w:p>
    <w:p>
      <w:pPr>
        <w:ind w:firstLine="216"/>
        <w:jc w:val="both"/>
        <w:spacing w:before="0" w:after="0" w:line="240" w:lineRule="auto"/>
      </w:pPr>
      <w:r>
        <w:rPr>
          <w:rFonts w:ascii="Times New Roman" w:hAnsi="Times New Roman" w:cs="Times New Roman"/>
          <w:b w:val="0"/>
          <w:i w:val="0"/>
          <w:sz w:val="20"/>
        </w:rPr>
        <w:t>We developed and validated Parkinson’s Voice Companion, an end-to-end clinical telemonitoring platform for non-invasive PD detection and progression tracking. The hybrid deep ensemble achieves 94.87 % accuracy, AUC-ROC = 0.962, Motor-UPDRS RMSE = 2.85, and Total-UPDRS RMSE = 4.12 under strict subject-independent cross-validation. End-to-end latency of 845 ms enables real-time clinical telemonitoring from consumer web browsers.</w:t>
      </w:r>
    </w:p>
    <w:p>
      <w:pPr>
        <w:ind w:firstLine="216"/>
        <w:jc w:val="both"/>
        <w:spacing w:before="0" w:after="0" w:line="240" w:lineRule="auto"/>
      </w:pPr>
      <w:r>
        <w:rPr>
          <w:rFonts w:ascii="Times New Roman" w:hAnsi="Times New Roman" w:cs="Times New Roman"/>
          <w:b w:val="0"/>
          <w:i w:val="0"/>
          <w:sz w:val="20"/>
        </w:rPr>
        <w:t>Future work: (a) wearable EEG and accelerometry multimodal fusion; (b) Federated Learning across distributed hospital client nodes for privacy-preserving training; (c) formal longitudinal clinical trials toward FDA Software as a Medical Device (SaMD) clearance.</w:t>
      </w:r>
    </w:p>
    <w:p>
      <w:pPr>
        <w:jc w:val="center"/>
        <w:spacing w:before="144" w:after="57"/>
      </w:pPr>
      <w:r>
        <w:rPr>
          <w:rFonts w:ascii="Times New Roman" w:hAnsi="Times New Roman" w:cs="Times New Roman"/>
          <w:b/>
          <w:i w:val="0"/>
          <w:sz w:val="20"/>
        </w:rPr>
        <w:t>ACKNOWLEDGMENT</w:t>
      </w:r>
    </w:p>
    <w:p>
      <w:pPr>
        <w:jc w:val="both"/>
        <w:spacing w:before="0" w:after="0" w:line="240" w:lineRule="auto"/>
      </w:pPr>
      <w:r>
        <w:rPr>
          <w:rFonts w:ascii="Times New Roman" w:hAnsi="Times New Roman" w:cs="Times New Roman"/>
          <w:b w:val="0"/>
          <w:i w:val="0"/>
          <w:sz w:val="20"/>
        </w:rPr>
        <w:t>The author thanks the Department of Artificial Intelligence &amp; Data Science, School of Computer Science and Engineering, VIT Vellore for computational infrastructure. Gratitude is extended to Dr. Max Little, Dr. Athanasios Tsanas, and the UCI Machine Learning Repository for open clinical dataset access.</w:t>
      </w:r>
    </w:p>
    <w:p>
      <w:pPr>
        <w:jc w:val="center"/>
        <w:spacing w:before="144" w:after="57"/>
      </w:pPr>
      <w:r>
        <w:rPr>
          <w:rFonts w:ascii="Times New Roman" w:hAnsi="Times New Roman" w:cs="Times New Roman"/>
          <w:b/>
          <w:i w:val="0"/>
          <w:sz w:val="20"/>
        </w:rPr>
        <w:t>REFERENCES</w:t>
      </w:r>
    </w:p>
    <w:p>
      <w:pPr>
        <w:ind w:left="317" w:hanging="317"/>
        <w:jc w:val="both"/>
        <w:spacing w:before="0" w:after="36" w:line="210" w:lineRule="auto"/>
      </w:pPr>
      <w:r>
        <w:rPr>
          <w:rFonts w:ascii="Times New Roman" w:hAnsi="Times New Roman" w:cs="Times New Roman"/>
          <w:b w:val="0"/>
          <w:i w:val="0"/>
          <w:sz w:val="17"/>
        </w:rPr>
        <w:t>[1]</w:t>
        <w:tab/>
        <w:t>M. A. Little, P. E. McSharry, S. J. Roberts, D. A. E. Costello, and I. M. Moroz, “Suitability of dysphonia measurements for telemonitoring of Parkinson’s disease,” IEEE Trans. Biomed. Eng., vol. 56, no. 4, pp. 1015–1022, Apr. 2009.</w:t>
      </w:r>
    </w:p>
    <w:p>
      <w:pPr>
        <w:ind w:left="317" w:hanging="317"/>
        <w:jc w:val="both"/>
        <w:spacing w:before="0" w:after="36" w:line="210" w:lineRule="auto"/>
      </w:pPr>
      <w:r>
        <w:rPr>
          <w:rFonts w:ascii="Times New Roman" w:hAnsi="Times New Roman" w:cs="Times New Roman"/>
          <w:b w:val="0"/>
          <w:i w:val="0"/>
          <w:sz w:val="17"/>
        </w:rPr>
        <w:t>[2]</w:t>
        <w:tab/>
        <w:t>A. Tsanas, M. A. Little, P. E. McSharry, and L. O. Ramig, “Accurate telemonitoring of Parkinson’s disease progression by noninvasive speech tests,” IEEE Trans. Biomed. Eng., vol. 57, no. 4, pp. 884–893, Apr. 2010.</w:t>
      </w:r>
    </w:p>
    <w:p>
      <w:pPr>
        <w:ind w:left="317" w:hanging="317"/>
        <w:jc w:val="both"/>
        <w:spacing w:before="0" w:after="36" w:line="210" w:lineRule="auto"/>
      </w:pPr>
      <w:r>
        <w:rPr>
          <w:rFonts w:ascii="Times New Roman" w:hAnsi="Times New Roman" w:cs="Times New Roman"/>
          <w:b w:val="0"/>
          <w:i w:val="0"/>
          <w:sz w:val="17"/>
        </w:rPr>
        <w:t>[3]</w:t>
        <w:tab/>
        <w:t>C. O. Sakar et al., “A comparative analysis of speech signal processing methods for Parkinson’s disease detection,” IEEE Access, vol. 7, pp. 31215–31232, 2019.</w:t>
      </w:r>
    </w:p>
    <w:p>
      <w:pPr>
        <w:ind w:left="317" w:hanging="317"/>
        <w:jc w:val="both"/>
        <w:spacing w:before="0" w:after="36" w:line="210" w:lineRule="auto"/>
      </w:pPr>
      <w:r>
        <w:rPr>
          <w:rFonts w:ascii="Times New Roman" w:hAnsi="Times New Roman" w:cs="Times New Roman"/>
          <w:b w:val="0"/>
          <w:i w:val="0"/>
          <w:sz w:val="17"/>
        </w:rPr>
        <w:t>[4]</w:t>
        <w:tab/>
        <w:t>C. G. Goetz et al., “MDS-sponsored revision of the Unified Parkinson’s Disease Rating Scale (MDS-UPDRS),” Mov. Disord., vol. 22, no. 1, pp. 41–47, Jan. 2007.</w:t>
      </w:r>
    </w:p>
    <w:p>
      <w:pPr>
        <w:ind w:left="317" w:hanging="317"/>
        <w:jc w:val="both"/>
        <w:spacing w:before="0" w:after="36" w:line="210" w:lineRule="auto"/>
      </w:pPr>
      <w:r>
        <w:rPr>
          <w:rFonts w:ascii="Times New Roman" w:hAnsi="Times New Roman" w:cs="Times New Roman"/>
          <w:b w:val="0"/>
          <w:i w:val="0"/>
          <w:sz w:val="17"/>
        </w:rPr>
        <w:t>[5]</w:t>
        <w:tab/>
        <w:t>L. O. Ramig et al., “Intensive voice treatment (LSVT LOUD) for Parkinson’s disease,” J. Speech Lang. Hear. Res., vol. 44, no. 6, pp. 1222–1238, Dec. 2001.</w:t>
      </w:r>
    </w:p>
    <w:p>
      <w:pPr>
        <w:ind w:left="317" w:hanging="317"/>
        <w:jc w:val="both"/>
        <w:spacing w:before="0" w:after="36" w:line="210" w:lineRule="auto"/>
      </w:pPr>
      <w:r>
        <w:rPr>
          <w:rFonts w:ascii="Times New Roman" w:hAnsi="Times New Roman" w:cs="Times New Roman"/>
          <w:b w:val="0"/>
          <w:i w:val="0"/>
          <w:sz w:val="17"/>
        </w:rPr>
        <w:t>[6]</w:t>
        <w:tab/>
        <w:t>S. Sapir, L. O. Ramig, and C. M. Fox, “Speech and voice disorders in Parkinson’s disease,” Semin. Speech Lang., vol. 29, no. 2, pp. 116–129, 2008.</w:t>
      </w:r>
    </w:p>
    <w:p>
      <w:pPr>
        <w:ind w:left="317" w:hanging="317"/>
        <w:jc w:val="both"/>
        <w:spacing w:before="0" w:after="36" w:line="210" w:lineRule="auto"/>
      </w:pPr>
      <w:r>
        <w:rPr>
          <w:rFonts w:ascii="Times New Roman" w:hAnsi="Times New Roman" w:cs="Times New Roman"/>
          <w:b w:val="0"/>
          <w:i w:val="0"/>
          <w:sz w:val="17"/>
        </w:rPr>
        <w:t>[7]</w:t>
        <w:tab/>
        <w:t>P. Boersma and D. Weenink, “Praat: doing phonetics by computer,” v6.3.10, 2023. [Online]. Available: http://www.praat.org/</w:t>
      </w:r>
    </w:p>
    <w:p>
      <w:pPr>
        <w:ind w:left="317" w:hanging="317"/>
        <w:jc w:val="both"/>
        <w:spacing w:before="0" w:after="36" w:line="210" w:lineRule="auto"/>
      </w:pPr>
      <w:r>
        <w:rPr>
          <w:rFonts w:ascii="Times New Roman" w:hAnsi="Times New Roman" w:cs="Times New Roman"/>
          <w:b w:val="0"/>
          <w:i w:val="0"/>
          <w:sz w:val="17"/>
        </w:rPr>
        <w:t>[8]</w:t>
        <w:tab/>
        <w:t>J. R. Orozco-Arroyave et al., “Apkinson: A mobile application for multimodal assessment of Parkinson’s disease,” IEEE J. Biomed. Health Inform., vol. 24, no. 2, pp. 396–405, 2020.</w:t>
      </w:r>
    </w:p>
    <w:p>
      <w:pPr>
        <w:ind w:left="317" w:hanging="317"/>
        <w:jc w:val="both"/>
        <w:spacing w:before="0" w:after="36" w:line="210" w:lineRule="auto"/>
      </w:pPr>
      <w:r>
        <w:rPr>
          <w:rFonts w:ascii="Times New Roman" w:hAnsi="Times New Roman" w:cs="Times New Roman"/>
          <w:b w:val="0"/>
          <w:i w:val="0"/>
          <w:sz w:val="17"/>
        </w:rPr>
        <w:t>[9]</w:t>
        <w:tab/>
        <w:t>R. P. Adams, “Acoustic and articulatory analysis of Parkinsonian dysarthria,” J. Med. Speech-Lang. Pathol., vol. 11, no. 4, pp. 185–197, 2003.</w:t>
      </w:r>
    </w:p>
    <w:p>
      <w:pPr>
        <w:ind w:left="317" w:hanging="317"/>
        <w:jc w:val="both"/>
        <w:spacing w:before="0" w:after="36" w:line="210" w:lineRule="auto"/>
      </w:pPr>
      <w:r>
        <w:rPr>
          <w:rFonts w:ascii="Times New Roman" w:hAnsi="Times New Roman" w:cs="Times New Roman"/>
          <w:b w:val="0"/>
          <w:i w:val="0"/>
          <w:sz w:val="17"/>
        </w:rPr>
        <w:t>[10]</w:t>
        <w:tab/>
        <w:t>C. M. Fox et al., “The LSVT LOUD companion: A home-based computer-assisted speech therapy,” Perspectives Neurophysiol. Neurogenic Speech Lang. Disord., vol. 22, no. 2, pp. 58–66, 2012.</w:t>
      </w:r>
    </w:p>
    <w:p>
      <w:pPr>
        <w:ind w:left="317" w:hanging="317"/>
        <w:jc w:val="both"/>
        <w:spacing w:before="0" w:after="36" w:line="210" w:lineRule="auto"/>
      </w:pPr>
      <w:r>
        <w:rPr>
          <w:rFonts w:ascii="Times New Roman" w:hAnsi="Times New Roman" w:cs="Times New Roman"/>
          <w:b w:val="0"/>
          <w:i w:val="0"/>
          <w:sz w:val="17"/>
        </w:rPr>
        <w:t>[11]</w:t>
        <w:tab/>
        <w:t>R. P. Adams et al., “Accelerometric and acoustic analysis of tremor in Parkinson’s disease,” IEEE Trans. Neural Syst. Rehabil. Eng., vol. 19, no. 2, pp. 147–154, 2011.</w:t>
      </w:r>
    </w:p>
    <w:p>
      <w:pPr>
        <w:ind w:left="317" w:hanging="317"/>
        <w:jc w:val="both"/>
        <w:spacing w:before="0" w:after="36" w:line="210" w:lineRule="auto"/>
      </w:pPr>
      <w:r>
        <w:rPr>
          <w:rFonts w:ascii="Times New Roman" w:hAnsi="Times New Roman" w:cs="Times New Roman"/>
          <w:b w:val="0"/>
          <w:i w:val="0"/>
          <w:sz w:val="17"/>
        </w:rPr>
        <w:t>[12]</w:t>
        <w:tab/>
        <w:t>R. P. Adams and D. J. MacKay, “Bayesian online changepoint detection,” arXiv:0710.3742, 2007.</w:t>
      </w:r>
    </w:p>
    <w:p>
      <w:pPr>
        <w:ind w:left="317" w:hanging="317"/>
        <w:jc w:val="both"/>
        <w:spacing w:before="0" w:after="36" w:line="210" w:lineRule="auto"/>
      </w:pPr>
      <w:r>
        <w:rPr>
          <w:rFonts w:ascii="Times New Roman" w:hAnsi="Times New Roman" w:cs="Times New Roman"/>
          <w:b w:val="0"/>
          <w:i w:val="0"/>
          <w:sz w:val="17"/>
        </w:rPr>
        <w:t>[13]</w:t>
        <w:tab/>
        <w:t>V. N. Vapnik, The Nature of Statistical Learning Theory, 2nd ed. New York, NY: Springer, 2000.</w:t>
      </w:r>
    </w:p>
    <w:p>
      <w:pPr>
        <w:ind w:left="317" w:hanging="317"/>
        <w:jc w:val="both"/>
        <w:spacing w:before="0" w:after="36" w:line="210" w:lineRule="auto"/>
      </w:pPr>
      <w:r>
        <w:rPr>
          <w:rFonts w:ascii="Times New Roman" w:hAnsi="Times New Roman" w:cs="Times New Roman"/>
          <w:b w:val="0"/>
          <w:i w:val="0"/>
          <w:sz w:val="17"/>
        </w:rPr>
        <w:t>[14]</w:t>
        <w:tab/>
        <w:t>L. Breiman, “Random forests,” Mach. Learn., vol. 45, no. 1, pp. 5–32, 2001.</w:t>
      </w:r>
    </w:p>
    <w:p>
      <w:pPr>
        <w:ind w:left="317" w:hanging="317"/>
        <w:jc w:val="both"/>
        <w:spacing w:before="0" w:after="36" w:line="210" w:lineRule="auto"/>
      </w:pPr>
      <w:r>
        <w:rPr>
          <w:rFonts w:ascii="Times New Roman" w:hAnsi="Times New Roman" w:cs="Times New Roman"/>
          <w:b w:val="0"/>
          <w:i w:val="0"/>
          <w:sz w:val="17"/>
        </w:rPr>
        <w:t>[15]</w:t>
        <w:tab/>
        <w:t>S. Hochreiter and J. Schmidhuber, “Long short-term memory,” Neural Comput., vol. 9, no. 8, pp. 1735–1780, 1997.</w:t>
      </w:r>
    </w:p>
    <w:p>
      <w:pPr>
        <w:ind w:left="317" w:hanging="317"/>
        <w:jc w:val="both"/>
        <w:spacing w:before="0" w:after="36" w:line="210" w:lineRule="auto"/>
      </w:pPr>
      <w:r>
        <w:rPr>
          <w:rFonts w:ascii="Times New Roman" w:hAnsi="Times New Roman" w:cs="Times New Roman"/>
          <w:b w:val="0"/>
          <w:i w:val="0"/>
          <w:sz w:val="17"/>
        </w:rPr>
        <w:t>[16]</w:t>
        <w:tab/>
        <w:t>Y. LeCun, Y. Bengio, and G. Hinton, “Deep learning,” Nature, vol. 521, pp. 436–444, 2015.</w:t>
      </w:r>
    </w:p>
    <w:p>
      <w:pPr>
        <w:ind w:left="317" w:hanging="317"/>
        <w:jc w:val="both"/>
        <w:spacing w:before="0" w:after="36" w:line="210" w:lineRule="auto"/>
      </w:pPr>
      <w:r>
        <w:rPr>
          <w:rFonts w:ascii="Times New Roman" w:hAnsi="Times New Roman" w:cs="Times New Roman"/>
          <w:b w:val="0"/>
          <w:i w:val="0"/>
          <w:sz w:val="17"/>
        </w:rPr>
        <w:t>[17]</w:t>
        <w:tab/>
        <w:t>P. E. McSharry et al., “A dynamical model for generating synthetic ECG signals,” IEEE Trans. Biomed. Eng., vol. 50, no. 3, pp. 289–294, 2003.</w:t>
      </w:r>
    </w:p>
    <w:p>
      <w:pPr>
        <w:ind w:left="317" w:hanging="317"/>
        <w:jc w:val="both"/>
        <w:spacing w:before="0" w:after="36" w:line="210" w:lineRule="auto"/>
      </w:pPr>
      <w:r>
        <w:rPr>
          <w:rFonts w:ascii="Times New Roman" w:hAnsi="Times New Roman" w:cs="Times New Roman"/>
          <w:b w:val="0"/>
          <w:i w:val="0"/>
          <w:sz w:val="17"/>
        </w:rPr>
        <w:t>[18]</w:t>
        <w:tab/>
        <w:t>C. K. Peng et al., “Mosaic organization of DNA nucleotides,” Phys. Rev. E, vol. 49, no. 2, pp. 1685–1689, 1994.</w:t>
      </w:r>
    </w:p>
    <w:p>
      <w:pPr>
        <w:ind w:left="317" w:hanging="317"/>
        <w:jc w:val="both"/>
        <w:spacing w:before="0" w:after="36" w:line="210" w:lineRule="auto"/>
      </w:pPr>
      <w:r>
        <w:rPr>
          <w:rFonts w:ascii="Times New Roman" w:hAnsi="Times New Roman" w:cs="Times New Roman"/>
          <w:b w:val="0"/>
          <w:i w:val="0"/>
          <w:sz w:val="17"/>
        </w:rPr>
        <w:t>[19]</w:t>
        <w:tab/>
        <w:t>C. E. Shannon, “A mathematical theory of communication,” Bell Syst. Tech. J., vol. 27, pp. 379–423, 1948.</w:t>
      </w:r>
    </w:p>
    <w:p>
      <w:pPr>
        <w:ind w:left="317" w:hanging="317"/>
        <w:jc w:val="both"/>
        <w:spacing w:before="0" w:after="36" w:line="210" w:lineRule="auto"/>
      </w:pPr>
      <w:r>
        <w:rPr>
          <w:rFonts w:ascii="Times New Roman" w:hAnsi="Times New Roman" w:cs="Times New Roman"/>
          <w:b w:val="0"/>
          <w:i w:val="0"/>
          <w:sz w:val="17"/>
        </w:rPr>
        <w:t>[20]</w:t>
        <w:tab/>
        <w:t>B. Schuller et al., “The INTERSPEECH 2011 speaker state challenge,” in Proc. INTERSPEECH, 2011, pp. 3201–3204.</w:t>
      </w:r>
    </w:p>
    <w:p>
      <w:pPr>
        <w:ind w:left="317" w:hanging="317"/>
        <w:jc w:val="both"/>
        <w:spacing w:before="0" w:after="36" w:line="210" w:lineRule="auto"/>
      </w:pPr>
      <w:r>
        <w:rPr>
          <w:rFonts w:ascii="Times New Roman" w:hAnsi="Times New Roman" w:cs="Times New Roman"/>
          <w:b w:val="0"/>
          <w:i w:val="0"/>
          <w:sz w:val="17"/>
        </w:rPr>
        <w:t>[21]</w:t>
        <w:tab/>
        <w:t>G. E. Hinton and R. R. Salakhutdinov, “Reducing the dimensionality of data with neural networks,” Science, vol. 313, pp. 504–507, 2006.</w:t>
      </w:r>
    </w:p>
    <w:p>
      <w:pPr>
        <w:ind w:left="317" w:hanging="317"/>
        <w:jc w:val="both"/>
        <w:spacing w:before="0" w:after="36" w:line="210" w:lineRule="auto"/>
      </w:pPr>
      <w:r>
        <w:rPr>
          <w:rFonts w:ascii="Times New Roman" w:hAnsi="Times New Roman" w:cs="Times New Roman"/>
          <w:b w:val="0"/>
          <w:i w:val="0"/>
          <w:sz w:val="17"/>
        </w:rPr>
        <w:t>[22]</w:t>
        <w:tab/>
        <w:t>D. A. Hall et al., “Telemedicine in Parkinson’s disease: A systematic review,” Mov. Disord. Clin. Pract., vol. 6, no. 5, pp. 347–356, 2019.</w:t>
      </w:r>
    </w:p>
    <w:p>
      <w:pPr>
        <w:ind w:left="317" w:hanging="317"/>
        <w:jc w:val="both"/>
        <w:spacing w:before="0" w:after="36" w:line="210" w:lineRule="auto"/>
      </w:pPr>
      <w:r>
        <w:rPr>
          <w:rFonts w:ascii="Times New Roman" w:hAnsi="Times New Roman" w:cs="Times New Roman"/>
          <w:b w:val="0"/>
          <w:i w:val="0"/>
          <w:sz w:val="17"/>
        </w:rPr>
        <w:t>[23]</w:t>
        <w:tab/>
        <w:t>E. R. Dorsey et al., “Virtual house calls for Parkinson’s disease,” JAMA Neurol., vol. 74, no. 10, pp. 1206–1212, 2017.</w:t>
      </w:r>
    </w:p>
    <w:p>
      <w:pPr>
        <w:ind w:left="317" w:hanging="317"/>
        <w:jc w:val="both"/>
        <w:spacing w:before="0" w:after="36" w:line="210" w:lineRule="auto"/>
      </w:pPr>
      <w:r>
        <w:rPr>
          <w:rFonts w:ascii="Times New Roman" w:hAnsi="Times New Roman" w:cs="Times New Roman"/>
          <w:b w:val="0"/>
          <w:i w:val="0"/>
          <w:sz w:val="17"/>
        </w:rPr>
        <w:t>[24]</w:t>
        <w:tab/>
        <w:t>F. Pedregosa et al., “Scikit-learn: Machine learning in Python,” J. Mach. Learn. Res., vol. 12, pp. 2825–2830, 2011.</w:t>
      </w:r>
    </w:p>
    <w:p>
      <w:pPr>
        <w:ind w:left="317" w:hanging="317"/>
        <w:jc w:val="both"/>
        <w:spacing w:before="0" w:after="36" w:line="210" w:lineRule="auto"/>
      </w:pPr>
      <w:r>
        <w:rPr>
          <w:rFonts w:ascii="Times New Roman" w:hAnsi="Times New Roman" w:cs="Times New Roman"/>
          <w:b w:val="0"/>
          <w:i w:val="0"/>
          <w:sz w:val="17"/>
        </w:rPr>
        <w:t>[25]</w:t>
        <w:tab/>
        <w:t>B. McFee et al., “librosa: Audio and music signal analysis in Python,” in Proc. 14th Python Sci. Conf., 2015, pp. 18–25.</w:t>
      </w:r>
    </w:p>
    <w:sectPr w:rsidR="00FC693F" w:rsidRPr="0006063C" w:rsidSect="00034616">
      <w:pgSz w:w="12240" w:h="15840"/>
      <w:pgMar w:top="1080" w:right="1080" w:bottom="1080" w:left="1080"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