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5C" w:val="clear"/>
        <w:spacing w:before="0" w:after="6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LoneStar Plumbing Solutions</w:t>
      </w:r>
    </w:p>
    <w:p>
      <w:pPr>
        <w:shd w:fill="2E6DA4" w:val="clear"/>
        <w:spacing w:before="0" w:after="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Employee Roster &amp; Employment Agreements — Confidential</w:t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WORKFORCE SUMMARY — As of March 1,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1000"/>
        <w:gridCol w:w="14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Comp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Carlos Gutierrez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Owner/Operator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$148,000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D.R. Horton contact. Only estimator.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Miguel Torres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Lead Plumber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$72,000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Plumber license. Key technical lead.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James Whitfield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Journeyman Plumber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$58,000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Received offer from competitor. No NCA.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Ricardo Perez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Journeyman Plumber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$56,000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Reliable. New construction specialty.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Devon Banks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Apprentice Plumber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$44,000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apprenticeship program.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Sara Nguyen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Office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$52,000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Manages AR, billing, dispatch. Key person.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Tony Cruz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Warehouse/Parts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$42,000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Inventory management.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Linda Garza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Bookkeeper (PT)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 yrs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$28,000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Part-time. QuickBooks, payroll.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Owner Dependence: Carlos Gutierrez manages the entire D.R. Horton relationship personally. No written transition or key-account handoff plan exists.</w:t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No non-compete agreements for any field employees. James Whitfield has received a competing offer.</w:t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Sara Nguyen (Office Mgr) manages all AR follow-up. The growing AR problem is partly attributed to understaffing in collections.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EMPLOYMENT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At-Will Employment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employees at-will per Texas law. No term contracts.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Non-Compete / NDA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Confidentiality agreements only. No post-employment non-compete for field staff. No non-solicitation of customers.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Benefits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Health insurance (employer pays 75%), Simple IRA 3% match, 10 days PTO, 5 sick days, 7 paid holidays.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Workers Comp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Active policy with Texas Mutual Insurance. Two minor claims in FY2023 (resolved). EMR: 0.94.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Licenses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Carlos Gutierrez: Master Plumber License (TX #MP-44821). Miguel Torres: Master Plumber (TX #MP-38104). Ricardo Perez: Journeyman (TX #JP-91022). Devon Banks: Registered Apprentice.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Seasonal Labor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2–3 subcontractor plumbers used May–October for new construction peak season.</w:t>
            </w:r>
          </w:p>
        </w:tc>
      </w:tr>
    </w:tbl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hd w:fill="2E6DA4" w:val="clear"/>
        <w:spacing w:before="240" w:after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STANDARD EMPLOYMENT AGREEMENT (REPRESENTATIVE)</w:t>
      </w:r>
    </w:p>
    <w:p>
      <w:pPr>
        <w:spacing w:before="10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THIS EMPLOYMENT AGREEMENT is entered into between LoneStar Plumbing Solutions ('Company') and the employee named in the offer letter ('Employee').</w:t>
      </w:r>
    </w:p>
    <w:p>
      <w:pPr>
        <w:spacing w:before="10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1. POSITION — Employee is hired as a Journeyman Plumber / Apprentice / Office Staff as stated in the offer letter and shall perform duties as assigned.</w:t>
      </w:r>
    </w:p>
    <w:p>
      <w:pPr>
        <w:spacing w:before="10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2. COMPENSATION — Employee shall receive compensation as stated in the offer letter, reviewed annually at Company discretion.</w:t>
      </w:r>
    </w:p>
    <w:p>
      <w:pPr>
        <w:spacing w:before="10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3. BENEFITS — Employee is eligible for health insurance, Simple IRA, and PTO per the Employee Handbook.</w:t>
      </w:r>
    </w:p>
    <w:p>
      <w:pPr>
        <w:spacing w:before="10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4. AT-WILL — Employment is at-will and may be terminated by either party without cause or notice.</w:t>
      </w:r>
    </w:p>
    <w:p>
      <w:pPr>
        <w:spacing w:before="10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5. CONFIDENTIALITY — Employee shall not disclose customer lists, pricing, trade secrets, or proprietary methods during or after employment.</w:t>
      </w:r>
    </w:p>
    <w:p>
      <w:pPr>
        <w:spacing w:before="10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6. NO NON-COMPETE — No post-employment restriction on working for competitors or soliciting customers applies to this agreement.</w:t>
      </w:r>
    </w:p>
    <w:p>
      <w:pPr>
        <w:spacing w:before="10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7. TOOLS &amp; VEHICLES — Company tools and vehicles must be returned upon separation. Personal use of company vehicles requires written approval.</w:t>
      </w:r>
    </w:p>
    <w:p>
      <w:pPr>
        <w:spacing w:before="100" w:after="80"/>
        <w:ind w:left="360"/>
      </w:pPr>
      <w:r>
        <w:rPr>
          <w:rFonts w:ascii="Arial" w:cs="Arial" w:eastAsia="Arial" w:hAnsi="Arial"/>
          <w:sz w:val="18"/>
          <w:szCs w:val="18"/>
        </w:rPr>
        <w:t xml:space="preserve">8. TEXAS LAW — This Agreement is governed by the laws of the State of Texas.</w:t>
      </w:r>
    </w:p>
    <w:p>
      <w:pPr>
        <w:spacing w:before="80" w:after="80"/>
        <w:ind w:left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120" w:after="120"/>
        <w:ind w:left="360"/>
      </w:pPr>
      <w:r>
        <w:rPr>
          <w:rFonts w:ascii="Arial" w:cs="Arial" w:eastAsia="Arial" w:hAnsi="Arial"/>
          <w:color w:val="C00000"/>
          <w:sz w:val="16"/>
          <w:szCs w:val="16"/>
        </w:rPr>
        <w:t xml:space="preserve">⚠ Buyer should negotiate non-compete and non-solicitation agreements with all key employees as a condition of closing, particularly Miguel Torres and Sara Nguyen.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2026-03-27T22:55:37.658Z</dcterms:created>
  <dcterms:modified xsi:type="dcterms:W3CDTF">2026-03-27T22:55:37.658Z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