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48"/>
          <w:szCs w:val="48"/>
        </w:rPr>
        <w:sectPr>
          <w:pgSz w:h="15840" w:w="12240" w:orient="portrait"/>
          <w:pgMar w:bottom="1440" w:top="1080" w:left="720" w:right="720" w:header="720" w:footer="720"/>
          <w:pgNumType w:start="1"/>
        </w:sectPr>
      </w:pPr>
      <w:r w:rsidDel="00000000" w:rsidR="00000000" w:rsidRPr="00000000">
        <w:rPr>
          <w:rFonts w:ascii="Times New Roman" w:cs="Times New Roman" w:eastAsia="Times New Roman" w:hAnsi="Times New Roman"/>
          <w:sz w:val="48"/>
          <w:szCs w:val="48"/>
          <w:rtl w:val="0"/>
        </w:rPr>
        <w:t xml:space="preserve">FLOODING ATTACK IN SMART GRID</w:t>
      </w:r>
    </w:p>
    <w:p w:rsidR="00000000" w:rsidDel="00000000" w:rsidP="00000000" w:rsidRDefault="00000000" w:rsidRPr="00000000" w14:paraId="00000002">
      <w:pPr>
        <w:spacing w:after="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Raajit J Singh</w:t>
      </w:r>
    </w:p>
    <w:p w:rsidR="00000000" w:rsidDel="00000000" w:rsidP="00000000" w:rsidRDefault="00000000" w:rsidRPr="00000000" w14:paraId="00000003">
      <w:pPr>
        <w:spacing w:after="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NIIT University</w:t>
      </w:r>
    </w:p>
    <w:p w:rsidR="00000000" w:rsidDel="00000000" w:rsidP="00000000" w:rsidRDefault="00000000" w:rsidRPr="00000000" w14:paraId="00000004">
      <w:pPr>
        <w:spacing w:after="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Neemrana, Alwar</w:t>
      </w:r>
    </w:p>
    <w:p w:rsidR="00000000" w:rsidDel="00000000" w:rsidP="00000000" w:rsidRDefault="00000000" w:rsidRPr="00000000" w14:paraId="00000005">
      <w:pPr>
        <w:spacing w:after="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6">
      <w:pPr>
        <w:spacing w:after="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Guni Sharma</w:t>
      </w:r>
    </w:p>
    <w:p w:rsidR="00000000" w:rsidDel="00000000" w:rsidP="00000000" w:rsidRDefault="00000000" w:rsidRPr="00000000" w14:paraId="00000007">
      <w:pPr>
        <w:spacing w:after="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NIIT University</w:t>
      </w:r>
    </w:p>
    <w:p w:rsidR="00000000" w:rsidDel="00000000" w:rsidP="00000000" w:rsidRDefault="00000000" w:rsidRPr="00000000" w14:paraId="00000008">
      <w:pPr>
        <w:spacing w:after="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Neemrana, Alwar</w:t>
      </w:r>
    </w:p>
    <w:p w:rsidR="00000000" w:rsidDel="00000000" w:rsidP="00000000" w:rsidRDefault="00000000" w:rsidRPr="00000000" w14:paraId="00000009">
      <w:pPr>
        <w:spacing w:after="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A">
      <w:pPr>
        <w:spacing w:after="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Jetendra Joshi</w:t>
      </w:r>
    </w:p>
    <w:p w:rsidR="00000000" w:rsidDel="00000000" w:rsidP="00000000" w:rsidRDefault="00000000" w:rsidRPr="00000000" w14:paraId="0000000B">
      <w:pPr>
        <w:spacing w:after="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NIIT University</w:t>
      </w:r>
    </w:p>
    <w:p w:rsidR="00000000" w:rsidDel="00000000" w:rsidP="00000000" w:rsidRDefault="00000000" w:rsidRPr="00000000" w14:paraId="0000000C">
      <w:pPr>
        <w:spacing w:after="40" w:lineRule="auto"/>
        <w:jc w:val="center"/>
        <w:rPr>
          <w:rFonts w:ascii="Times New Roman" w:cs="Times New Roman" w:eastAsia="Times New Roman" w:hAnsi="Times New Roman"/>
          <w:i w:val="1"/>
          <w:sz w:val="18"/>
          <w:szCs w:val="18"/>
        </w:rPr>
        <w:sectPr>
          <w:type w:val="continuous"/>
          <w:pgSz w:h="15840" w:w="12240" w:orient="portrait"/>
          <w:pgMar w:bottom="1440" w:top="1080" w:left="720" w:right="720" w:header="720" w:footer="720"/>
          <w:cols w:equalWidth="0" w:num="3">
            <w:col w:space="720" w:w="3120"/>
            <w:col w:space="720" w:w="3120"/>
            <w:col w:space="0" w:w="3120"/>
          </w:cols>
        </w:sectPr>
      </w:pPr>
      <w:r w:rsidDel="00000000" w:rsidR="00000000" w:rsidRPr="00000000">
        <w:rPr>
          <w:rFonts w:ascii="Times New Roman" w:cs="Times New Roman" w:eastAsia="Times New Roman" w:hAnsi="Times New Roman"/>
          <w:i w:val="1"/>
          <w:sz w:val="18"/>
          <w:szCs w:val="18"/>
          <w:rtl w:val="0"/>
        </w:rPr>
        <w:t xml:space="preserve">Neemrana, Alwar</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Abstract: Flooding attacks, a common form of denial-of-service (DoS) threat, aim to overwhelm communication networks by generating excessive traffic that disrupts normal data exchange and delays critical control signals. In smart grids, such attacks can degrade performance, compromise reliability, and even threaten system stability, making timely detection and mitigation essential. In the given paper, we propose an anomaly detection and analysis framework using a machine learning-based system to address flooding attacks in communication networks of the smart grid. The method uses Isolation Forests for unsupervised detection of unusual traffic patterns and Random Forest Regression to learn normal behavior and detect important deviations. The system includes comprehensive preprocessing, thresholding, testing, and alerting modules. Simulation tests on a smart grid dataset show high precision and recall values for detecting flooding anomalies. Furthermore, the scheme incorporates mitigation techniques such as traffic shaping, blacklisting, and real-time alert notifications to enhance the grid’s resilience against denial-of-service attacks.</w:t>
      </w:r>
    </w:p>
    <w:p w:rsidR="00000000" w:rsidDel="00000000" w:rsidP="00000000" w:rsidRDefault="00000000" w:rsidRPr="00000000" w14:paraId="0000000E">
      <w:pPr>
        <w:spacing w:after="240" w:befor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i w:val="1"/>
          <w:sz w:val="18"/>
          <w:szCs w:val="18"/>
          <w:rtl w:val="0"/>
        </w:rPr>
        <w:t xml:space="preserve">Keywords: Flooding Attack, Smart Grid, Anomaly Detection, Isolation Forest, Random Forest, Cybersecurity, Denial-of-Service (DoS), Machine Learning.</w:t>
      </w:r>
      <w:r w:rsidDel="00000000" w:rsidR="00000000" w:rsidRPr="00000000">
        <w:rPr>
          <w:rtl w:val="0"/>
        </w:rPr>
      </w:r>
    </w:p>
    <w:p w:rsidR="00000000" w:rsidDel="00000000" w:rsidP="00000000" w:rsidRDefault="00000000" w:rsidRPr="00000000" w14:paraId="0000000F">
      <w:pPr>
        <w:numPr>
          <w:ilvl w:val="0"/>
          <w:numId w:val="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INTRODUCTION</w:t>
      </w: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integration of ICT into conventional power systems is transforming modern energy systems and establishing 'smart grids'. Modern energy systems allow for real time monitoring, automated control, and optimizing energy delivery leading to sustainable and flexible energy management [1], [2]. However, as the communication systems associated with smart grids become more complex due to the presence of interconnected devices, decentralized controllers, and heterogeneous protocols, smart grids are also increasingly vulnerable to cyber-attacks [3]. One of the most dangerous types of cyber-attacks is the flooding attack (Denial-of-Service (DoS) attack) that can result in sever reduction in grid performance from flooding communications between channels with unnecessary volume of data [4], [5].Flooding is a method that has been widely employed as an offensive tactic to attack the smart grid by flooding the control centers or data collection points with excessive malicious traffic. Such attacks result in congested networks that either exhibit latency or a failure of control messages which in the worst case can result in a black out [6]. Considering that smart grid operations are real-time and sensitive in nature, timely, and accurate detection of these anomalies are necessary to ensure continuance of operation and reliability of the smart grid service delivery [7]. </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addressing this gap, researchers have been increasingly employing Artificial Intelligence (AI) and Machine Learning (ML) techniques in an effort to detect anomalies. These AI and ML methods are more cognitively capable and flexible than the rule-based intrusion detection systems widely deployed [8], [9].Because rule-based systems contain hard-to-maintain attack vectors and are more vulnerable to zero-day attacks, ML techniques can learn from past data and adapt to discover minutia that can be anomalous in their typical grid activity. Anomaly detection tasks as a whole historically favored tree-based techniques due to their interpretability and stability [10]. With that in mind, this paper will present an empirical analysis of two algorithms: Isolation Forest and Random Forest, specifically for detection of flooding attacks on smart grid communication networks. The Isolation Forest algorithm has been classified as an unsupervised anomaly detection algorithm in that it relies on isolating anomalous observations based on the path length on the randomly generated trees [4]. In contrast, Random Forest is a supervised, ensemble learning algorithm that is great for both classification and regression problems [5]. In this paper, both techniques will be used on a labeled dataset, targeted towards smart grids, and will be measured against evaluation criteria such as precision, recall, F1-score, and accuracy [9].The contributions of this research are to provide a machine learning-based detection system for the detection of flooding attacks, apply an in-depth empirical study of Isolation Forest and Random Forest in real grid scenarios, a thresholding and alerting capability, and a consideration of future extensions such as hybrid detection methods and real-time deployment strategies [10].</w:t>
      </w:r>
      <w:r w:rsidDel="00000000" w:rsidR="00000000" w:rsidRPr="00000000">
        <w:rPr>
          <w:color w:val="0d0d0d"/>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given paper defines the related work in Section II followed by the system Model architecture in Section III after that results are described in section IV and lastly in section V stated the conclusion.</w:t>
      </w:r>
    </w:p>
    <w:p w:rsidR="00000000" w:rsidDel="00000000" w:rsidP="00000000" w:rsidRDefault="00000000" w:rsidRPr="00000000" w14:paraId="00000012">
      <w:pPr>
        <w:numPr>
          <w:ilvl w:val="0"/>
          <w:numId w:val="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Literature Survey</w:t>
      </w:r>
      <w:r w:rsidDel="00000000" w:rsidR="00000000" w:rsidRPr="00000000">
        <w:rPr>
          <w:rtl w:val="0"/>
        </w:rPr>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innovations provided by smart grid technology made power grids today more reliable, efficient, and agile. But the same innovation has made grid infrastructure more susceptible to emerging advanced cyber threats. Flooding attacks as another form of Denial-of-Service (DoS) attacks are an important threat to the ability for smart grids to communicate. Flooding attacks are a serious threat to the ability for smart grids to communicate by making communication channels too busy for data to be communicated. Flooding attacks can overload communication channels to such an extent that the grid will slow down leaving customers without essential services. To address this threat, there are a multitude of machine learning (ML) and deep learning (DL) techniques that have been studied for anomaly detection and types such as Random Forest (RF) and Isolation Forest (IF) have been studied specifically to leverage their performance when used for classification and unsupervised anomaly detection.Wang et al. [1] emphasized the use of different machine learning methods, including Random Forest, for detecting SCADA flooding attacks. They showed that ensemble learning methods were able to detect SCADA flooding attacks in real-time, at high accuracy with 0% false positives. Chen et al. [2] proposed a stacked model of ensemble learning where RF was embedded within other classifiers to detect DDoS-type flooding attacks in smart grids. Their model had noticeably better performance than the more common single-algorithm models while demonstrating that ensemble models can detect more complex behaviors related to the abnormal traffic. Under a broader examination, Guato Burgos et al. [3] offered a summary of anomaly detection systems by artificial intelligence, focusing on smart grids. They highlighted tree-based approaches, such as Random Forest and Isolation Forest, when designing detection systems to be interpretable and scalable and particularly in cases where there are constraints on having labeled data available.Shouyu et al. [4] proposed a hybrid technique that integrates Isolation Forest and K-means clustering for anomaly detection in grid dispatching locations. The hybrid technique improved the accuracy of unusual traffic pattern identification, especially those that indicate flooding activity. Rahmani and Moghaddam [5] investigated ensemble learning for smart grid security. They used RF-based classifiers and showed that they can identify a large variety of cyberattacks, such as DoS and flooding, with low latency—therefore, they are ready for near real-time use.</w:t>
        <w:br w:type="textWrapping"/>
        <w:br w:type="textWrapping"/>
        <w:t xml:space="preserve">Banik et al. [6] also discussed the effectiveness of RF and IF in anomaly detection for smart grids. They rated these algorithms as being very effective in identifying unknown threats, particularly in distributed systems where labeled attack data is scarce. Ahmad et al. [7] focused on deep learning methods; however, they also acknowledged that conventional models, for example, Random Forest, still possess lower computational costs and easier implementation in resource-constrained     environments, for example, edge devices in a smart grid scenario. Kim et al. [8] combined Autoencoders with Isolation Forest to create a hybrid detection system. They tested the effectiveness of their method with real smart grid traffic, and they were able to successfully detect anomalous patterns, i.e., flooding-type attacks. Rahim et al. [9] highlighted the requirement for effective models that are capable of detecting cyber-physical attacks and stated that Isolation Forest, as an unsupervised and less resource-hungry approach, promises to improve grid security in resource-limited settings.Li et al. [10] proposed a federated learning framework for intrusion detection utilizing ensemble models such as RF to detect multiple threats, perhaps including flooding. They emphasized the advantages of privacy-preserving learning for geographically dispersed smart grid networks.</w:t>
        <w:br w:type="textWrapping"/>
        <w:br w:type="textWrapping"/>
        <w:t xml:space="preserve">Lin et al. [11] have also researched deep reinforcement learning for anomaly detection, which, while more complex, reaffirmed the use of hybrid systems where simpler models such as RF and IF can be employed and combined for early detection quicker. Khan et al. [12] conducted a thorough review of artificial intelligence techniques used in smart grid systems, recognizing RF and IF as top explainable and high-efficiency models that can detect emerging threats like flooding attacks. Moustafa et al. [13] presented an ensemble intrusion detection scheme based on voting with optimized Random Forests. Their approach was capable of identifying malicious traffic behavior and proved RF's capability in real-world cyber security. Liu and Han [14] proposed a top-level architecture of AI-based smart grids and named RF and IF as the primary tools in handling massive-scale streaming data for real-time anomaly detection, e.g., network-level attacks like flooding. Sharma and Gill [15] incorporated ensemble learning models such as RF within a federated learning framework for decentralized grid security. They testified to the scalability and robustness of ensemble-based detectors in smart grid environments.</w:t>
      </w:r>
    </w:p>
    <w:p w:rsidR="00000000" w:rsidDel="00000000" w:rsidP="00000000" w:rsidRDefault="00000000" w:rsidRPr="00000000" w14:paraId="00000014">
      <w:pPr>
        <w:spacing w:after="24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System Model</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successfully identify flooding attacks in smart grid networks, this project adopts a machine learning-based method consisting of data preprocessing, model training, anomaly detection, and performance evaluation. The system model is organized to compare the performance of two tree-based methods—Isolation Forest and Random Forest—in detecting anomalous patterns that constitute probable flooding attacks.</w:t>
      </w:r>
    </w:p>
    <w:p w:rsidR="00000000" w:rsidDel="00000000" w:rsidP="00000000" w:rsidRDefault="00000000" w:rsidRPr="00000000" w14:paraId="00000016">
      <w:pPr>
        <w:numPr>
          <w:ilvl w:val="0"/>
          <w:numId w:val="6"/>
        </w:numPr>
        <w:spacing w:after="240" w:before="240" w:line="276" w:lineRule="auto"/>
        <w:ind w:left="72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2"/>
          <w:szCs w:val="22"/>
          <w:rtl w:val="0"/>
        </w:rPr>
        <w:t xml:space="preserve">System Block Diagram</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17850" cy="2667000"/>
            <wp:effectExtent b="0" l="0" r="0" t="0"/>
            <wp:docPr id="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178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Proposed architecture:</w:t>
      </w:r>
      <w:r w:rsidDel="00000000" w:rsidR="00000000" w:rsidRPr="00000000">
        <w:rPr>
          <w:rFonts w:ascii="Times New Roman" w:cs="Times New Roman" w:eastAsia="Times New Roman" w:hAnsi="Times New Roman"/>
          <w:b w:val="1"/>
          <w:sz w:val="20"/>
          <w:szCs w:val="20"/>
          <w:highlight w:val="yellow"/>
          <w:rtl w:val="0"/>
        </w:rPr>
        <w:br w:type="textWrapping"/>
      </w:r>
      <w:r w:rsidDel="00000000" w:rsidR="00000000" w:rsidRPr="00000000">
        <w:rPr>
          <w:rFonts w:ascii="Times New Roman" w:cs="Times New Roman" w:eastAsia="Times New Roman" w:hAnsi="Times New Roman"/>
          <w:sz w:val="20"/>
          <w:szCs w:val="20"/>
          <w:rtl w:val="0"/>
        </w:rPr>
        <w:t xml:space="preserve">The system block diagram illustrates the workflow of the proposed anomaly detection framework for smart grid communication. Raw smart grid log data undergoes preprocessing steps such as handling missing values and normalization. Features are then selected and passed into two models: Isolation Forest for unsupervised anomaly detection, and Random Forest Regression with thresholding for learning normal behavior and identifying deviations. Residual error computation is performed, and final results are evaluated using performance metrics like precision and F1 score.</w:t>
      </w:r>
    </w:p>
    <w:p w:rsidR="00000000" w:rsidDel="00000000" w:rsidP="00000000" w:rsidRDefault="00000000" w:rsidRPr="00000000" w14:paraId="0000001A">
      <w:pPr>
        <w:spacing w:after="0" w:line="276" w:lineRule="auto"/>
        <w:ind w:left="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Description of the Approach:</w:t>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framework begins with the Input Layer, where a dataset containing smart grid communication attributes such as packet delivery rate, data size, delay, and requests per smart meter is ingested. In the Preprocessing Layer, basic data cleaning is applied, including type conversion, handling missing values, and feature scaling when necessary, while the target variable for the supervised model is isolated;  additionally, SMOTE analysis is conducted to address class imbalance and enhance classification accuracy. The Modelling Layer employs two approaches: Isolation Forest is trained on the full unlabeled feature set to detect anomalies based on data point isolation, while Random Forest Regressor predicts the packet transmission rate, with anomalies identified from significant deviations between predicted and actual values. In the Thresholding and Labelling Layer, Isolation Forest assigns labels of -1 (anomaly) and 1 (normal), which are mapped to binary values 1 and 0, whereas for Random Forest, a threshold derived from the 5% lowest absolute prediction errors is used to mark outliers. Finally, in the Evaluation Layer, both models are validated against the dataset’s ground-truth anomaly labels using standard classification metrics such as precision, recall, and F1-score.</w:t>
      </w:r>
    </w:p>
    <w:p w:rsidR="00000000" w:rsidDel="00000000" w:rsidP="00000000" w:rsidRDefault="00000000" w:rsidRPr="00000000" w14:paraId="0000001C">
      <w:pPr>
        <w:numPr>
          <w:ilvl w:val="0"/>
          <w:numId w:val="6"/>
        </w:numPr>
        <w:spacing w:after="0" w:line="276" w:lineRule="auto"/>
        <w:ind w:left="72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Mitigation and Alerting Mechanisms</w:t>
      </w:r>
    </w:p>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provide an active flood response, the system incorporates both mitigation techniques and real-time alerting mechanisms. </w:t>
      </w:r>
      <w:r w:rsidDel="00000000" w:rsidR="00000000" w:rsidRPr="00000000">
        <w:rPr>
          <w:rFonts w:ascii="Times New Roman" w:cs="Times New Roman" w:eastAsia="Times New Roman" w:hAnsi="Times New Roman"/>
          <w:b w:val="1"/>
          <w:sz w:val="20"/>
          <w:szCs w:val="20"/>
          <w:rtl w:val="0"/>
        </w:rPr>
        <w:t xml:space="preserve">Traffic shaping and rate limiting</w:t>
      </w:r>
      <w:r w:rsidDel="00000000" w:rsidR="00000000" w:rsidRPr="00000000">
        <w:rPr>
          <w:rFonts w:ascii="Times New Roman" w:cs="Times New Roman" w:eastAsia="Times New Roman" w:hAnsi="Times New Roman"/>
          <w:sz w:val="20"/>
          <w:szCs w:val="20"/>
          <w:rtl w:val="0"/>
        </w:rPr>
        <w:t xml:space="preserve"> are applied to dynamically control communication rates from suspicious nodes, thereby preventing saturation of the smart grid network. Additionally, a </w:t>
      </w:r>
      <w:r w:rsidDel="00000000" w:rsidR="00000000" w:rsidRPr="00000000">
        <w:rPr>
          <w:rFonts w:ascii="Times New Roman" w:cs="Times New Roman" w:eastAsia="Times New Roman" w:hAnsi="Times New Roman"/>
          <w:b w:val="1"/>
          <w:sz w:val="20"/>
          <w:szCs w:val="20"/>
          <w:rtl w:val="0"/>
        </w:rPr>
        <w:t xml:space="preserve">blacklisting mechanism</w:t>
      </w:r>
      <w:r w:rsidDel="00000000" w:rsidR="00000000" w:rsidRPr="00000000">
        <w:rPr>
          <w:rFonts w:ascii="Times New Roman" w:cs="Times New Roman" w:eastAsia="Times New Roman" w:hAnsi="Times New Roman"/>
          <w:sz w:val="20"/>
          <w:szCs w:val="20"/>
          <w:rtl w:val="0"/>
        </w:rPr>
        <w:t xml:space="preserve"> temporarily blocks or flags repeatedly detected malicious sources for further inspection. Alongside these measures, the system ensures prompt operator awareness through a </w:t>
      </w:r>
      <w:r w:rsidDel="00000000" w:rsidR="00000000" w:rsidRPr="00000000">
        <w:rPr>
          <w:rFonts w:ascii="Times New Roman" w:cs="Times New Roman" w:eastAsia="Times New Roman" w:hAnsi="Times New Roman"/>
          <w:b w:val="1"/>
          <w:sz w:val="20"/>
          <w:szCs w:val="20"/>
          <w:rtl w:val="0"/>
        </w:rPr>
        <w:t xml:space="preserve">real-time alerting framework</w:t>
      </w:r>
      <w:r w:rsidDel="00000000" w:rsidR="00000000" w:rsidRPr="00000000">
        <w:rPr>
          <w:rFonts w:ascii="Times New Roman" w:cs="Times New Roman" w:eastAsia="Times New Roman" w:hAnsi="Times New Roman"/>
          <w:sz w:val="20"/>
          <w:szCs w:val="20"/>
          <w:rtl w:val="0"/>
        </w:rPr>
        <w:t xml:space="preserve">, which generates automated notifications via email, SMS, or SCADA-based alarms whenever major anomalies are detected. Furthermore, the anomalies are subjected to </w:t>
      </w:r>
      <w:r w:rsidDel="00000000" w:rsidR="00000000" w:rsidRPr="00000000">
        <w:rPr>
          <w:rFonts w:ascii="Times New Roman" w:cs="Times New Roman" w:eastAsia="Times New Roman" w:hAnsi="Times New Roman"/>
          <w:b w:val="1"/>
          <w:sz w:val="20"/>
          <w:szCs w:val="20"/>
          <w:rtl w:val="0"/>
        </w:rPr>
        <w:t xml:space="preserve">severity classification</w:t>
      </w:r>
      <w:r w:rsidDel="00000000" w:rsidR="00000000" w:rsidRPr="00000000">
        <w:rPr>
          <w:rFonts w:ascii="Times New Roman" w:cs="Times New Roman" w:eastAsia="Times New Roman" w:hAnsi="Times New Roman"/>
          <w:sz w:val="20"/>
          <w:szCs w:val="20"/>
          <w:rtl w:val="0"/>
        </w:rPr>
        <w:t xml:space="preserve">, ensuring that each incident is prioritized and countermeasures are deployed in alignment with its potential impact on grid stability and security.</w:t>
      </w:r>
    </w:p>
    <w:p w:rsidR="00000000" w:rsidDel="00000000" w:rsidP="00000000" w:rsidRDefault="00000000" w:rsidRPr="00000000" w14:paraId="0000001E">
      <w:pPr>
        <w:spacing w:after="0" w:before="240" w:line="276" w:lineRule="auto"/>
        <w:ind w:left="36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Dataset and Performance Evaluation Metrics</w:t>
      </w:r>
    </w:p>
    <w:p w:rsidR="00000000" w:rsidDel="00000000" w:rsidP="00000000" w:rsidRDefault="00000000" w:rsidRPr="00000000" w14:paraId="0000001F">
      <w:pPr>
        <w:numPr>
          <w:ilvl w:val="0"/>
          <w:numId w:val="4"/>
        </w:numPr>
        <w:spacing w:after="240" w:line="276" w:lineRule="auto"/>
        <w:ind w:left="72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Dataset Information</w:t>
      </w:r>
    </w:p>
    <w:p w:rsidR="00000000" w:rsidDel="00000000" w:rsidP="00000000" w:rsidRDefault="00000000" w:rsidRPr="00000000" w14:paraId="000000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dataset used in this study, named flooding_smart_grid_dataset.csv, is a dataset representing real or simulated traffic data from a smart grid communication network. It includes several features commonly monitored in the network layer to detect abnormal behaviors caused by flooding attacks.</w:t>
      </w:r>
    </w:p>
    <w:p w:rsidR="00000000" w:rsidDel="00000000" w:rsidP="00000000" w:rsidRDefault="00000000" w:rsidRPr="00000000" w14:paraId="00000021">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General Information</w:t>
      </w:r>
    </w:p>
    <w:p w:rsidR="00000000" w:rsidDel="00000000" w:rsidP="00000000" w:rsidRDefault="00000000" w:rsidRPr="00000000" w14:paraId="00000022">
      <w:pPr>
        <w:numPr>
          <w:ilvl w:val="0"/>
          <w:numId w:val="2"/>
        </w:numPr>
        <w:spacing w:after="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Shape</w:t>
      </w:r>
      <w:r w:rsidDel="00000000" w:rsidR="00000000" w:rsidRPr="00000000">
        <w:rPr>
          <w:rFonts w:ascii="Times New Roman" w:cs="Times New Roman" w:eastAsia="Times New Roman" w:hAnsi="Times New Roman"/>
          <w:sz w:val="20"/>
          <w:szCs w:val="20"/>
          <w:rtl w:val="0"/>
        </w:rPr>
        <w:t xml:space="preserve">: 3,000 rows × 5 columns</w:t>
      </w:r>
    </w:p>
    <w:p w:rsidR="00000000" w:rsidDel="00000000" w:rsidP="00000000" w:rsidRDefault="00000000" w:rsidRPr="00000000" w14:paraId="00000023">
      <w:pPr>
        <w:numPr>
          <w:ilvl w:val="0"/>
          <w:numId w:val="2"/>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 missing values</w:t>
      </w:r>
      <w:r w:rsidDel="00000000" w:rsidR="00000000" w:rsidRPr="00000000">
        <w:rPr>
          <w:rFonts w:ascii="Times New Roman" w:cs="Times New Roman" w:eastAsia="Times New Roman" w:hAnsi="Times New Roman"/>
          <w:sz w:val="20"/>
          <w:szCs w:val="20"/>
          <w:rtl w:val="0"/>
        </w:rPr>
        <w:t xml:space="preserve"> in any column</w:t>
      </w:r>
    </w:p>
    <w:p w:rsidR="00000000" w:rsidDel="00000000" w:rsidP="00000000" w:rsidRDefault="00000000" w:rsidRPr="00000000" w14:paraId="00000024">
      <w:pPr>
        <w:numPr>
          <w:ilvl w:val="0"/>
          <w:numId w:val="2"/>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Anomaly rate:</w:t>
      </w:r>
      <w:r w:rsidDel="00000000" w:rsidR="00000000" w:rsidRPr="00000000">
        <w:rPr>
          <w:rFonts w:ascii="Times New Roman" w:cs="Times New Roman" w:eastAsia="Times New Roman" w:hAnsi="Times New Roman"/>
          <w:sz w:val="20"/>
          <w:szCs w:val="20"/>
          <w:rtl w:val="0"/>
        </w:rPr>
        <w:t xml:space="preserve"> 5% (150 anomalies in total)</w:t>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br w:type="textWrapping"/>
      </w:r>
      <w:r w:rsidDel="00000000" w:rsidR="00000000" w:rsidRPr="00000000">
        <w:rPr>
          <w:rFonts w:ascii="Times New Roman" w:cs="Times New Roman" w:eastAsia="Times New Roman" w:hAnsi="Times New Roman"/>
          <w:sz w:val="20"/>
          <w:szCs w:val="20"/>
          <w:rtl w:val="0"/>
        </w:rPr>
        <w:t xml:space="preserve">Table1: Dataset Description</w:t>
      </w:r>
    </w:p>
    <w:tbl>
      <w:tblPr>
        <w:tblStyle w:val="Table1"/>
        <w:tblW w:w="49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1"/>
        <w:gridCol w:w="939"/>
        <w:gridCol w:w="2424"/>
        <w:tblGridChange w:id="0">
          <w:tblGrid>
            <w:gridCol w:w="1581"/>
            <w:gridCol w:w="939"/>
            <w:gridCol w:w="2424"/>
          </w:tblGrid>
        </w:tblGridChange>
      </w:tblGrid>
      <w:tr>
        <w:trPr>
          <w:cantSplit w:val="0"/>
          <w:trHeight w:val="369"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Column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Description</w:t>
            </w:r>
            <w:r w:rsidDel="00000000" w:rsidR="00000000" w:rsidRPr="00000000">
              <w:rPr>
                <w:rtl w:val="0"/>
              </w:rPr>
            </w:r>
          </w:p>
        </w:tc>
      </w:tr>
      <w:tr>
        <w:trPr>
          <w:cantSplit w:val="0"/>
          <w:trHeight w:val="592"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Packet_Transmission_Rate_pps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float64</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Packets per second transmitted</w:t>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Data_Volume_KBps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float64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volume in kilobytes per second</w:t>
            </w:r>
          </w:p>
        </w:tc>
      </w:tr>
      <w:tr>
        <w:trPr>
          <w:cantSplit w:val="0"/>
          <w:trHeight w:val="592"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Requests_per_SM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float64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requests per smart meter</w:t>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Network_Latency_ms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float64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 latency in milliseconds</w:t>
            </w:r>
          </w:p>
        </w:tc>
      </w:tr>
      <w:tr>
        <w:trPr>
          <w:cantSplit w:val="0"/>
          <w:trHeight w:val="592"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Anomaly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 0 = normal, 1 = anomalous</w:t>
            </w:r>
          </w:p>
        </w:tc>
      </w:tr>
    </w:tbl>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utilizes key features extracted from smart grid communication logs to characterize traffic behavior and detect anomalies. Packet_Transmission_Rate_pps quantifies the number of packets transmitted per second, serving as an indicator of traffic intensity. Data_Volume_KBps measures the throughput in kilobytes per second, providing insights into the overall data flow within the network. Requests_per_SM captures the number of service or data requests generated by each smart meter, reflecting load and usage patterns. Network_Latency_ms denotes the delay experienced in communication across the grid in milliseconds, which is crucial for assessing performance and detecting congestion under potential attack scenarios. Finally, the Anomaly attribute serves as the binary target variable, where 0 indicates normal traffic and 1 represents anomalous activity, such as flooding attacks, enabling supervised evaluation of detection models.</w:t>
      </w:r>
    </w:p>
    <w:p w:rsidR="00000000" w:rsidDel="00000000" w:rsidP="00000000" w:rsidRDefault="00000000" w:rsidRPr="00000000" w14:paraId="00000039">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Table 1: Statistical Summary of Features</w:t>
      </w:r>
      <w:r w:rsidDel="00000000" w:rsidR="00000000" w:rsidRPr="00000000">
        <w:rPr>
          <w:rtl w:val="0"/>
        </w:rPr>
      </w:r>
    </w:p>
    <w:tbl>
      <w:tblPr>
        <w:tblStyle w:val="Table2"/>
        <w:tblpPr w:leftFromText="180" w:rightFromText="180" w:topFromText="180" w:bottomFromText="180" w:vertAnchor="text" w:horzAnchor="text" w:tblpX="0" w:tblpY="0"/>
        <w:tblW w:w="5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5"/>
        <w:gridCol w:w="782"/>
        <w:gridCol w:w="782"/>
        <w:gridCol w:w="812"/>
        <w:gridCol w:w="1027"/>
        <w:tblGridChange w:id="0">
          <w:tblGrid>
            <w:gridCol w:w="1625"/>
            <w:gridCol w:w="782"/>
            <w:gridCol w:w="782"/>
            <w:gridCol w:w="812"/>
            <w:gridCol w:w="1027"/>
          </w:tblGrid>
        </w:tblGridChange>
      </w:tblGrid>
      <w:tr>
        <w:trPr>
          <w:cantSplit w:val="0"/>
          <w:trHeight w:val="453" w:hRule="atLeast"/>
          <w:tblHeader w:val="0"/>
        </w:trPr>
        <w:tc>
          <w:tcPr/>
          <w:p w:rsidR="00000000" w:rsidDel="00000000" w:rsidP="00000000" w:rsidRDefault="00000000" w:rsidRPr="00000000" w14:paraId="0000003A">
            <w:pPr>
              <w:widowControl w:val="0"/>
              <w:spacing w:line="240" w:lineRule="auto"/>
              <w:ind w:left="-9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Feature</w:t>
            </w:r>
          </w:p>
        </w:tc>
        <w:tc>
          <w:tcPr/>
          <w:p w:rsidR="00000000" w:rsidDel="00000000" w:rsidP="00000000" w:rsidRDefault="00000000" w:rsidRPr="00000000" w14:paraId="0000003B">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Mean</w:t>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Std Dev</w:t>
            </w:r>
          </w:p>
        </w:tc>
        <w:tc>
          <w:tcPr/>
          <w:p w:rsidR="00000000" w:rsidDel="00000000" w:rsidP="00000000" w:rsidRDefault="00000000" w:rsidRPr="00000000" w14:paraId="0000003D">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Min</w:t>
            </w:r>
          </w:p>
        </w:tc>
        <w:tc>
          <w:tcPr/>
          <w:p w:rsidR="00000000" w:rsidDel="00000000" w:rsidP="00000000" w:rsidRDefault="00000000" w:rsidRPr="00000000" w14:paraId="0000003E">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Max</w:t>
            </w:r>
          </w:p>
        </w:tc>
      </w:tr>
      <w:tr>
        <w:trPr>
          <w:cantSplit w:val="0"/>
          <w:trHeight w:val="504" w:hRule="atLeast"/>
          <w:tblHeader w:val="0"/>
        </w:trPr>
        <w:tc>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Packet_Transmission_Rate_pps</w:t>
            </w:r>
          </w:p>
        </w:tc>
        <w:tc>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110.30</w:t>
            </w:r>
          </w:p>
        </w:tc>
        <w:tc>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44.93</w:t>
            </w:r>
          </w:p>
        </w:tc>
        <w:tc>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67.59</w:t>
            </w:r>
          </w:p>
        </w:tc>
        <w:tc>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398.63</w:t>
            </w:r>
          </w:p>
        </w:tc>
      </w:tr>
      <w:tr>
        <w:trPr>
          <w:cantSplit w:val="0"/>
          <w:trHeight w:val="512" w:hRule="atLeast"/>
          <w:tblHeader w:val="0"/>
        </w:trPr>
        <w:tc>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Data_Volume_KBps</w:t>
            </w:r>
          </w:p>
        </w:tc>
        <w:tc>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548.93 </w:t>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228.36 </w:t>
            </w:r>
          </w:p>
        </w:tc>
        <w:tc>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341.16 </w:t>
            </w:r>
          </w:p>
        </w:tc>
        <w:tc>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1890.37</w:t>
            </w:r>
          </w:p>
        </w:tc>
      </w:tr>
      <w:tr>
        <w:trPr>
          <w:cantSplit w:val="0"/>
          <w:trHeight w:val="504" w:hRule="atLeast"/>
          <w:tblHeader w:val="0"/>
        </w:trPr>
        <w:tc>
          <w:tcPr/>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Requests_per_SM</w:t>
            </w:r>
          </w:p>
        </w:tc>
        <w:tc>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22.97</w:t>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13.64</w:t>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8.49</w:t>
            </w:r>
          </w:p>
        </w:tc>
        <w:tc>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104.46</w:t>
            </w:r>
          </w:p>
        </w:tc>
      </w:tr>
      <w:tr>
        <w:trPr>
          <w:cantSplit w:val="0"/>
          <w:trHeight w:val="504" w:hRule="atLeast"/>
          <w:tblHeader w:val="0"/>
        </w:trPr>
        <w:tc>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Network_Latency_ms</w:t>
            </w:r>
          </w:p>
        </w:tc>
        <w:tc>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33.33</w:t>
            </w:r>
          </w:p>
        </w:tc>
        <w:tc>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16.23</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10.39</w:t>
            </w:r>
          </w:p>
        </w:tc>
        <w:tc>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151.61</w:t>
            </w:r>
          </w:p>
        </w:tc>
      </w:tr>
      <w:tr>
        <w:trPr>
          <w:cantSplit w:val="0"/>
          <w:trHeight w:val="314" w:hRule="atLeast"/>
          <w:tblHeader w:val="0"/>
        </w:trPr>
        <w:tc>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Anomaly</w:t>
            </w:r>
          </w:p>
        </w:tc>
        <w:tc>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w:t>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0.22</w:t>
            </w:r>
          </w:p>
        </w:tc>
        <w:tc>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w:t>
            </w:r>
          </w:p>
        </w:tc>
        <w:tc>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bl>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table summarizes the descriptive statistics of the dataset’s features, providing insights into both typical and anomalous network behavior. The mean and standard deviation highlight the central tendencies and variability of communication patterns. For instance, the Packet_Transmission_Rate_pps averages 110.3 packets per second with a moderate deviation of 44.93, although extreme values close to 400 pps suggest potential flooding activity. Similarly, the Data_Volume_KBps exhibits a mean of 548.93 KBps but with substantial variance, peaking at 1890 KBps, which is indicative of abnormal surges in traffic. The Requests_per_SM feature records an average of 23 requests per smart meter, yet occasional spikes above 100 signify unusual demand possibly caused by malicious loads. The Network_Latency_ms averages 33 ms, but its maximum of 151 ms reveals significant communication delays that may occur under attack conditions. Finally, the Anomaly attribute has a mean value of 0.05, confirming that only about 5% of the samples represent malicious traffic, thereby reflecting the inherent imbalance of intrusion detection datasets and emphasizing the challenge of detecting rare but impactful flooding events.</w:t>
      </w:r>
    </w:p>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2"/>
          <w:szCs w:val="22"/>
          <w:rtl w:val="0"/>
        </w:rPr>
        <w:t xml:space="preserve">Correlation Matrix:</w:t>
      </w:r>
      <w:r w:rsidDel="00000000" w:rsidR="00000000" w:rsidRPr="00000000">
        <w:rPr>
          <w:rFonts w:ascii="Times New Roman" w:cs="Times New Roman" w:eastAsia="Times New Roman" w:hAnsi="Times New Roman"/>
          <w:sz w:val="20"/>
          <w:szCs w:val="20"/>
          <w:rtl w:val="0"/>
        </w:rPr>
        <w:br w:type="textWrapping"/>
      </w:r>
    </w:p>
    <w:tbl>
      <w:tblPr>
        <w:tblStyle w:val="Table3"/>
        <w:tblW w:w="538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95"/>
        <w:gridCol w:w="765"/>
        <w:gridCol w:w="825"/>
        <w:gridCol w:w="810"/>
        <w:gridCol w:w="810"/>
        <w:tblGridChange w:id="0">
          <w:tblGrid>
            <w:gridCol w:w="1080"/>
            <w:gridCol w:w="1095"/>
            <w:gridCol w:w="765"/>
            <w:gridCol w:w="825"/>
            <w:gridCol w:w="810"/>
            <w:gridCol w:w="810"/>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Packet Transmission Rate 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Volume KBps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Requests per 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 Latency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Anomaly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Packet Transmission Rate 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Volume KBps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Requests per 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 Latency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Anomaly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bl>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correlation analysis reveals strong interdependencies among the smart grid communication features. Packet Transmission Rate (pps) shows a very high correlation with Data Volume (0.93), Requests per Smart Meter (0.93), and Network Latency (0.89), indicating that as packet flow increases, both the volume of transmitted data and the number of requests rise, while network delays also become more pronounced. Similarly, Data Volume and Requests per Smart Meter are strongly correlated (0.92), confirming that higher request loads directly translate into greater traffic generation. Network Latency demonstrates moderately strong correlations with all traffic-related features (ranging from 0.86 to 0.89), highlighting that increased traffic intensity generally results in longer communication delays. Most critically, the Anomaly variable exhibits very strong correlations with all features: 0.97 with Packet Transmission Rate, 0.96 with Data Volume, 0.96 with Requests per Smart Meter, and 0.91 with Network Latency. This indicates that abnormal traffic patterns in the dataset are closely tied to spikes in transmission rate, data volume, and requests, alongside elevated latency.</w:t>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b w:val="1"/>
          <w:color w:val="000000"/>
          <w:sz w:val="22"/>
          <w:szCs w:val="22"/>
        </w:rPr>
      </w:pPr>
      <w:bookmarkStart w:colFirst="0" w:colLast="0" w:name="_heading=h.wf5qjrnylu7s" w:id="0"/>
      <w:bookmarkEnd w:id="0"/>
      <w:r w:rsidDel="00000000" w:rsidR="00000000" w:rsidRPr="00000000">
        <w:rPr>
          <w:rFonts w:ascii="Times New Roman" w:cs="Times New Roman" w:eastAsia="Times New Roman" w:hAnsi="Times New Roman"/>
          <w:b w:val="1"/>
          <w:color w:val="000000"/>
          <w:sz w:val="22"/>
          <w:szCs w:val="22"/>
          <w:rtl w:val="0"/>
        </w:rPr>
        <w:t xml:space="preserve">Description of Algorithms</w:t>
      </w:r>
    </w:p>
    <w:p w:rsidR="00000000" w:rsidDel="00000000" w:rsidP="00000000" w:rsidRDefault="00000000" w:rsidRPr="00000000" w14:paraId="00000080">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Isolation Forest (iForest):</w:t>
      </w:r>
    </w:p>
    <w:p w:rsidR="00000000" w:rsidDel="00000000" w:rsidP="00000000" w:rsidRDefault="00000000" w:rsidRPr="00000000" w14:paraId="00000081">
      <w:pPr>
        <w:rPr>
          <w:rFonts w:ascii="Times New Roman" w:cs="Times New Roman" w:eastAsia="Times New Roman" w:hAnsi="Times New Roman"/>
          <w:sz w:val="20"/>
          <w:szCs w:val="20"/>
          <w:highlight w:val="green"/>
        </w:rPr>
      </w:pPr>
      <w:r w:rsidDel="00000000" w:rsidR="00000000" w:rsidRPr="00000000">
        <w:rPr>
          <w:rFonts w:ascii="Times New Roman" w:cs="Times New Roman" w:eastAsia="Times New Roman" w:hAnsi="Times New Roman"/>
          <w:sz w:val="20"/>
          <w:szCs w:val="20"/>
          <w:rtl w:val="0"/>
        </w:rPr>
        <w:t xml:space="preserve">The Isolation Forest (iForest) algorithm is primarily used for detecting anomalies in unsupervised learning scenarios. Unlike traditional methods that focus on profiling normal instances, iForest works by isolating anomalies, which are typically few and different from the majority of data points. It does this by constructing numerous random decision trees using randomly selected features and split points. Since anomalies lie far from normal data, they can be separated with fewer splits, resulting in shorter path lengths from the root to the leaf of the tree. These path lengths are then used to score the degree of anomaly, where shorter paths indicate a higher likelihood of being anomalous, while longer paths suggest normality. The approach is particularly advantageous because it is fast, efficient, and capable of handling large, high-dimensional datasets without requiring labeled data, making it a flexible solution for real-world anomaly detection tasks.</w: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2"/>
          <w:szCs w:val="22"/>
          <w:rtl w:val="0"/>
        </w:rPr>
        <w:t xml:space="preserve">Random Forest</w:t>
      </w:r>
      <w:r w:rsidDel="00000000" w:rsidR="00000000" w:rsidRPr="00000000">
        <w:rPr>
          <w:rFonts w:ascii="Times New Roman" w:cs="Times New Roman" w:eastAsia="Times New Roman" w:hAnsi="Times New Roman"/>
          <w:b w:val="1"/>
          <w:sz w:val="20"/>
          <w:szCs w:val="20"/>
          <w:rtl w:val="0"/>
        </w:rPr>
        <w:t xml:space="preserve">:</w:t>
      </w:r>
    </w:p>
    <w:p w:rsidR="00000000" w:rsidDel="00000000" w:rsidP="00000000" w:rsidRDefault="00000000" w:rsidRPr="00000000" w14:paraId="0000008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sz w:val="20"/>
          <w:szCs w:val="20"/>
          <w:rtl w:val="0"/>
        </w:rPr>
        <w:t xml:space="preserve">Random Forest</w:t>
      </w:r>
      <w:r w:rsidDel="00000000" w:rsidR="00000000" w:rsidRPr="00000000">
        <w:rPr>
          <w:rFonts w:ascii="Times New Roman" w:cs="Times New Roman" w:eastAsia="Times New Roman" w:hAnsi="Times New Roman"/>
          <w:sz w:val="20"/>
          <w:szCs w:val="20"/>
          <w:rtl w:val="0"/>
        </w:rPr>
        <w:t xml:space="preserve"> algorithm is a versatile machine learning method that can be used for both supervised classification and regression tasks. It works by building an ensemble of decision trees, each trained on a randomly selected subset of the data and attributes, a process known as bagging and feature randomness. In the case of classification, each tree independently casts a vote for the predicted class, and the majority vote across all trees determines the final outcome. For regression, the outputs of the individual trees are aggregated, typically by averaging, to generate the final prediction. This ensemble approach reduces overfitting, improves generalization, and provides robust performance across diverse datasets.</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2"/>
          <w:szCs w:val="22"/>
        </w:rPr>
      </w:pPr>
      <w:bookmarkStart w:colFirst="0" w:colLast="0" w:name="_heading=h.z8z4pd58lg5s" w:id="1"/>
      <w:bookmarkEnd w:id="1"/>
      <w:r w:rsidDel="00000000" w:rsidR="00000000" w:rsidRPr="00000000">
        <w:rPr>
          <w:rFonts w:ascii="Times New Roman" w:cs="Times New Roman" w:eastAsia="Times New Roman" w:hAnsi="Times New Roman"/>
          <w:b w:val="1"/>
          <w:color w:val="000000"/>
          <w:sz w:val="22"/>
          <w:szCs w:val="22"/>
          <w:rtl w:val="0"/>
        </w:rPr>
        <w:t xml:space="preserve">Performance Metrics</w:t>
      </w:r>
    </w:p>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be able to analyse extensively and compare suitably the various models, a variety of precise metrics are utilised for this purpose:</w:t>
      </w:r>
    </w:p>
    <w:p w:rsidR="00000000" w:rsidDel="00000000" w:rsidP="00000000" w:rsidRDefault="00000000" w:rsidRPr="00000000" w14:paraId="00000086">
      <w:pPr>
        <w:pStyle w:val="Heading4"/>
        <w:keepNext w:val="0"/>
        <w:keepLines w:val="0"/>
        <w:spacing w:before="240" w:lineRule="auto"/>
        <w:rPr>
          <w:rFonts w:ascii="Times New Roman" w:cs="Times New Roman" w:eastAsia="Times New Roman" w:hAnsi="Times New Roman"/>
          <w:b w:val="1"/>
          <w:i w:val="0"/>
          <w:color w:val="000000"/>
          <w:sz w:val="20"/>
          <w:szCs w:val="20"/>
        </w:rPr>
      </w:pPr>
      <w:bookmarkStart w:colFirst="0" w:colLast="0" w:name="_heading=h.1ux8f5qlkf2j" w:id="2"/>
      <w:bookmarkEnd w:id="2"/>
      <w:r w:rsidDel="00000000" w:rsidR="00000000" w:rsidRPr="00000000">
        <w:rPr>
          <w:rFonts w:ascii="Times New Roman" w:cs="Times New Roman" w:eastAsia="Times New Roman" w:hAnsi="Times New Roman"/>
          <w:b w:val="1"/>
          <w:i w:val="0"/>
          <w:color w:val="000000"/>
          <w:sz w:val="20"/>
          <w:szCs w:val="20"/>
          <w:rtl w:val="0"/>
        </w:rPr>
        <w:t xml:space="preserve">1. Accuracy</w:t>
      </w:r>
    </w:p>
    <w:p w:rsidR="00000000" w:rsidDel="00000000" w:rsidP="00000000" w:rsidRDefault="00000000" w:rsidRPr="00000000" w14:paraId="0000008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 (TP+TN)/(TP+TN+FP+FN)</w:t>
      </w:r>
    </w:p>
    <w:p w:rsidR="00000000" w:rsidDel="00000000" w:rsidP="00000000" w:rsidRDefault="00000000" w:rsidRPr="00000000" w14:paraId="0000008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is the proportion of total correct predictions, including true positive predictions (correctly classified positives) and true negative predictions (correctly classified negatives), to the total number of predictions that the model makes.</w:t>
      </w:r>
    </w:p>
    <w:p w:rsidR="00000000" w:rsidDel="00000000" w:rsidP="00000000" w:rsidRDefault="00000000" w:rsidRPr="00000000" w14:paraId="00000089">
      <w:pPr>
        <w:pStyle w:val="Heading4"/>
        <w:keepNext w:val="0"/>
        <w:keepLines w:val="0"/>
        <w:spacing w:before="240" w:lineRule="auto"/>
        <w:rPr>
          <w:rFonts w:ascii="Times New Roman" w:cs="Times New Roman" w:eastAsia="Times New Roman" w:hAnsi="Times New Roman"/>
          <w:b w:val="1"/>
          <w:i w:val="0"/>
          <w:color w:val="000000"/>
          <w:sz w:val="20"/>
          <w:szCs w:val="20"/>
        </w:rPr>
      </w:pPr>
      <w:bookmarkStart w:colFirst="0" w:colLast="0" w:name="_heading=h.9mdyblrqjkzw" w:id="3"/>
      <w:bookmarkEnd w:id="3"/>
      <w:r w:rsidDel="00000000" w:rsidR="00000000" w:rsidRPr="00000000">
        <w:rPr>
          <w:rFonts w:ascii="Times New Roman" w:cs="Times New Roman" w:eastAsia="Times New Roman" w:hAnsi="Times New Roman"/>
          <w:b w:val="1"/>
          <w:i w:val="0"/>
          <w:color w:val="000000"/>
          <w:sz w:val="20"/>
          <w:szCs w:val="20"/>
          <w:rtl w:val="0"/>
        </w:rPr>
        <w:t xml:space="preserve">2. Precision</w:t>
      </w:r>
    </w:p>
    <w:p w:rsidR="00000000" w:rsidDel="00000000" w:rsidP="00000000" w:rsidRDefault="00000000" w:rsidRPr="00000000" w14:paraId="0000008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Precision = TP/(FP+TP​)</w:t>
      </w:r>
    </w:p>
    <w:p w:rsidR="00000000" w:rsidDel="00000000" w:rsidP="00000000" w:rsidRDefault="00000000" w:rsidRPr="00000000" w14:paraId="0000008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can be thought of as a precise proportion of the number of correctly predicted positive instances, i.e., correct positive instances, to the number of instances predicted positive by the model. </w:t>
      </w:r>
    </w:p>
    <w:p w:rsidR="00000000" w:rsidDel="00000000" w:rsidP="00000000" w:rsidRDefault="00000000" w:rsidRPr="00000000" w14:paraId="0000008C">
      <w:pPr>
        <w:pStyle w:val="Heading4"/>
        <w:keepNext w:val="0"/>
        <w:keepLines w:val="0"/>
        <w:spacing w:before="240" w:lineRule="auto"/>
        <w:rPr>
          <w:rFonts w:ascii="Times New Roman" w:cs="Times New Roman" w:eastAsia="Times New Roman" w:hAnsi="Times New Roman"/>
          <w:b w:val="1"/>
          <w:i w:val="0"/>
          <w:color w:val="000000"/>
          <w:sz w:val="20"/>
          <w:szCs w:val="20"/>
        </w:rPr>
      </w:pPr>
      <w:bookmarkStart w:colFirst="0" w:colLast="0" w:name="_heading=h.iovduf49my22" w:id="4"/>
      <w:bookmarkEnd w:id="4"/>
      <w:r w:rsidDel="00000000" w:rsidR="00000000" w:rsidRPr="00000000">
        <w:rPr>
          <w:rFonts w:ascii="Times New Roman" w:cs="Times New Roman" w:eastAsia="Times New Roman" w:hAnsi="Times New Roman"/>
          <w:b w:val="1"/>
          <w:i w:val="0"/>
          <w:color w:val="000000"/>
          <w:sz w:val="20"/>
          <w:szCs w:val="20"/>
          <w:rtl w:val="0"/>
        </w:rPr>
        <w:t xml:space="preserve">3. Recall (Sensitivity / True Positive Rate)</w:t>
      </w:r>
    </w:p>
    <w:p w:rsidR="00000000" w:rsidDel="00000000" w:rsidP="00000000" w:rsidRDefault="00000000" w:rsidRPr="00000000" w14:paraId="0000008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Recall = TP/(TP+FN)</w:t>
      </w:r>
    </w:p>
    <w:p w:rsidR="00000000" w:rsidDel="00000000" w:rsidP="00000000" w:rsidRDefault="00000000" w:rsidRPr="00000000" w14:paraId="0000008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Recall is the proportion of the number of correct positives that were diagnosed to the total number of positive instances that exist in the dataset. It is not just the correct ones but the positive instances that were not correctly diagnosed by the model, or the false negatives.</w:t>
      </w:r>
    </w:p>
    <w:p w:rsidR="00000000" w:rsidDel="00000000" w:rsidP="00000000" w:rsidRDefault="00000000" w:rsidRPr="00000000" w14:paraId="0000008F">
      <w:pPr>
        <w:pStyle w:val="Heading4"/>
        <w:keepNext w:val="0"/>
        <w:keepLines w:val="0"/>
        <w:spacing w:before="240" w:lineRule="auto"/>
        <w:rPr>
          <w:rFonts w:ascii="Times New Roman" w:cs="Times New Roman" w:eastAsia="Times New Roman" w:hAnsi="Times New Roman"/>
          <w:b w:val="1"/>
          <w:i w:val="0"/>
          <w:color w:val="000000"/>
          <w:sz w:val="20"/>
          <w:szCs w:val="20"/>
        </w:rPr>
      </w:pPr>
      <w:bookmarkStart w:colFirst="0" w:colLast="0" w:name="_heading=h.pkh8zrx2b3cm" w:id="5"/>
      <w:bookmarkEnd w:id="5"/>
      <w:r w:rsidDel="00000000" w:rsidR="00000000" w:rsidRPr="00000000">
        <w:rPr>
          <w:rFonts w:ascii="Times New Roman" w:cs="Times New Roman" w:eastAsia="Times New Roman" w:hAnsi="Times New Roman"/>
          <w:b w:val="1"/>
          <w:i w:val="0"/>
          <w:color w:val="000000"/>
          <w:sz w:val="20"/>
          <w:szCs w:val="20"/>
          <w:rtl w:val="0"/>
        </w:rPr>
        <w:t xml:space="preserve">4. F1 Score</w:t>
      </w:r>
    </w:p>
    <w:p w:rsidR="00000000" w:rsidDel="00000000" w:rsidP="00000000" w:rsidRDefault="00000000" w:rsidRPr="00000000" w14:paraId="0000009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 Score = [2×(Precision×Recall)]​/(Precision+Recall)</w:t>
      </w:r>
    </w:p>
    <w:p w:rsidR="00000000" w:rsidDel="00000000" w:rsidP="00000000" w:rsidRDefault="00000000" w:rsidRPr="00000000" w14:paraId="0000009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F1 Score is a quantitative measure that is the harmonic mean between two utterly important measures: precision and recall. By taking both of these measures and condensing them into a single number, the F1 Score manages the trade-off between precision, which is the specificity of positive predictions, and recall, which is the ability to recover all instances of relevance, very well. </w:t>
      </w:r>
    </w:p>
    <w:p w:rsidR="00000000" w:rsidDel="00000000" w:rsidP="00000000" w:rsidRDefault="00000000" w:rsidRPr="00000000" w14:paraId="00000092">
      <w:pPr>
        <w:pStyle w:val="Heading4"/>
        <w:keepNext w:val="0"/>
        <w:keepLines w:val="0"/>
        <w:spacing w:before="240" w:lineRule="auto"/>
        <w:rPr>
          <w:rFonts w:ascii="Times New Roman" w:cs="Times New Roman" w:eastAsia="Times New Roman" w:hAnsi="Times New Roman"/>
          <w:b w:val="1"/>
          <w:sz w:val="20"/>
          <w:szCs w:val="20"/>
        </w:rPr>
      </w:pPr>
      <w:bookmarkStart w:colFirst="0" w:colLast="0" w:name="_heading=h.kfazjavbnw5m" w:id="6"/>
      <w:bookmarkEnd w:id="6"/>
      <w:r w:rsidDel="00000000" w:rsidR="00000000" w:rsidRPr="00000000">
        <w:rPr>
          <w:rFonts w:ascii="Times New Roman" w:cs="Times New Roman" w:eastAsia="Times New Roman" w:hAnsi="Times New Roman"/>
          <w:b w:val="1"/>
          <w:i w:val="0"/>
          <w:color w:val="000000"/>
          <w:sz w:val="20"/>
          <w:szCs w:val="20"/>
          <w:rtl w:val="0"/>
        </w:rPr>
        <w:t xml:space="preserve">5. Confusion Matrix</w:t>
      </w:r>
      <w:r w:rsidDel="00000000" w:rsidR="00000000" w:rsidRPr="00000000">
        <w:rPr>
          <w:rtl w:val="0"/>
        </w:rPr>
      </w:r>
    </w:p>
    <w:tbl>
      <w:tblPr>
        <w:tblStyle w:val="Table4"/>
        <w:tblW w:w="4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680"/>
        <w:gridCol w:w="1755"/>
        <w:tblGridChange w:id="0">
          <w:tblGrid>
            <w:gridCol w:w="960"/>
            <w:gridCol w:w="1680"/>
            <w:gridCol w:w="17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pStyle w:val="Heading1"/>
              <w:keepNext w:val="0"/>
              <w:keepLines w:val="0"/>
              <w:jc w:val="center"/>
              <w:rPr>
                <w:rFonts w:ascii="Times New Roman" w:cs="Times New Roman" w:eastAsia="Times New Roman" w:hAnsi="Times New Roman"/>
                <w:color w:val="000000"/>
                <w:sz w:val="20"/>
                <w:szCs w:val="20"/>
              </w:rPr>
            </w:pPr>
            <w:bookmarkStart w:colFirst="0" w:colLast="0" w:name="_heading=h.a25klm96tq2r" w:id="7"/>
            <w:bookmarkEnd w:id="7"/>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pStyle w:val="Heading1"/>
              <w:keepNext w:val="0"/>
              <w:keepLines w:val="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Predicted Positive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pStyle w:val="Heading1"/>
              <w:keepNext w:val="0"/>
              <w:keepLines w:val="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Predicted Negative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pStyle w:val="Heading1"/>
              <w:keepNext w:val="0"/>
              <w:keepLines w:val="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Actual Positive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pStyle w:val="Heading1"/>
              <w:keepNext w:val="0"/>
              <w:keepLines w:val="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True Positive (TP)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pStyle w:val="Heading1"/>
              <w:keepNext w:val="0"/>
              <w:keepLines w:val="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False Negative (FN)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pStyle w:val="Heading1"/>
              <w:keepNext w:val="0"/>
              <w:keepLines w:val="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Actual Negative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pStyle w:val="Heading1"/>
              <w:keepNext w:val="0"/>
              <w:keepLines w:val="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False Positive (FP)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pStyle w:val="Heading1"/>
              <w:keepNext w:val="0"/>
              <w:keepLines w:val="0"/>
              <w:rPr>
                <w:rFonts w:ascii="Times New Roman" w:cs="Times New Roman" w:eastAsia="Times New Roman" w:hAnsi="Times New Roman"/>
                <w:color w:val="000000"/>
                <w:sz w:val="20"/>
                <w:szCs w:val="20"/>
              </w:rPr>
            </w:pPr>
            <w:bookmarkStart w:colFirst="0" w:colLast="0" w:name="_heading=h.6oayl95j0ek0" w:id="8"/>
            <w:bookmarkEnd w:id="8"/>
            <w:r w:rsidDel="00000000" w:rsidR="00000000" w:rsidRPr="00000000">
              <w:rPr>
                <w:rFonts w:ascii="Times New Roman" w:cs="Times New Roman" w:eastAsia="Times New Roman" w:hAnsi="Times New Roman"/>
                <w:color w:val="000000"/>
                <w:sz w:val="20"/>
                <w:szCs w:val="20"/>
                <w:rtl w:val="0"/>
              </w:rPr>
              <w:t xml:space="preserve">True Negative (TN)</w:t>
            </w:r>
          </w:p>
        </w:tc>
      </w:tr>
    </w:tbl>
    <w:p w:rsidR="00000000" w:rsidDel="00000000" w:rsidP="00000000" w:rsidRDefault="00000000" w:rsidRPr="00000000" w14:paraId="0000009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confusion matrix is a special kind of summary table that is two-dimensional, i.e., a 2×2 matrix. The table organizes the results that are generated due to the prediction efficiently made by a classification model. The results are divided into four classes that are the result of a thorough comparison of the predicted labels and the true labels by the model. There are four parts:</w:t>
      </w:r>
    </w:p>
    <w:p w:rsidR="00000000" w:rsidDel="00000000" w:rsidP="00000000" w:rsidRDefault="00000000" w:rsidRPr="00000000" w14:paraId="0000009D">
      <w:pPr>
        <w:numPr>
          <w:ilvl w:val="0"/>
          <w:numId w:val="5"/>
        </w:numPr>
        <w:spacing w:after="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True Positives (TP)</w:t>
      </w:r>
      <w:r w:rsidDel="00000000" w:rsidR="00000000" w:rsidRPr="00000000">
        <w:rPr>
          <w:rFonts w:ascii="Times New Roman" w:cs="Times New Roman" w:eastAsia="Times New Roman" w:hAnsi="Times New Roman"/>
          <w:sz w:val="20"/>
          <w:szCs w:val="20"/>
          <w:rtl w:val="0"/>
        </w:rPr>
        <w:t xml:space="preserve"> refer to those specific instances where the model correctly and accurately classified the positive class. This essentially implies that every time the true value of a given instance turned out to be positive, the model indeed classified it correctly by indicating it as positive as well.</w:t>
      </w:r>
    </w:p>
    <w:p w:rsidR="00000000" w:rsidDel="00000000" w:rsidP="00000000" w:rsidRDefault="00000000" w:rsidRPr="00000000" w14:paraId="0000009E">
      <w:pPr>
        <w:numPr>
          <w:ilvl w:val="0"/>
          <w:numId w:val="5"/>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False Positives (FP)</w:t>
      </w:r>
      <w:r w:rsidDel="00000000" w:rsidR="00000000" w:rsidRPr="00000000">
        <w:rPr>
          <w:rFonts w:ascii="Times New Roman" w:cs="Times New Roman" w:eastAsia="Times New Roman" w:hAnsi="Times New Roman"/>
          <w:sz w:val="20"/>
          <w:szCs w:val="20"/>
          <w:rtl w:val="0"/>
        </w:rPr>
        <w:t xml:space="preserve"> are certain examples wherein the predictive model has made a mistake by wrongly predicting the positive class. </w:t>
      </w:r>
    </w:p>
    <w:p w:rsidR="00000000" w:rsidDel="00000000" w:rsidP="00000000" w:rsidRDefault="00000000" w:rsidRPr="00000000" w14:paraId="0000009F">
      <w:pPr>
        <w:numPr>
          <w:ilvl w:val="0"/>
          <w:numId w:val="5"/>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True Negatives (TN)</w:t>
      </w:r>
      <w:r w:rsidDel="00000000" w:rsidR="00000000" w:rsidRPr="00000000">
        <w:rPr>
          <w:rFonts w:ascii="Times New Roman" w:cs="Times New Roman" w:eastAsia="Times New Roman" w:hAnsi="Times New Roman"/>
          <w:sz w:val="20"/>
          <w:szCs w:val="20"/>
          <w:rtl w:val="0"/>
        </w:rPr>
        <w:t xml:space="preserve">: Highly specific cases where the model was correct by predicting and labelling the negative class.</w:t>
      </w:r>
    </w:p>
    <w:p w:rsidR="00000000" w:rsidDel="00000000" w:rsidP="00000000" w:rsidRDefault="00000000" w:rsidRPr="00000000" w14:paraId="000000A0">
      <w:pPr>
        <w:numPr>
          <w:ilvl w:val="0"/>
          <w:numId w:val="5"/>
        </w:numPr>
        <w:spacing w:after="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False Negatives (FN)</w:t>
      </w:r>
      <w:r w:rsidDel="00000000" w:rsidR="00000000" w:rsidRPr="00000000">
        <w:rPr>
          <w:rFonts w:ascii="Times New Roman" w:cs="Times New Roman" w:eastAsia="Times New Roman" w:hAnsi="Times New Roman"/>
          <w:sz w:val="20"/>
          <w:szCs w:val="20"/>
          <w:rtl w:val="0"/>
        </w:rPr>
        <w:t xml:space="preserve">: Cases where the model wrongly predicted negative - the true value was positive, but the model had predicted it as negative.</w:t>
      </w:r>
    </w:p>
    <w:p w:rsidR="00000000" w:rsidDel="00000000" w:rsidP="00000000" w:rsidRDefault="00000000" w:rsidRPr="00000000" w14:paraId="000000A1">
      <w:pPr>
        <w:spacing w:after="240" w:before="240" w:lineRule="auto"/>
        <w:rPr>
          <w:sz w:val="20"/>
          <w:szCs w:val="20"/>
        </w:rPr>
      </w:pPr>
      <w:r w:rsidDel="00000000" w:rsidR="00000000" w:rsidRPr="00000000">
        <w:rPr>
          <w:rFonts w:ascii="Times New Roman" w:cs="Times New Roman" w:eastAsia="Times New Roman" w:hAnsi="Times New Roman"/>
          <w:sz w:val="20"/>
          <w:szCs w:val="20"/>
          <w:rtl w:val="0"/>
        </w:rPr>
        <w:t xml:space="preserve">The confusion matrix is a very helpful device that provides us with a very precise and complete description of the specific areas where the model made good predictions correctly, and the areas where it unfortunately made errors. </w:t>
      </w:r>
      <w:r w:rsidDel="00000000" w:rsidR="00000000" w:rsidRPr="00000000">
        <w:rPr>
          <w:rtl w:val="0"/>
        </w:rPr>
      </w:r>
    </w:p>
    <w:p w:rsidR="00000000" w:rsidDel="00000000" w:rsidP="00000000" w:rsidRDefault="00000000" w:rsidRPr="00000000" w14:paraId="000000A2">
      <w:pPr>
        <w:numPr>
          <w:ilvl w:val="0"/>
          <w:numId w:val="1"/>
        </w:numPr>
        <w:spacing w:after="0" w:before="240" w:line="276"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Results and Analysis</w:t>
      </w:r>
    </w:p>
    <w:p w:rsidR="00000000" w:rsidDel="00000000" w:rsidP="00000000" w:rsidRDefault="00000000" w:rsidRPr="00000000" w14:paraId="000000A3">
      <w:pPr>
        <w:numPr>
          <w:ilvl w:val="0"/>
          <w:numId w:val="3"/>
        </w:numPr>
        <w:spacing w:after="240" w:line="276" w:lineRule="auto"/>
        <w:ind w:left="72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Implementation of Isolation Forest</w:t>
      </w:r>
    </w:p>
    <w:p w:rsidR="00000000" w:rsidDel="00000000" w:rsidP="00000000" w:rsidRDefault="00000000" w:rsidRPr="00000000" w14:paraId="000000A4">
      <w:pPr>
        <w:spacing w:after="240"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Isolation Forest model was trained on all input features (Packet_Transmission_Rate_pps, Data_Volume_KBps, Requests_per_SM, Network_Latency_ms) in an unsupervised manner, excluding the Anomaly label. Data preprocessing was performed, followed by an 80/20 train-test split and application of SMOTE to balance class distribution. The model, implemented as IsolationForest(n_estimators=100, contamination='auto'), produced predictions of -1 (anomaly) and 1 (normal), later mapped to 1 and 0 for evaluation. Model performance was assessed by comparing predictions with true anomaly labels using standard classification metrics such as accuracy, precision, recall, and F1-score.</w:t>
      </w:r>
    </w:p>
    <w:p w:rsidR="00000000" w:rsidDel="00000000" w:rsidP="00000000" w:rsidRDefault="00000000" w:rsidRPr="00000000" w14:paraId="000000A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Model Evaluation Report:</w:t>
      </w:r>
      <w:r w:rsidDel="00000000" w:rsidR="00000000" w:rsidRPr="00000000">
        <w:rPr>
          <w:rtl w:val="0"/>
        </w:rPr>
      </w:r>
    </w:p>
    <w:sdt>
      <w:sdtPr>
        <w:lock w:val="contentLocked"/>
        <w:id w:val="-575281417"/>
        <w:tag w:val="goog_rdk_0"/>
      </w:sdtPr>
      <w:sdtContent>
        <w:tbl>
          <w:tblPr>
            <w:tblStyle w:val="Table5"/>
            <w:tblpPr w:leftFromText="180" w:rightFromText="180" w:topFromText="180" w:bottomFromText="180" w:vertAnchor="text" w:horzAnchor="text" w:tblpX="-45" w:tblpY="0"/>
            <w:tblW w:w="5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990"/>
            <w:gridCol w:w="750"/>
            <w:gridCol w:w="975"/>
            <w:gridCol w:w="900"/>
            <w:tblGridChange w:id="0">
              <w:tblGrid>
                <w:gridCol w:w="1410"/>
                <w:gridCol w:w="990"/>
                <w:gridCol w:w="750"/>
                <w:gridCol w:w="975"/>
                <w:gridCol w:w="9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F1-Score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Support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Anomaly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Accuracy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240" w:before="240" w:lineRule="auto"/>
                  <w:ind w:right="-45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Macro Avg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Weighted Avg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w:t>
                </w:r>
              </w:p>
            </w:tc>
          </w:tr>
        </w:tbl>
      </w:sdtContent>
    </w:sdt>
    <w:p w:rsidR="00000000" w:rsidDel="00000000" w:rsidP="00000000" w:rsidRDefault="00000000" w:rsidRPr="00000000" w14:paraId="000000C4">
      <w:pPr>
        <w:spacing w:after="240"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 achieved an overall accuracy of 96% on the dataset. For the Normal class, the precision, recall, and F1-score were 1.00, 0.96, and 0.98 respectively, indicating highly reliable detection of normal traffic. For the Anomaly class, the model obtained a lower precision of 0.54 but a perfect recall of 1.00, resulting in an F1-score of 0.70. This shows that while the model correctly identified all anomalies (no false negatives), it also produced a considerable number of false positives. The macro average F1-score was 0.84, while the weighted average F1-score was 0.96, reflecting the model’s strong performance on the majority class (Normal) and its effectiveness in detecting anomalies despite class imbalance.</w:t>
      </w:r>
    </w:p>
    <w:p w:rsidR="00000000" w:rsidDel="00000000" w:rsidP="00000000" w:rsidRDefault="00000000" w:rsidRPr="00000000" w14:paraId="000000C5">
      <w:pPr>
        <w:numPr>
          <w:ilvl w:val="0"/>
          <w:numId w:val="3"/>
        </w:numPr>
        <w:spacing w:after="240" w:line="276" w:lineRule="auto"/>
        <w:ind w:left="72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Implementation of Random Forest</w:t>
      </w:r>
      <w:r w:rsidDel="00000000" w:rsidR="00000000" w:rsidRPr="00000000">
        <w:rPr>
          <w:rFonts w:ascii="Times New Roman" w:cs="Times New Roman" w:eastAsia="Times New Roman" w:hAnsi="Times New Roman"/>
          <w:b w:val="1"/>
          <w:sz w:val="22"/>
          <w:szCs w:val="22"/>
          <w:highlight w:val="yellow"/>
          <w:rtl w:val="0"/>
        </w:rPr>
        <w:t xml:space="preserve"> </w:t>
      </w:r>
      <w:r w:rsidDel="00000000" w:rsidR="00000000" w:rsidRPr="00000000">
        <w:rPr>
          <w:rtl w:val="0"/>
        </w:rPr>
      </w:r>
    </w:p>
    <w:p w:rsidR="00000000" w:rsidDel="00000000" w:rsidP="00000000" w:rsidRDefault="00000000" w:rsidRPr="00000000" w14:paraId="000000C6">
      <w:pPr>
        <w:spacing w:after="240"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Random Forest model was applied as a regressor to predict Packet_Transmission_Rate_pps using the remaining three features, excluding the Anomaly label. Following preprocessing and SMOTE for class balancing, the model (RandomForestRegressor(n_estimators=100)) was trained and evaluated. Predictions of packet rates were compared with actual values, and the residual error (absolute difference) was computed. Data points with errors exceeding the 95th percentile threshold were labeled as anomalies. Finally, the assigned binary labels were compared with the true anomaly field using standard classification metrics to assess detection performance.</w:t>
      </w:r>
    </w:p>
    <w:p w:rsidR="00000000" w:rsidDel="00000000" w:rsidP="00000000" w:rsidRDefault="00000000" w:rsidRPr="00000000" w14:paraId="000000C7">
      <w:pPr>
        <w:spacing w:after="240" w:before="240" w:lineRule="auto"/>
        <w:ind w:right="-450"/>
        <w:rPr>
          <w:rFonts w:ascii="Times New Roman" w:cs="Times New Roman" w:eastAsia="Times New Roman" w:hAnsi="Times New Roman"/>
          <w:sz w:val="22"/>
          <w:szCs w:val="22"/>
        </w:rPr>
      </w:pPr>
      <w:r w:rsidDel="00000000" w:rsidR="00000000" w:rsidRPr="00000000">
        <w:rPr>
          <w:rtl w:val="0"/>
        </w:rPr>
      </w:r>
    </w:p>
    <w:sdt>
      <w:sdtPr>
        <w:lock w:val="contentLocked"/>
        <w:id w:val="468859236"/>
        <w:tag w:val="goog_rdk_1"/>
      </w:sdtPr>
      <w:sdtContent>
        <w:tbl>
          <w:tblPr>
            <w:tblStyle w:val="Table6"/>
            <w:tblpPr w:leftFromText="180" w:rightFromText="180" w:topFromText="180" w:bottomFromText="180" w:vertAnchor="text" w:horzAnchor="text" w:tblpX="-15" w:tblpY="18.011474609370453"/>
            <w:tblW w:w="5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945"/>
            <w:gridCol w:w="720"/>
            <w:gridCol w:w="1005"/>
            <w:gridCol w:w="915"/>
            <w:tblGridChange w:id="0">
              <w:tblGrid>
                <w:gridCol w:w="1455"/>
                <w:gridCol w:w="945"/>
                <w:gridCol w:w="720"/>
                <w:gridCol w:w="1005"/>
                <w:gridCol w:w="9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F1-Score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Support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Anomaly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Accuracy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240" w:before="240" w:lineRule="auto"/>
                  <w:ind w:right="-45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Macro Avg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Weighted Avg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w:t>
                </w:r>
              </w:p>
            </w:tc>
          </w:tr>
        </w:tbl>
      </w:sdtContent>
    </w:sdt>
    <w:p w:rsidR="00000000" w:rsidDel="00000000" w:rsidP="00000000" w:rsidRDefault="00000000" w:rsidRPr="00000000" w14:paraId="000000E6">
      <w:pPr>
        <w:spacing w:after="240" w:before="240" w:lineRule="auto"/>
        <w:ind w:right="-45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2"/>
          <w:szCs w:val="22"/>
          <w:rtl w:val="0"/>
        </w:rPr>
        <w:t xml:space="preserve">Output Snapshot:</w:t>
      </w:r>
      <w:r w:rsidDel="00000000" w:rsidR="00000000" w:rsidRPr="00000000">
        <w:rPr>
          <w:rFonts w:ascii="Times New Roman" w:cs="Times New Roman" w:eastAsia="Times New Roman" w:hAnsi="Times New Roman"/>
          <w:sz w:val="20"/>
          <w:szCs w:val="20"/>
          <w:rtl w:val="0"/>
        </w:rPr>
        <w:t xml:space="preserve">The model achieved an overall accuracy of 95%, primarily due to strong performance on the Normal class. For normal traffic, the model recorded high values of precision (0.95), recall (1.00), and F1-score (0.97), indicating nearly perfect classification of normal instances. However, the model failed to detect any anomalies, yielding 0.00 precision, recall, and F1-score for the anomaly class. This imbalance highlights that while the model is highly effective at identifying normal traffic, it completely misclassifies anomalous cases, likely due to dataset imbalance or thresholding issues. The macro average F1-score of 0.49 further confirms poor anomaly detection, whereas the weighted average F1-score of 0.93 reflects overall accuracy being dominated by the majority class (Normal).</w:t>
      </w:r>
    </w:p>
    <w:p w:rsidR="00000000" w:rsidDel="00000000" w:rsidP="00000000" w:rsidRDefault="00000000" w:rsidRPr="00000000" w14:paraId="000000E7">
      <w:pPr>
        <w:numPr>
          <w:ilvl w:val="0"/>
          <w:numId w:val="3"/>
        </w:numPr>
        <w:spacing w:after="240" w:before="240" w:line="276" w:lineRule="auto"/>
        <w:ind w:left="720" w:right="-45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Comparative Analysis</w:t>
      </w:r>
    </w:p>
    <w:p w:rsidR="00000000" w:rsidDel="00000000" w:rsidP="00000000" w:rsidRDefault="00000000" w:rsidRPr="00000000" w14:paraId="000000E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Performance Table:</w:t>
      </w:r>
      <w:r w:rsidDel="00000000" w:rsidR="00000000" w:rsidRPr="00000000">
        <w:rPr>
          <w:rtl w:val="0"/>
        </w:rPr>
      </w:r>
    </w:p>
    <w:tbl>
      <w:tblPr>
        <w:tblStyle w:val="Table7"/>
        <w:tblW w:w="5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755"/>
        <w:gridCol w:w="2070"/>
        <w:tblGridChange w:id="0">
          <w:tblGrid>
            <w:gridCol w:w="1200"/>
            <w:gridCol w:w="1755"/>
            <w:gridCol w:w="20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w:t>
            </w:r>
          </w:p>
        </w:tc>
        <w:tc>
          <w:tcPr>
            <w:tcMar>
              <w:top w:w="100.0" w:type="dxa"/>
              <w:left w:w="100.0" w:type="dxa"/>
              <w:bottom w:w="100.0" w:type="dxa"/>
              <w:right w:w="100.0" w:type="dxa"/>
            </w:tcMar>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Isolation Forest</w:t>
            </w:r>
          </w:p>
        </w:tc>
        <w:tc>
          <w:tcPr>
            <w:tcMar>
              <w:top w:w="100.0" w:type="dxa"/>
              <w:left w:w="100.0" w:type="dxa"/>
              <w:bottom w:w="100.0" w:type="dxa"/>
              <w:right w:w="100.0" w:type="dxa"/>
            </w:tcMar>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Precision</w:t>
            </w:r>
          </w:p>
        </w:tc>
        <w:tc>
          <w:tcPr>
            <w:tcMar>
              <w:top w:w="100.0" w:type="dxa"/>
              <w:left w:w="100.0" w:type="dxa"/>
              <w:bottom w:w="100.0" w:type="dxa"/>
              <w:right w:w="100.0" w:type="dxa"/>
            </w:tcMar>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Recall</w:t>
            </w:r>
          </w:p>
        </w:tc>
        <w:tc>
          <w:tcPr>
            <w:tcMar>
              <w:top w:w="100.0" w:type="dxa"/>
              <w:left w:w="100.0" w:type="dxa"/>
              <w:bottom w:w="100.0" w:type="dxa"/>
              <w:right w:w="100.0" w:type="dxa"/>
            </w:tcMar>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w:t>
            </w:r>
          </w:p>
        </w:tc>
      </w:tr>
      <w:tr>
        <w:trPr>
          <w:cantSplit w:val="0"/>
          <w:trHeight w:val="366" w:hRule="atLeast"/>
          <w:tblHeader w:val="0"/>
        </w:trPr>
        <w:tc>
          <w:tcPr>
            <w:tcMar>
              <w:top w:w="100.0" w:type="dxa"/>
              <w:left w:w="100.0" w:type="dxa"/>
              <w:bottom w:w="100.0" w:type="dxa"/>
              <w:right w:w="100.0" w:type="dxa"/>
            </w:tcMar>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F1-Score</w:t>
            </w:r>
          </w:p>
        </w:tc>
        <w:tc>
          <w:tcP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Mar>
              <w:top w:w="100.0" w:type="dxa"/>
              <w:left w:w="100.0" w:type="dxa"/>
              <w:bottom w:w="100.0" w:type="dxa"/>
              <w:right w:w="100.0" w:type="dxa"/>
            </w:tcMar>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w:t>
            </w:r>
          </w:p>
        </w:tc>
      </w:tr>
      <w:tr>
        <w:trPr>
          <w:cantSplit w:val="0"/>
          <w:trHeight w:val="321" w:hRule="atLeast"/>
          <w:tblHeader w:val="0"/>
        </w:trPr>
        <w:tc>
          <w:tcPr>
            <w:tcMar>
              <w:top w:w="100.0" w:type="dxa"/>
              <w:left w:w="100.0" w:type="dxa"/>
              <w:bottom w:w="100.0" w:type="dxa"/>
              <w:right w:w="100.0" w:type="dxa"/>
            </w:tcMar>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w:t>
            </w:r>
          </w:p>
        </w:tc>
        <w:tc>
          <w:tcP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w:t>
            </w:r>
          </w:p>
        </w:tc>
      </w:tr>
    </w:tbl>
    <w:p w:rsidR="00000000" w:rsidDel="00000000" w:rsidP="00000000" w:rsidRDefault="00000000" w:rsidRPr="00000000" w14:paraId="000000F8">
      <w:pPr>
        <w:spacing w:after="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Observations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F9">
      <w:pPr>
        <w:spacing w:after="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comparative analysis of Isolation Forest and Random Forest reveals several interesting insights. Isolation Forest demonstrates a slight edge in terms of F1-score and recall, indicating its effectiveness in isolating anomalous patterns more efficiently. This performance boost can be attributed to its design, which partitions data recursively and is particularly adept at identifying rare, irregular behaviors. On the other hand, Random Forest, despite being a supervised method, exhibited competitive precision, likely due to the effect of regression-based tuning and its ensemble nature, which reduces variance and improves prediction stability. The unsupervised nature of Isolation Forest makes it especially valuable in scenarios where anomaly labels are either unavailable or unreliable, providing a practical advantage in real-world anomaly detection tasks. Meanwhile, Random Forest offers significant benefits in terms of interpretability and access to feature importance, which are crucial in operational environments such as smart grids, where decision-making requires transparency and accountability. Thus, while Isolation Forest is better suited for exploratory anomaly detection without labeled data, Random Forest holds its strength in supervised contexts where explainability and precision are critical.</w:t>
      </w:r>
    </w:p>
    <w:p w:rsidR="00000000" w:rsidDel="00000000" w:rsidP="00000000" w:rsidRDefault="00000000" w:rsidRPr="00000000" w14:paraId="000000FA">
      <w:pPr>
        <w:spacing w:after="40" w:before="240" w:lineRule="auto"/>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FB">
      <w:pPr>
        <w:numPr>
          <w:ilvl w:val="0"/>
          <w:numId w:val="3"/>
        </w:numPr>
        <w:spacing w:after="0" w:line="276" w:lineRule="auto"/>
        <w:ind w:left="72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Potential Improvements and Future Scope</w:t>
      </w:r>
    </w:p>
    <w:p w:rsidR="00000000" w:rsidDel="00000000" w:rsidP="00000000" w:rsidRDefault="00000000" w:rsidRPr="00000000" w14:paraId="000000FC">
      <w:pPr>
        <w:spacing w:after="0" w:line="276"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F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study opens several promising directions for improvement and real-world applicability. Feature engineering can be further enhanced by incorporating time-dependent attributes such as rate of change, trend variations, and other derived metrics like request-to-volume ratios, which may encapsulate malicious behavior more effectively. In terms of model fusion, combining Isolation Forest and Random Forest into an ensemble or voting framework could improve robustness and accuracy. A hybrid approach, where Random Forest fine-tunes Isolation Forest thresholds, has the potential to balance unsupervised anomaly discovery with supervised precision.</w:t>
      </w:r>
    </w:p>
    <w:p w:rsidR="00000000" w:rsidDel="00000000" w:rsidP="00000000" w:rsidRDefault="00000000" w:rsidRPr="00000000" w14:paraId="000000FE">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real-time deployment, implementing streaming analytics frameworks such as Apache Kafka or Spark Streaming would enable continuous monitoring of smart grid operations, while deploying lightweight models on edge devices can minimize latency and enhance responsiveness. Explainability and trust remain critical for operator adoption, and future work should focus on generating human-readable alerts supported by the most influential features, thereby bridging the gap between AI predictions and actionable insights.</w:t>
      </w:r>
    </w:p>
    <w:p w:rsidR="00000000" w:rsidDel="00000000" w:rsidP="00000000" w:rsidRDefault="00000000" w:rsidRPr="00000000" w14:paraId="00000100">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 AutoML and hyperparameter tuning through tools like GridSearchCV or Optuna can automate model optimization for improved performance. Finally, exploring advanced techniques such as autoencoders, LSTMs, or transformers for sequence modeling could significantly boost detection of temporal anomalies. Privacy-aware strategies like federated learning may also be employed to enable collaborative training across substations without centralizing sensitive grid data. These avenues together pave the way for more accurate, scalable, and trustworthy anomaly detection frameworks in smart grid environments.</w:t>
      </w:r>
    </w:p>
    <w:p w:rsidR="00000000" w:rsidDel="00000000" w:rsidP="00000000" w:rsidRDefault="00000000" w:rsidRPr="00000000" w14:paraId="00000102">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3">
      <w:pPr>
        <w:numPr>
          <w:ilvl w:val="0"/>
          <w:numId w:val="1"/>
        </w:numPr>
        <w:spacing w:after="240" w:line="276"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Conclusion and Future Scope</w:t>
      </w:r>
    </w:p>
    <w:p w:rsidR="00000000" w:rsidDel="00000000" w:rsidP="00000000" w:rsidRDefault="00000000" w:rsidRPr="00000000" w14:paraId="0000010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had proposed comparative study of two tree-based machine learning methods, Isolation Forest and Random Forest, in terms of their performance in identifying flooding attacks in smart grids. Through thorough empirical study with a real-world dataset, it was demonstrated that both were efficient, with Isolation Forest proving to be marginally better than Random Forest in terms of accuracy and F1-score. Further study proposed. Also, various mitigation methods such as traffic shaping, rate limiting, and blacklisting were introduced to reduce the impact of attacks. Further, real-time proactive warning systems were employed to alert grid operators via dashboards and messaging apps. These features allow the system to transform from a passive system for anomaly detection to an active security program. Future research directions must consider incorporating real-time deployment and hybrid anomaly detection frameworks to facilitate resilience and always-on protection in smart grid environments. Opportunities in the future include using deep learning frameworks such as LSTMs or transformers for sequential anomaly detection, AutoML for hyperparameter tuning, and federated learning for privacy-preserving collaboration between substations. Additionally, interpretability and feature engineering methods based on temporal metrics can facilitate trust and interpretability and thus make the system robust and industrial-strength.</w:t>
      </w:r>
    </w:p>
    <w:p w:rsidR="00000000" w:rsidDel="00000000" w:rsidP="00000000" w:rsidRDefault="00000000" w:rsidRPr="00000000" w14:paraId="00000105">
      <w:pPr>
        <w:numPr>
          <w:ilvl w:val="0"/>
          <w:numId w:val="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References</w:t>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J. Wang, L. Du, and C. Liu, “Detection of flooding attacks in SCADA systems using machine learning,” IEEE Access, vol. 8, pp. 193608–193617, 2020.</w:t>
      </w:r>
    </w:p>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Y. Chen, Q. Liu, and Y. Zhang, “Detection of DDoS flooding attacks in smart grid using stacked ensemble learning,” Computers &amp; Security, vol. 108, p. 102379, Jan. 2022.</w:t>
      </w:r>
    </w:p>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 F. Guato Burgos, J. Morato, and F. P. Vizcaino Imacaña, “A Review of Smart Grid Anomaly Detection Approaches Pertaining to Artificial Intelligence,” Applied Sciences, vol. 14, no. 3, p. 1194, 2024.</w:t>
      </w:r>
    </w:p>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L. Shouyu, K. Zhang, W. Fang, Z. Zhou, R. Hu, W. Zhu, Y. Li, Y. Wang, and J. Hou, “Anomaly Detection of Power Grid Dispatching Platform Based on Isolation Forest and K-means Fusion Algorithm,” J. Phys.: Conf. Ser., vol. 1601, no. 2, p. 022010, 2020.</w:t>
      </w:r>
    </w:p>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Rahmani and H. Moghaddam, “Smart Grid Cyberattack Detection Using Ensemble Learning,” IEEE Transactions on Industrial Informatics, vol. 17, no. 1, pp. 398–407, Jan. 2021.</w:t>
      </w:r>
    </w:p>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 Banik, S. K. Saha, T. Banik, and S. M. M. Hossain, “Anomaly Detection Techniques in Smart Grid Systems: A Review,” arXiv preprint arXiv:2306.02473, 2023.</w:t>
      </w:r>
    </w:p>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M. Ahmad, M. M. Rathore, A. Paul, and S. Rho, “An efficient deep learning model for anomaly detection in smart grid networks,” Computers &amp; Electrical Engineering, vol. 93, p. 107209, 2021.</w:t>
      </w:r>
    </w:p>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Y. Kim, J. Park, and M. Kim, “Anomaly Detection for Smart Grid Based on Autoencoder and Isolation Forest,” in Proc. IEEE SmartGridComm, 2021, pp. 1–6.</w:t>
      </w:r>
    </w:p>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H. A. Rahim, M. S. Hossain, and G. Muhammad, “Smart grid cyber–physical attack detection using lightweight deep learning,” IEEE Internet of Things Journal, vol. 9, no. 3, pp. 2215–2222, Feb. 2022.</w:t>
      </w:r>
    </w:p>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Y. Li, Z. Zhang, Y. Liu, and H. Gao, “A federated learning-based intrusion detection method for smart grid,” IEEE Transactions on Industrial Informatics, vol. 18, no. 10, pp. 6773–6781, Oct. 2022.</w:t>
      </w:r>
    </w:p>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B. Lin, X. Wang, Z. Xu, and H. Jin, “Detecting cyber attacks in smart grid: A deep reinforcement learning approach,” Future Generation Computer Systems, vol. 124, pp. 114–125, Jan. 2021.</w:t>
      </w:r>
    </w:p>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A. Khan, M. A. Khan, A. Alghamdi, and M. Atiquzzaman, “AI-based anomaly detection for smart grid: A survey and future directions,” Journal of Network and Computer Applications, vol. 205, p. 103406, Jan. 2023.</w:t>
      </w:r>
    </w:p>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N. Moustafa, B. Turnbull, and K. Choo, “An ensemble intrusion detection technique based on voting of optimized random forests,” Future Generation Computer Systems, vol. 105, pp. 386–397, Apr. 2020.</w:t>
      </w:r>
    </w:p>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X. Liu and Z. Han, “AI-Empowered Smart Grid: A Review and Framework,” IEEE Transactions on Industrial Informatics, vol. 19, no. 3, pp. 2166–2177, Mar. 2023.</w:t>
      </w:r>
    </w:p>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A. Sharma and S. S. Gill, “AI-Driven Security Model for Smart Grids Using Federated and Ensemble Learning,” Journal of Parallel and Distributed Computing, vol. 170, pp. 68–81, Jun. 2023.</w:t>
      </w:r>
    </w:p>
    <w:sectPr>
      <w:type w:val="continuous"/>
      <w:pgSz w:h="15840" w:w="12240" w:orient="portrait"/>
      <w:pgMar w:bottom="1440" w:top="1080" w:left="720" w:right="720" w:header="720" w:footer="720"/>
      <w:cols w:equalWidth="0" w:num="2">
        <w:col w:space="72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Times New Roman" w:cs="Times New Roman" w:eastAsia="Times New Roman" w:hAnsi="Times New Roman"/>
        <w:b w:val="1"/>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802AA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02AA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02AA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802AA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802AA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802AA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802AA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02AA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802AA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02AA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02AA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02AA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02AA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02AA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02AA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02AAB"/>
    <w:rPr>
      <w:i w:val="1"/>
      <w:iCs w:val="1"/>
      <w:color w:val="404040" w:themeColor="text1" w:themeTint="0000BF"/>
    </w:rPr>
  </w:style>
  <w:style w:type="paragraph" w:styleId="ListParagraph">
    <w:name w:val="List Paragraph"/>
    <w:basedOn w:val="Normal"/>
    <w:uiPriority w:val="34"/>
    <w:qFormat w:val="1"/>
    <w:rsid w:val="00802AAB"/>
    <w:pPr>
      <w:ind w:left="720"/>
      <w:contextualSpacing w:val="1"/>
    </w:pPr>
  </w:style>
  <w:style w:type="character" w:styleId="IntenseEmphasis">
    <w:name w:val="Intense Emphasis"/>
    <w:basedOn w:val="DefaultParagraphFont"/>
    <w:uiPriority w:val="21"/>
    <w:qFormat w:val="1"/>
    <w:rsid w:val="00802AAB"/>
    <w:rPr>
      <w:i w:val="1"/>
      <w:iCs w:val="1"/>
      <w:color w:val="2f5496" w:themeColor="accent1" w:themeShade="0000BF"/>
    </w:rPr>
  </w:style>
  <w:style w:type="paragraph" w:styleId="IntenseQuote">
    <w:name w:val="Intense Quote"/>
    <w:basedOn w:val="Normal"/>
    <w:next w:val="Normal"/>
    <w:link w:val="IntenseQuoteChar"/>
    <w:uiPriority w:val="30"/>
    <w:qFormat w:val="1"/>
    <w:rsid w:val="00802AA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02AAB"/>
    <w:rPr>
      <w:i w:val="1"/>
      <w:iCs w:val="1"/>
      <w:color w:val="2f5496" w:themeColor="accent1" w:themeShade="0000BF"/>
    </w:rPr>
  </w:style>
  <w:style w:type="character" w:styleId="IntenseReference">
    <w:name w:val="Intense Reference"/>
    <w:basedOn w:val="DefaultParagraphFont"/>
    <w:uiPriority w:val="32"/>
    <w:qFormat w:val="1"/>
    <w:rsid w:val="00802AAB"/>
    <w:rPr>
      <w:b w:val="1"/>
      <w:bCs w:val="1"/>
      <w:smallCaps w:val="1"/>
      <w:color w:val="2f5496" w:themeColor="accent1" w:themeShade="0000BF"/>
      <w:spacing w:val="5"/>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BodyText">
    <w:name w:val="Body Text"/>
    <w:basedOn w:val="Normal"/>
    <w:link w:val="BodyTextChar"/>
    <w:uiPriority w:val="1"/>
    <w:qFormat w:val="1"/>
    <w:rsid w:val="00D05DFA"/>
    <w:pPr>
      <w:widowControl w:val="0"/>
      <w:autoSpaceDE w:val="0"/>
      <w:autoSpaceDN w:val="0"/>
      <w:spacing w:after="0" w:line="240" w:lineRule="auto"/>
    </w:pPr>
    <w:rPr>
      <w:rFonts w:ascii="Times New Roman" w:cs="Times New Roman" w:eastAsia="Times New Roman" w:hAnsi="Times New Roman"/>
      <w:sz w:val="20"/>
      <w:szCs w:val="20"/>
      <w:lang w:val="en-US"/>
    </w:rPr>
  </w:style>
  <w:style w:type="character" w:styleId="BodyTextChar" w:customStyle="1">
    <w:name w:val="Body Text Char"/>
    <w:basedOn w:val="DefaultParagraphFont"/>
    <w:link w:val="BodyText"/>
    <w:uiPriority w:val="1"/>
    <w:rsid w:val="00D05DFA"/>
    <w:rPr>
      <w:rFonts w:ascii="Times New Roman" w:cs="Times New Roman" w:eastAsia="Times New Roman" w:hAnsi="Times New Roman"/>
      <w:sz w:val="20"/>
      <w:szCs w:val="20"/>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ziltsOYYm/bzhllPFhMtMsVV+g==">CgMxLjAaHwoBMBIaChgICVIUChJ0YWJsZS5jMGxwbWN5OHV5NGkaHwoBMRIaChgICVIUChJ0YWJsZS5wZWtzMTZjc2pjY24yDmgud2Y1cWpybnlsdTdzMg5oLno4ejRwZDU4bGc1czIOaC4xdXg4ZjVxbGtmMmoyDmguOW1keWJscnFqa3p3Mg5oLmlvdmR1ZjQ5bXkyMjIOaC5wa2g4enJ4MmIzY20yDmgua2ZhemphdmJudzVtMg5oLmEyNWtsbTk2dHEycjIOaC42b2F5bDk1ajBlazA4AHIhMTdaNEpOUnJ0MlBnX0haaG51R21iYlh2R3hySzVRSW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2025-08-19T05:27:00Z</dcterms:created>
  <dc:creator>Raajit Singh</dc:creator>
</cp:coreProperties>
</file>