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Open-Source Vision-Language-Action (VLA) Models</w:t>
      </w:r>
    </w:p>
    <w:p>
      <w:r>
        <w:rPr>
          <w:i/>
          <w:sz w:val="24"/>
        </w:rPr>
        <w:t>A simple map of the field — and where SmolVLA (the model I deployed on the SO-100 arm) fits</w:t>
      </w:r>
    </w:p>
    <w:p>
      <w:pPr>
        <w:pStyle w:val="Heading1"/>
      </w:pPr>
      <w:r>
        <w:t>What a VLA is</w:t>
      </w:r>
    </w:p>
    <w:p>
      <w:r>
        <w:t>A Vision-Language-Action (VLA) model takes camera images plus a text instruction (e.g. "pick up the bottle and place it in the yellow square") and outputs the robot’s motor commands directly. This is the model family I used to make the SO-100 arm perform the pick-and-place task autonomously.</w:t>
      </w:r>
    </w:p>
    <w:p>
      <w:pPr>
        <w:pStyle w:val="Heading1"/>
      </w:pPr>
      <w:r>
        <w:t>How the models differ (three simple axes)</w:t>
      </w:r>
    </w:p>
    <w:p>
      <w:pPr>
        <w:pStyle w:val="ListBullet"/>
      </w:pPr>
      <w:r>
        <w:rPr>
          <w:b/>
        </w:rPr>
        <w:t xml:space="preserve">Size: </w:t>
      </w:r>
      <w:r>
        <w:t>From ~450 million to tens of billions of parameters. Smaller = runs on cheap hardware; larger = generally smarter and more general, but needs big GPUs.</w:t>
      </w:r>
    </w:p>
    <w:p>
      <w:pPr>
        <w:pStyle w:val="ListBullet"/>
      </w:pPr>
      <w:r>
        <w:rPr>
          <w:b/>
        </w:rPr>
        <w:t xml:space="preserve">How they produce actions: </w:t>
      </w:r>
      <w:r>
        <w:t>(a) Autoregressive — predict action “tokens” one by one, like text. (b) Diffusion — denoise a whole motion at once. (c) Flow-matching — a fast “action expert” (what SmolVLA and π0 use).</w:t>
      </w:r>
    </w:p>
    <w:p>
      <w:pPr>
        <w:pStyle w:val="ListBullet"/>
      </w:pPr>
      <w:r>
        <w:rPr>
          <w:b/>
        </w:rPr>
        <w:t xml:space="preserve">Openness: </w:t>
      </w:r>
      <w:r>
        <w:t>Some are fully open (weights + code you can download and run). Some are closed (e.g. Google’s), with no downloadable weights.</w:t>
      </w:r>
    </w:p>
    <w:p>
      <w:pPr>
        <w:pStyle w:val="Heading1"/>
      </w:pPr>
      <w:r>
        <w:t>Where SmolVLA fits</w:t>
      </w:r>
    </w:p>
    <w:p>
      <w:r>
        <w:t>SmolVLA is the small, efficient, fully-open option. It is about 450M parameters, built into HuggingFace’s LeRobot framework, and designed for exactly the SO-100/SO-101 arm and community data. It is not the most capable model in the field — bigger models like π0, OpenVLA, and MolmoAct generalize better — but it is the one you can actually train and run on a normal laptop GPU, which is why it worked for our setup. In short: SmolVLA trades peak capability for cost, speed, reproducibility, and a native fit to our stack.</w:t>
      </w:r>
    </w:p>
    <w:p>
      <w:pPr>
        <w:pStyle w:val="Heading1"/>
      </w:pPr>
      <w:r>
        <w:t>Comparison of the main open-source VLAs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Good 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Open?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C8478"/>
              </w:rPr>
              <w:t>SmolVLA  (mine)</w:t>
            </w:r>
          </w:p>
        </w:tc>
        <w:tc>
          <w:tcPr>
            <w:tcW w:type="dxa" w:w="1440"/>
          </w:tcPr>
          <w:p>
            <w:r>
              <w:t>~450M</w:t>
            </w:r>
          </w:p>
        </w:tc>
        <w:tc>
          <w:tcPr>
            <w:tcW w:type="dxa" w:w="1440"/>
          </w:tcPr>
          <w:p>
            <w:r>
              <w:t>Flow-matching</w:t>
            </w:r>
          </w:p>
        </w:tc>
        <w:tc>
          <w:tcPr>
            <w:tcW w:type="dxa" w:w="1440"/>
          </w:tcPr>
          <w:p>
            <w:r>
              <w:t>Cheap to run; native to LeRobot/SO-100; fully open</w:t>
            </w:r>
          </w:p>
        </w:tc>
        <w:tc>
          <w:tcPr>
            <w:tcW w:type="dxa" w:w="1440"/>
          </w:tcPr>
          <w:p>
            <w:r>
              <w:rPr>
                <w:color w:val="1F9A57"/>
              </w:rPr>
              <w:t>Open</w:t>
            </w:r>
          </w:p>
        </w:tc>
        <w:tc>
          <w:tcPr>
            <w:tcW w:type="dxa" w:w="1440"/>
          </w:tcPr>
          <w:p>
            <w:hyperlink r:id="rId9">
              <w:r>
                <w:rPr>
                  <w:color w:val="0563C1"/>
                  <w:u w:val="single"/>
                </w:rPr>
                <w:t>paper</w:t>
              </w:r>
            </w:hyperlink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Octo</w:t>
            </w:r>
          </w:p>
        </w:tc>
        <w:tc>
          <w:tcPr>
            <w:tcW w:type="dxa" w:w="1440"/>
          </w:tcPr>
          <w:p>
            <w:r>
              <w:t>27–93M</w:t>
            </w:r>
          </w:p>
        </w:tc>
        <w:tc>
          <w:tcPr>
            <w:tcW w:type="dxa" w:w="1440"/>
          </w:tcPr>
          <w:p>
            <w:r>
              <w:t>Diffusion</w:t>
            </w:r>
          </w:p>
        </w:tc>
        <w:tc>
          <w:tcPr>
            <w:tcW w:type="dxa" w:w="1440"/>
          </w:tcPr>
          <w:p>
            <w:r>
              <w:t>Lightweight generalist; fast to fine-tune</w:t>
            </w:r>
          </w:p>
        </w:tc>
        <w:tc>
          <w:tcPr>
            <w:tcW w:type="dxa" w:w="1440"/>
          </w:tcPr>
          <w:p>
            <w:r>
              <w:rPr>
                <w:color w:val="1F9A57"/>
              </w:rPr>
              <w:t>Open</w:t>
            </w:r>
          </w:p>
        </w:tc>
        <w:tc>
          <w:tcPr>
            <w:tcW w:type="dxa" w:w="1440"/>
          </w:tcPr>
          <w:p>
            <w:hyperlink r:id="rId10">
              <w:r>
                <w:rPr>
                  <w:color w:val="0563C1"/>
                  <w:u w:val="single"/>
                </w:rPr>
                <w:t>site</w:t>
              </w:r>
            </w:hyperlink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π0 (Pi-Zero)</w:t>
            </w:r>
          </w:p>
        </w:tc>
        <w:tc>
          <w:tcPr>
            <w:tcW w:type="dxa" w:w="1440"/>
          </w:tcPr>
          <w:p>
            <w:r>
              <w:t>~3.3B</w:t>
            </w:r>
          </w:p>
        </w:tc>
        <w:tc>
          <w:tcPr>
            <w:tcW w:type="dxa" w:w="1440"/>
          </w:tcPr>
          <w:p>
            <w:r>
              <w:t>Flow-matching</w:t>
            </w:r>
          </w:p>
        </w:tc>
        <w:tc>
          <w:tcPr>
            <w:tcW w:type="dxa" w:w="1440"/>
          </w:tcPr>
          <w:p>
            <w:r>
              <w:t>SOTA-class dexterity &amp; cross-robot transfer</w:t>
            </w:r>
          </w:p>
        </w:tc>
        <w:tc>
          <w:tcPr>
            <w:tcW w:type="dxa" w:w="1440"/>
          </w:tcPr>
          <w:p>
            <w:r>
              <w:rPr>
                <w:color w:val="1F9A57"/>
              </w:rPr>
              <w:t>Open</w:t>
            </w:r>
          </w:p>
        </w:tc>
        <w:tc>
          <w:tcPr>
            <w:tcW w:type="dxa" w:w="1440"/>
          </w:tcPr>
          <w:p>
            <w:hyperlink r:id="rId11">
              <w:r>
                <w:rPr>
                  <w:color w:val="0563C1"/>
                  <w:u w:val="single"/>
                </w:rPr>
                <w:t>openpi</w:t>
              </w:r>
            </w:hyperlink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π0.5</w:t>
            </w:r>
          </w:p>
        </w:tc>
        <w:tc>
          <w:tcPr>
            <w:tcW w:type="dxa" w:w="1440"/>
          </w:tcPr>
          <w:p>
            <w:r>
              <w:t>~3B</w:t>
            </w:r>
          </w:p>
        </w:tc>
        <w:tc>
          <w:tcPr>
            <w:tcW w:type="dxa" w:w="1440"/>
          </w:tcPr>
          <w:p>
            <w:r>
              <w:t>Flow-matching</w:t>
            </w:r>
          </w:p>
        </w:tc>
        <w:tc>
          <w:tcPr>
            <w:tcW w:type="dxa" w:w="1440"/>
          </w:tcPr>
          <w:p>
            <w:r>
              <w:t>Open-world generalization to new homes/tasks</w:t>
            </w:r>
          </w:p>
        </w:tc>
        <w:tc>
          <w:tcPr>
            <w:tcW w:type="dxa" w:w="1440"/>
          </w:tcPr>
          <w:p>
            <w:r>
              <w:rPr>
                <w:color w:val="1F9A57"/>
              </w:rPr>
              <w:t>Open</w:t>
            </w:r>
          </w:p>
        </w:tc>
        <w:tc>
          <w:tcPr>
            <w:tcW w:type="dxa" w:w="1440"/>
          </w:tcPr>
          <w:p>
            <w:hyperlink r:id="rId12">
              <w:r>
                <w:rPr>
                  <w:color w:val="0563C1"/>
                  <w:u w:val="single"/>
                </w:rPr>
                <w:t>blog</w:t>
              </w:r>
            </w:hyperlink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OpenVLA</w:t>
            </w:r>
          </w:p>
        </w:tc>
        <w:tc>
          <w:tcPr>
            <w:tcW w:type="dxa" w:w="1440"/>
          </w:tcPr>
          <w:p>
            <w:r>
              <w:t>7B</w:t>
            </w:r>
          </w:p>
        </w:tc>
        <w:tc>
          <w:tcPr>
            <w:tcW w:type="dxa" w:w="1440"/>
          </w:tcPr>
          <w:p>
            <w:r>
              <w:t>Autoregressive</w:t>
            </w:r>
          </w:p>
        </w:tc>
        <w:tc>
          <w:tcPr>
            <w:tcW w:type="dxa" w:w="1440"/>
          </w:tcPr>
          <w:p>
            <w:r>
              <w:t>Widely-used open generalist research baseline</w:t>
            </w:r>
          </w:p>
        </w:tc>
        <w:tc>
          <w:tcPr>
            <w:tcW w:type="dxa" w:w="1440"/>
          </w:tcPr>
          <w:p>
            <w:r>
              <w:rPr>
                <w:color w:val="1F9A57"/>
              </w:rPr>
              <w:t>Open</w:t>
            </w:r>
          </w:p>
        </w:tc>
        <w:tc>
          <w:tcPr>
            <w:tcW w:type="dxa" w:w="1440"/>
          </w:tcPr>
          <w:p>
            <w:hyperlink r:id="rId13">
              <w:r>
                <w:rPr>
                  <w:color w:val="0563C1"/>
                  <w:u w:val="single"/>
                </w:rPr>
                <w:t>site</w:t>
              </w:r>
            </w:hyperlink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OpenVLA-OFT</w:t>
            </w:r>
          </w:p>
        </w:tc>
        <w:tc>
          <w:tcPr>
            <w:tcW w:type="dxa" w:w="1440"/>
          </w:tcPr>
          <w:p>
            <w:r>
              <w:t>7B</w:t>
            </w:r>
          </w:p>
        </w:tc>
        <w:tc>
          <w:tcPr>
            <w:tcW w:type="dxa" w:w="1440"/>
          </w:tcPr>
          <w:p>
            <w:r>
              <w:t>Parallel/continuous</w:t>
            </w:r>
          </w:p>
        </w:tc>
        <w:tc>
          <w:tcPr>
            <w:tcW w:type="dxa" w:w="1440"/>
          </w:tcPr>
          <w:p>
            <w:r>
              <w:t>~25–50× faster than OpenVLA, higher success</w:t>
            </w:r>
          </w:p>
        </w:tc>
        <w:tc>
          <w:tcPr>
            <w:tcW w:type="dxa" w:w="1440"/>
          </w:tcPr>
          <w:p>
            <w:r>
              <w:rPr>
                <w:color w:val="1F9A57"/>
              </w:rPr>
              <w:t>Open</w:t>
            </w:r>
          </w:p>
        </w:tc>
        <w:tc>
          <w:tcPr>
            <w:tcW w:type="dxa" w:w="1440"/>
          </w:tcPr>
          <w:p>
            <w:hyperlink r:id="rId14">
              <w:r>
                <w:rPr>
                  <w:color w:val="0563C1"/>
                  <w:u w:val="single"/>
                </w:rPr>
                <w:t>paper</w:t>
              </w:r>
            </w:hyperlink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RDT-1B</w:t>
            </w:r>
          </w:p>
        </w:tc>
        <w:tc>
          <w:tcPr>
            <w:tcW w:type="dxa" w:w="1440"/>
          </w:tcPr>
          <w:p>
            <w:r>
              <w:t>1.2B</w:t>
            </w:r>
          </w:p>
        </w:tc>
        <w:tc>
          <w:tcPr>
            <w:tcW w:type="dxa" w:w="1440"/>
          </w:tcPr>
          <w:p>
            <w:r>
              <w:t>Diffusion</w:t>
            </w:r>
          </w:p>
        </w:tc>
        <w:tc>
          <w:tcPr>
            <w:tcW w:type="dxa" w:w="1440"/>
          </w:tcPr>
          <w:p>
            <w:r>
              <w:t>Bimanual (two-arm) manipulation</w:t>
            </w:r>
          </w:p>
        </w:tc>
        <w:tc>
          <w:tcPr>
            <w:tcW w:type="dxa" w:w="1440"/>
          </w:tcPr>
          <w:p>
            <w:r>
              <w:rPr>
                <w:color w:val="1F9A57"/>
              </w:rPr>
              <w:t>Open</w:t>
            </w:r>
          </w:p>
        </w:tc>
        <w:tc>
          <w:tcPr>
            <w:tcW w:type="dxa" w:w="1440"/>
          </w:tcPr>
          <w:p>
            <w:hyperlink r:id="rId15">
              <w:r>
                <w:rPr>
                  <w:color w:val="0563C1"/>
                  <w:u w:val="single"/>
                </w:rPr>
                <w:t>code</w:t>
              </w:r>
            </w:hyperlink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GR00T N1.5</w:t>
            </w:r>
          </w:p>
        </w:tc>
        <w:tc>
          <w:tcPr>
            <w:tcW w:type="dxa" w:w="1440"/>
          </w:tcPr>
          <w:p>
            <w:r>
              <w:t>~3B</w:t>
            </w:r>
          </w:p>
        </w:tc>
        <w:tc>
          <w:tcPr>
            <w:tcW w:type="dxa" w:w="1440"/>
          </w:tcPr>
          <w:p>
            <w:r>
              <w:t>Flow (dual-system)</w:t>
            </w:r>
          </w:p>
        </w:tc>
        <w:tc>
          <w:tcPr>
            <w:tcW w:type="dxa" w:w="1440"/>
          </w:tcPr>
          <w:p>
            <w:r>
              <w:t>Humanoids; strong Isaac simulation pipeline</w:t>
            </w:r>
          </w:p>
        </w:tc>
        <w:tc>
          <w:tcPr>
            <w:tcW w:type="dxa" w:w="1440"/>
          </w:tcPr>
          <w:p>
            <w:r>
              <w:rPr>
                <w:color w:val="1F9A57"/>
              </w:rPr>
              <w:t>Open</w:t>
            </w:r>
          </w:p>
        </w:tc>
        <w:tc>
          <w:tcPr>
            <w:tcW w:type="dxa" w:w="1440"/>
          </w:tcPr>
          <w:p>
            <w:hyperlink r:id="rId16">
              <w:r>
                <w:rPr>
                  <w:color w:val="0563C1"/>
                  <w:u w:val="single"/>
                </w:rPr>
                <w:t>weights</w:t>
              </w:r>
            </w:hyperlink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MolmoAct</w:t>
            </w:r>
          </w:p>
        </w:tc>
        <w:tc>
          <w:tcPr>
            <w:tcW w:type="dxa" w:w="1440"/>
          </w:tcPr>
          <w:p>
            <w:r>
              <w:t>7B</w:t>
            </w:r>
          </w:p>
        </w:tc>
        <w:tc>
          <w:tcPr>
            <w:tcW w:type="dxa" w:w="1440"/>
          </w:tcPr>
          <w:p>
            <w:r>
              <w:t>Action reasoning</w:t>
            </w:r>
          </w:p>
        </w:tc>
        <w:tc>
          <w:tcPr>
            <w:tcW w:type="dxa" w:w="1440"/>
          </w:tcPr>
          <w:p>
            <w:r>
              <w:t>3D spatial reasoning; interpretable plans; most open</w:t>
            </w:r>
          </w:p>
        </w:tc>
        <w:tc>
          <w:tcPr>
            <w:tcW w:type="dxa" w:w="1440"/>
          </w:tcPr>
          <w:p>
            <w:r>
              <w:rPr>
                <w:color w:val="1F9A57"/>
              </w:rPr>
              <w:t>Open</w:t>
            </w:r>
          </w:p>
        </w:tc>
        <w:tc>
          <w:tcPr>
            <w:tcW w:type="dxa" w:w="1440"/>
          </w:tcPr>
          <w:p>
            <w:hyperlink r:id="rId17">
              <w:r>
                <w:rPr>
                  <w:color w:val="0563C1"/>
                  <w:u w:val="single"/>
                </w:rPr>
                <w:t>blog</w:t>
              </w:r>
            </w:hyperlink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RT-2</w:t>
            </w:r>
          </w:p>
        </w:tc>
        <w:tc>
          <w:tcPr>
            <w:tcW w:type="dxa" w:w="1440"/>
          </w:tcPr>
          <w:p>
            <w:r>
              <w:t>12–55B</w:t>
            </w:r>
          </w:p>
        </w:tc>
        <w:tc>
          <w:tcPr>
            <w:tcW w:type="dxa" w:w="1440"/>
          </w:tcPr>
          <w:p>
            <w:r>
              <w:t>Autoregressive</w:t>
            </w:r>
          </w:p>
        </w:tc>
        <w:tc>
          <w:tcPr>
            <w:tcW w:type="dxa" w:w="1440"/>
          </w:tcPr>
          <w:p>
            <w:r>
              <w:t>Defined the VLA paradigm (research only)</w:t>
            </w:r>
          </w:p>
        </w:tc>
        <w:tc>
          <w:tcPr>
            <w:tcW w:type="dxa" w:w="1440"/>
          </w:tcPr>
          <w:p>
            <w:r>
              <w:rPr>
                <w:color w:val="C24A3B"/>
              </w:rPr>
              <w:t>Closed</w:t>
            </w:r>
          </w:p>
        </w:tc>
        <w:tc>
          <w:tcPr>
            <w:tcW w:type="dxa" w:w="1440"/>
          </w:tcPr>
          <w:p>
            <w:hyperlink r:id="rId18">
              <w:r>
                <w:rPr>
                  <w:color w:val="0563C1"/>
                  <w:u w:val="single"/>
                </w:rPr>
                <w:t>site</w:t>
              </w:r>
            </w:hyperlink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Gemini Robotics</w:t>
            </w:r>
          </w:p>
        </w:tc>
        <w:tc>
          <w:tcPr>
            <w:tcW w:type="dxa" w:w="1440"/>
          </w:tcPr>
          <w:p>
            <w:r>
              <w:t>undisclosed</w:t>
            </w:r>
          </w:p>
        </w:tc>
        <w:tc>
          <w:tcPr>
            <w:tcW w:type="dxa" w:w="1440"/>
          </w:tcPr>
          <w:p>
            <w:r>
              <w:t>Proprietary</w:t>
            </w:r>
          </w:p>
        </w:tc>
        <w:tc>
          <w:tcPr>
            <w:tcW w:type="dxa" w:w="1440"/>
          </w:tcPr>
          <w:p>
            <w:r>
              <w:t>Frontier dexterity + reasoning (commercial)</w:t>
            </w:r>
          </w:p>
        </w:tc>
        <w:tc>
          <w:tcPr>
            <w:tcW w:type="dxa" w:w="1440"/>
          </w:tcPr>
          <w:p>
            <w:r>
              <w:rPr>
                <w:color w:val="C24A3B"/>
              </w:rPr>
              <w:t>Closed</w:t>
            </w:r>
          </w:p>
        </w:tc>
        <w:tc>
          <w:tcPr>
            <w:tcW w:type="dxa" w:w="1440"/>
          </w:tcPr>
          <w:p>
            <w:hyperlink r:id="rId19">
              <w:r>
                <w:rPr>
                  <w:color w:val="0563C1"/>
                  <w:u w:val="single"/>
                </w:rPr>
                <w:t>page</w:t>
              </w:r>
            </w:hyperlink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ACT  (baseline)</w:t>
            </w:r>
          </w:p>
        </w:tc>
        <w:tc>
          <w:tcPr>
            <w:tcW w:type="dxa" w:w="1440"/>
          </w:tcPr>
          <w:p>
            <w:r>
              <w:t>~80M</w:t>
            </w:r>
          </w:p>
        </w:tc>
        <w:tc>
          <w:tcPr>
            <w:tcW w:type="dxa" w:w="1440"/>
          </w:tcPr>
          <w:p>
            <w:r>
              <w:t>Action chunking</w:t>
            </w:r>
          </w:p>
        </w:tc>
        <w:tc>
          <w:tcPr>
            <w:tcW w:type="dxa" w:w="1440"/>
          </w:tcPr>
          <w:p>
            <w:r>
              <w:t>Data-efficient single task; no language model</w:t>
            </w:r>
          </w:p>
        </w:tc>
        <w:tc>
          <w:tcPr>
            <w:tcW w:type="dxa" w:w="1440"/>
          </w:tcPr>
          <w:p>
            <w:r>
              <w:rPr>
                <w:color w:val="1F9A57"/>
              </w:rPr>
              <w:t>Open</w:t>
            </w:r>
          </w:p>
        </w:tc>
        <w:tc>
          <w:tcPr>
            <w:tcW w:type="dxa" w:w="1440"/>
          </w:tcPr>
          <w:p>
            <w:hyperlink r:id="rId20">
              <w:r>
                <w:rPr>
                  <w:color w:val="0563C1"/>
                  <w:u w:val="single"/>
                </w:rPr>
                <w:t>paper</w:t>
              </w:r>
            </w:hyperlink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Diffusion Policy  (baseline)</w:t>
            </w:r>
          </w:p>
        </w:tc>
        <w:tc>
          <w:tcPr>
            <w:tcW w:type="dxa" w:w="1440"/>
          </w:tcPr>
          <w:p>
            <w:r>
              <w:t>~100–300M</w:t>
            </w:r>
          </w:p>
        </w:tc>
        <w:tc>
          <w:tcPr>
            <w:tcW w:type="dxa" w:w="1440"/>
          </w:tcPr>
          <w:p>
            <w:r>
              <w:t>Diffusion</w:t>
            </w:r>
          </w:p>
        </w:tc>
        <w:tc>
          <w:tcPr>
            <w:tcW w:type="dxa" w:w="1440"/>
          </w:tcPr>
          <w:p>
            <w:r>
              <w:t>Smooth single-task control; no language model</w:t>
            </w:r>
          </w:p>
        </w:tc>
        <w:tc>
          <w:tcPr>
            <w:tcW w:type="dxa" w:w="1440"/>
          </w:tcPr>
          <w:p>
            <w:r>
              <w:rPr>
                <w:color w:val="1F9A57"/>
              </w:rPr>
              <w:t>Open</w:t>
            </w:r>
          </w:p>
        </w:tc>
        <w:tc>
          <w:tcPr>
            <w:tcW w:type="dxa" w:w="1440"/>
          </w:tcPr>
          <w:p>
            <w:hyperlink r:id="rId21">
              <w:r>
                <w:rPr>
                  <w:color w:val="0563C1"/>
                  <w:u w:val="single"/>
                </w:rPr>
                <w:t>site</w:t>
              </w:r>
            </w:hyperlink>
          </w:p>
        </w:tc>
      </w:tr>
    </w:tbl>
    <w:p>
      <w:pPr>
        <w:pStyle w:val="Heading1"/>
      </w:pPr>
      <w:r>
        <w:t>SmolVLA — quick pros and cons</w:t>
      </w:r>
    </w:p>
    <w:p>
      <w:r>
        <w:rPr>
          <w:b/>
        </w:rPr>
        <w:t xml:space="preserve">Good at: </w:t>
      </w:r>
      <w:r>
        <w:t>runs on a laptop GPU (even CPU); native to LeRobot and the SO-100; asynchronous inference for higher control rates; fully open and reproducible; learns from just tens of demonstrations (we used 56).</w:t>
      </w:r>
    </w:p>
    <w:p>
      <w:r>
        <w:rPr>
          <w:b/>
        </w:rPr>
        <w:t xml:space="preserve">Gives up: </w:t>
      </w:r>
      <w:r>
        <w:t>peak dexterity and generalization to hard/novel tasks; rich multi-step language reasoning; explicit 3D/spatial reasoning; bimanual or humanoid scale (those are other models’ specialties).</w:t>
      </w:r>
    </w:p>
    <w:p>
      <w:pPr>
        <w:pStyle w:val="Heading1"/>
      </w:pPr>
      <w:r>
        <w:t>What realistically runs on my laptop (RTX 3050, 4 GB)</w:t>
      </w:r>
    </w:p>
    <w:p>
      <w:pPr>
        <w:pStyle w:val="ListBullet"/>
      </w:pPr>
      <w:r>
        <w:rPr>
          <w:b/>
        </w:rPr>
        <w:t xml:space="preserve">Runs fine: </w:t>
      </w:r>
      <w:r>
        <w:t>SmolVLA, Octo, ACT, Diffusion Policy — my practical toolbox today.</w:t>
      </w:r>
    </w:p>
    <w:p>
      <w:pPr>
        <w:pStyle w:val="ListBullet"/>
      </w:pPr>
      <w:r>
        <w:rPr>
          <w:b/>
        </w:rPr>
        <w:t xml:space="preserve">Needs a bigger GPU: </w:t>
      </w:r>
      <w:r>
        <w:t>π0, π0.5, GR00T, RDT-1B (1–3B) — possible only with quantization/offload; fine-tuning wants ≥16–24 GB.</w:t>
      </w:r>
    </w:p>
    <w:p>
      <w:pPr>
        <w:pStyle w:val="ListBullet"/>
      </w:pPr>
      <w:r>
        <w:rPr>
          <w:b/>
        </w:rPr>
        <w:t xml:space="preserve">Not self-hostable: </w:t>
      </w:r>
      <w:r>
        <w:t>OpenVLA / MolmoAct (7B) need 24 GB+; RT-2 and Gemini Robotics have no public weights.</w:t>
      </w:r>
    </w:p>
    <w:p>
      <w:pPr>
        <w:pStyle w:val="Heading1"/>
      </w:pPr>
      <w:r>
        <w:t>Key sources</w:t>
      </w:r>
    </w:p>
    <w:p>
      <w:pPr>
        <w:pStyle w:val="ListBullet"/>
      </w:pPr>
      <w:hyperlink r:id="rId9">
        <w:r>
          <w:rPr>
            <w:color w:val="0563C1"/>
            <w:u w:val="single"/>
          </w:rPr>
          <w:t>SmolVLA paper (arXiv 2506.01844)</w:t>
        </w:r>
      </w:hyperlink>
    </w:p>
    <w:p>
      <w:pPr>
        <w:pStyle w:val="ListBullet"/>
      </w:pPr>
      <w:hyperlink r:id="rId22">
        <w:r>
          <w:rPr>
            <w:color w:val="0563C1"/>
            <w:u w:val="single"/>
          </w:rPr>
          <w:t>SmolVLA blog (HuggingFace)</w:t>
        </w:r>
      </w:hyperlink>
    </w:p>
    <w:p>
      <w:pPr>
        <w:pStyle w:val="ListBullet"/>
      </w:pPr>
      <w:hyperlink r:id="rId23">
        <w:r>
          <w:rPr>
            <w:color w:val="0563C1"/>
            <w:u w:val="single"/>
          </w:rPr>
          <w:t>LeRobot framework (GitHub)</w:t>
        </w:r>
      </w:hyperlink>
    </w:p>
    <w:p>
      <w:pPr>
        <w:pStyle w:val="ListBullet"/>
      </w:pPr>
      <w:hyperlink r:id="rId24">
        <w:r>
          <w:rPr>
            <w:color w:val="0563C1"/>
            <w:u w:val="single"/>
          </w:rPr>
          <w:t>Open X-Embodiment (cross-robot dataset)</w:t>
        </w:r>
      </w:hyperlink>
    </w:p>
    <w:p>
      <w:pPr>
        <w:pStyle w:val="ListBullet"/>
      </w:pPr>
      <w:hyperlink r:id="rId25">
        <w:r>
          <w:rPr>
            <w:color w:val="0563C1"/>
            <w:u w:val="single"/>
          </w:rPr>
          <w:t>VLA overview (Wikipedia)</w:t>
        </w:r>
      </w:hyperlink>
    </w:p>
    <w:p>
      <w:r>
        <w:rPr>
          <w:i/>
          <w:color w:val="7C8795"/>
          <w:sz w:val="18"/>
        </w:rPr>
        <w:t>Note: figures are simplified for comparison and current as of July 2026 — check the linked papers before quoting exact numbers.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ggingface.co/papers/2506.01844" TargetMode="External"/><Relationship Id="rId10" Type="http://schemas.openxmlformats.org/officeDocument/2006/relationships/hyperlink" Target="https://octo-models.github.io/" TargetMode="External"/><Relationship Id="rId11" Type="http://schemas.openxmlformats.org/officeDocument/2006/relationships/hyperlink" Target="https://github.com/Physical-Intelligence/openpi" TargetMode="External"/><Relationship Id="rId12" Type="http://schemas.openxmlformats.org/officeDocument/2006/relationships/hyperlink" Target="https://www.physicalintelligence.company/blog/pi05" TargetMode="External"/><Relationship Id="rId13" Type="http://schemas.openxmlformats.org/officeDocument/2006/relationships/hyperlink" Target="https://openvla.github.io/" TargetMode="External"/><Relationship Id="rId14" Type="http://schemas.openxmlformats.org/officeDocument/2006/relationships/hyperlink" Target="https://arxiv.org/abs/2502.19645" TargetMode="External"/><Relationship Id="rId15" Type="http://schemas.openxmlformats.org/officeDocument/2006/relationships/hyperlink" Target="https://github.com/thu-ml/RoboticsDiffusionTransformer" TargetMode="External"/><Relationship Id="rId16" Type="http://schemas.openxmlformats.org/officeDocument/2006/relationships/hyperlink" Target="https://huggingface.co/nvidia/GR00T-N1.5-3B" TargetMode="External"/><Relationship Id="rId17" Type="http://schemas.openxmlformats.org/officeDocument/2006/relationships/hyperlink" Target="https://allenai.org/blog/molmoact" TargetMode="External"/><Relationship Id="rId18" Type="http://schemas.openxmlformats.org/officeDocument/2006/relationships/hyperlink" Target="https://robotics-transformer2.github.io/" TargetMode="External"/><Relationship Id="rId19" Type="http://schemas.openxmlformats.org/officeDocument/2006/relationships/hyperlink" Target="https://deepmind.google/models/gemini-robotics/" TargetMode="External"/><Relationship Id="rId20" Type="http://schemas.openxmlformats.org/officeDocument/2006/relationships/hyperlink" Target="https://arxiv.org/abs/2304.13705" TargetMode="External"/><Relationship Id="rId21" Type="http://schemas.openxmlformats.org/officeDocument/2006/relationships/hyperlink" Target="https://diffusion-policy.cs.columbia.edu/" TargetMode="External"/><Relationship Id="rId22" Type="http://schemas.openxmlformats.org/officeDocument/2006/relationships/hyperlink" Target="https://huggingface.co/blog/smolvla" TargetMode="External"/><Relationship Id="rId23" Type="http://schemas.openxmlformats.org/officeDocument/2006/relationships/hyperlink" Target="https://github.com/huggingface/lerobot" TargetMode="External"/><Relationship Id="rId24" Type="http://schemas.openxmlformats.org/officeDocument/2006/relationships/hyperlink" Target="https://robotics-transformer-x.github.io/" TargetMode="External"/><Relationship Id="rId25" Type="http://schemas.openxmlformats.org/officeDocument/2006/relationships/hyperlink" Target="https://en.wikipedia.org/wiki/Vision-language-action_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