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ReSource PK Week 3 and Week 4 Team Delivery Plan</w:t>
      </w:r>
    </w:p>
    <w:p>
      <w:pPr>
        <w:pStyle w:val="Subtitle"/>
      </w:pPr>
      <w:r>
        <w:t>Responsibilities and a six day implementation schedule</w:t>
      </w:r>
    </w:p>
    <w:p>
      <w:r>
        <w:t>Prepared for Raazia, Waheeba and Amna on 14 October 2026</w:t>
      </w:r>
    </w:p>
    <w:p>
      <w:r>
        <w:t>This document turns the existing Week 1 and Week 2 foundation into a coordinated plan for commerce, fulfilment, trust and reporting. It includes the verified branch status, the work already exercised by Raazia, named ownership, onboarding, contracts, a daily schedule and acceptance criteria.</w:t>
      </w:r>
    </w:p>
    <w:p>
      <w:r>
        <w:t>The proposed sprint runs from 15 to 20 October 2026. If the team starts later, keep the same Day 1 to Day 6 sequence. Dates are a planning assumption, not a commitment already made by the teammates.</w:t>
      </w:r>
    </w:p>
    <w:p>
      <w:pPr>
        <w:pStyle w:val="Heading2"/>
      </w:pPr>
      <w:r>
        <w:t>Main decision</w:t>
      </w:r>
    </w:p>
    <w:p>
      <w:r>
        <w:t>All three teammates can contribute in parallel. Week 4 can start with contracts, schemas, state machines, serializers, hash tests and frontend components. Its real fulfilment, rating and impact flows must integrate with valid Week 3 orders and payment events. Agree on these contracts before implementation.</w:t>
      </w:r>
    </w:p>
    <w:p>
      <w:r>
        <w:t>The latest Week 2 PRs are still open. Establish the reviewed baseline first. Close the remaining Week 2 acceptance items while preparing independent Week 3 and Week 4 work; do not describe the incomplete release gate as passed.</w:t>
      </w:r>
    </w:p>
    <w:p>
      <w:pPr>
        <w:pStyle w:val="Heading2"/>
      </w:pPr>
      <w:r>
        <w:t>How to use this plan</w:t>
      </w:r>
    </w:p>
    <w:p>
      <w:r>
        <w:t>1. Read sections 1 and 2 for the baseline and remaining checks.</w:t>
      </w:r>
    </w:p>
    <w:p>
      <w:r>
        <w:t>2. Use sections 3 to 5 to assign owners, onboard and agree on contracts.</w:t>
      </w:r>
    </w:p>
    <w:p>
      <w:r>
        <w:t>3. Follow sections 6 and 7 for the six day schedule.</w:t>
      </w:r>
    </w:p>
    <w:p>
      <w:r>
        <w:t>4. Use sections 8 to 11 for implementation scope, PR rules, testing and presentation readiness.</w:t>
      </w:r>
    </w:p>
    <w:p>
      <w:r>
        <w:t>A working end to end demonstration is the six day target. Full Week 3 and Week 4 acceptance is earned only when the listed checks pass. Decorative UI polish can follow; security, financial correctness and basic responsive usability cannot be deferred.</w:t>
      </w:r>
    </w:p>
    <w:p>
      <w:pPr>
        <w:pStyle w:val="Heading1"/>
        <w:pageBreakBefore/>
      </w:pPr>
      <w:r>
        <w:t>1 Current branch and delivery status</w:t>
      </w:r>
    </w:p>
    <w:p>
      <w:r>
        <w:t>GitHub was checked on 14 October 2026. Backend PR 8 and frontend PR 6 are open, not merged, and currently report mergeable. Main may contain earlier foundation work, but these latest completion changes are not merged through their PRs.</w:t>
      </w:r>
    </w:p>
    <w:tbl>
      <w:tblPr>
        <w:tblW w:type="auto" w:w="0"/>
        <w:jc w:val="center"/>
        <w:tblLayout w:type="fixed"/>
        <w:tblLook w:firstColumn="1" w:firstRow="1" w:lastColumn="0" w:lastRow="0" w:noHBand="0" w:noVBand="1" w:val="04A0"/>
      </w:tblPr>
      <w:tblGrid>
        <w:gridCol w:w="1728"/>
        <w:gridCol w:w="6336"/>
        <w:gridCol w:w="2016"/>
      </w:tblGrid>
      <w:tr>
        <w:trPr>
          <w:cantSplit/>
          <w:tblHeader/>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DEFF2"/>
          </w:tcPr>
          <w:p>
            <w:pPr>
              <w:spacing w:after="40" w:line="240" w:lineRule="auto"/>
            </w:pPr>
            <w:r>
              <w:rPr>
                <w:b/>
                <w:sz w:val="20"/>
              </w:rPr>
              <w:t>Repository</w:t>
            </w:r>
          </w:p>
        </w:tc>
        <w:tc>
          <w:tcPr>
            <w:tcW w:type="dxa" w:w="63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DEFF2"/>
          </w:tcPr>
          <w:p>
            <w:pPr>
              <w:spacing w:after="40" w:line="240" w:lineRule="auto"/>
            </w:pPr>
            <w:r>
              <w:rPr>
                <w:b/>
                <w:sz w:val="20"/>
              </w:rPr>
              <w:t>Latest Week 2 revision</w:t>
            </w:r>
          </w:p>
        </w:tc>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DEFF2"/>
          </w:tcPr>
          <w:p>
            <w:pPr>
              <w:spacing w:after="40" w:line="240" w:lineRule="auto"/>
            </w:pPr>
            <w:r>
              <w:rPr>
                <w:b/>
                <w:sz w:val="20"/>
              </w:rPr>
              <w:t>Status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Backend</w:t>
            </w:r>
          </w:p>
        </w:tc>
        <w:tc>
          <w:tcPr>
            <w:tcW w:type="dxa" w:w="63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feature/week-2-acceptance</w:t>
              <w:br/>
              <w:t>e6a2617</w:t>
            </w:r>
          </w:p>
        </w:tc>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PR 8 open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Frontend</w:t>
            </w:r>
          </w:p>
        </w:tc>
        <w:tc>
          <w:tcPr>
            <w:tcW w:type="dxa" w:w="63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feature/week-2-acceptance</w:t>
              <w:br/>
              <w:t>f4df243</w:t>
            </w:r>
          </w:p>
        </w:tc>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PR 6 open</w:t>
            </w:r>
          </w:p>
        </w:tc>
      </w:tr>
    </w:tbl>
    <w:p>
      <w:hyperlink r:id="rId11">
        <w:r>
          <w:rPr>
            <w:color w:val="17365D"/>
            <w:u w:val="single"/>
          </w:rPr>
          <w:t>Backend Week 2 PR 8</w:t>
        </w:r>
      </w:hyperlink>
    </w:p>
    <w:p>
      <w:hyperlink r:id="rId12">
        <w:r>
          <w:rPr>
            <w:color w:val="17365D"/>
            <w:u w:val="single"/>
          </w:rPr>
          <w:t>Frontend Week 2 PR 6</w:t>
        </w:r>
      </w:hyperlink>
    </w:p>
    <w:p>
      <w:pPr>
        <w:pStyle w:val="Heading2"/>
      </w:pPr>
      <w:r>
        <w:t>What already exists</w:t>
      </w:r>
    </w:p>
    <w:p>
      <w:r>
        <w:t>Week 1 provides application signup, email verification and reset, access JWTs and rotating refresh sessions, organizations, membership permissions, invitations, versioned APIs, validation, safe errors, migrations and workspace shells. Authentication uses application owned app.users records; it is not Supabase Auth browser signup.</w:t>
      </w:r>
    </w:p>
    <w:p>
      <w:r>
        <w:t>Week 2 provides seller drafts and edits, quantity and MOQ rules, exact price tiers, CSV and XLSX import, review and publication, public search and listing detail, pagination, buyer requirements and matching, archive, private image handling and cleanup preparation. Runtime catalog data comes from the API and database.</w:t>
      </w:r>
    </w:p>
    <w:p>
      <w:pPr>
        <w:pStyle w:val="Heading2"/>
      </w:pPr>
      <w:r>
        <w:t>Evidence and limitations</w:t>
      </w:r>
    </w:p>
    <w:p>
      <w:r>
        <w:t>Prior paired CI recorded 27 backend regression tests, 12 real PostgreSQL scenarios and eight Chromium scenarios across six widths. These are previous automated results, not a fresh run on every future commit. Raazia’s attached report adds manual evidence from local frontend/API connected to real Supabase staging.</w:t>
      </w:r>
    </w:p>
    <w:p>
      <w:r>
        <w:t>Reviewer UI and backend permissions exist. Raazia’s report records a separate verified platform reviewer assigned through a guarded staging operation. No demo seed was run on staging. Do not upgrade a seller into a platform administrator to make review work.</w:t>
      </w:r>
    </w:p>
    <w:p>
      <w:r>
        <w:t>Week 3 checkout, pools, payments and ledger, and Week 4 fulfilment, passports, impact and reports are planned in the inspected baseline. Existing Orders, My purchases, Impact and some admin views are shells. A main merge is not a deployment or a release sign off.</w:t>
      </w:r>
    </w:p>
    <w:p>
      <w:pPr>
        <w:pStyle w:val="Heading1"/>
        <w:pageBreakBefore/>
      </w:pPr>
      <w:r>
        <w:t>2 Manual verification and remaining Week 2 work</w:t>
      </w:r>
    </w:p>
    <w:tbl>
      <w:tblPr>
        <w:tblW w:type="auto" w:w="0"/>
        <w:jc w:val="center"/>
        <w:tblLayout w:type="fixed"/>
        <w:tblLook w:firstColumn="1" w:firstRow="1" w:lastColumn="0" w:lastRow="0" w:noHBand="0" w:noVBand="1" w:val="04A0"/>
      </w:tblPr>
      <w:tblGrid>
        <w:gridCol w:w="1944"/>
        <w:gridCol w:w="4392"/>
        <w:gridCol w:w="3744"/>
      </w:tblGrid>
      <w:tr>
        <w:trPr>
          <w:cantSplit/>
          <w:tblHeader/>
        </w:trPr>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DEFF2"/>
          </w:tcPr>
          <w:p>
            <w:pPr>
              <w:spacing w:after="40" w:line="240" w:lineRule="auto"/>
            </w:pPr>
            <w:r>
              <w:rPr>
                <w:b/>
                <w:sz w:val="20"/>
              </w:rPr>
              <w:t>Area</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DEFF2"/>
          </w:tcPr>
          <w:p>
            <w:pPr>
              <w:spacing w:after="40" w:line="240" w:lineRule="auto"/>
            </w:pPr>
            <w:r>
              <w:rPr>
                <w:b/>
                <w:sz w:val="20"/>
              </w:rPr>
              <w:t>Evidence in supplied report</w:t>
            </w:r>
          </w:p>
        </w:tc>
        <w:tc>
          <w:tcPr>
            <w:tcW w:type="dxa" w:w="37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DEFF2"/>
          </w:tcPr>
          <w:p>
            <w:pPr>
              <w:spacing w:after="40" w:line="240" w:lineRule="auto"/>
            </w:pPr>
            <w:r>
              <w:rPr>
                <w:b/>
                <w:sz w:val="20"/>
              </w:rPr>
              <w:t>Remaining proof</w:t>
            </w:r>
          </w:p>
        </w:tc>
      </w:tr>
      <w:tr>
        <w:trPr>
          <w:cantSplit/>
        </w:trPr>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Seller and moderation</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Lot 001 created and published; Lot 002 rejected and resubmitted</w:t>
            </w:r>
          </w:p>
        </w:tc>
        <w:tc>
          <w:tcPr>
            <w:tcW w:type="dxa" w:w="37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Lot 002 final publication not evidenced</w:t>
            </w:r>
          </w:p>
        </w:tc>
      </w:tr>
      <w:tr>
        <w:trPr>
          <w:cantSplit/>
        </w:trPr>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Buyer discovery and tiers</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Public detail; 50 kg ceiling 195 matches at 190; ceiling 189 excludes</w:t>
            </w:r>
          </w:p>
        </w:tc>
        <w:tc>
          <w:tcPr>
            <w:tcW w:type="dxa" w:w="37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Additional quantity and unit edges</w:t>
            </w:r>
          </w:p>
        </w:tc>
      </w:tr>
      <w:tr>
        <w:trPr>
          <w:cantSplit/>
        </w:trPr>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Bulk import</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Valid CSV confirmed; invalid CSV rejected</w:t>
            </w:r>
          </w:p>
        </w:tc>
        <w:tc>
          <w:tcPr>
            <w:tcW w:type="dxa" w:w="37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Valid XLSX confirmation</w:t>
            </w:r>
          </w:p>
        </w:tc>
      </w:tr>
      <w:tr>
        <w:trPr>
          <w:cantSplit/>
        </w:trPr>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Email and sessions</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Verification/login exercised; reset and permission checks reported</w:t>
            </w:r>
          </w:p>
        </w:tc>
        <w:tc>
          <w:tcPr>
            <w:tcW w:type="dxa" w:w="37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Complete reset and replay matrix</w:t>
            </w:r>
          </w:p>
        </w:tc>
      </w:tr>
      <w:tr>
        <w:trPr>
          <w:cantSplit/>
        </w:trPr>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Database and API</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Safe 200/422/401/403 responses; invalid MOQ zero</w:t>
            </w:r>
          </w:p>
        </w:tc>
        <w:tc>
          <w:tcPr>
            <w:tcW w:type="dxa" w:w="37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Migration 001 and orphan image count</w:t>
            </w:r>
          </w:p>
        </w:tc>
      </w:tr>
      <w:tr>
        <w:trPr>
          <w:cantSplit/>
        </w:trPr>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Roles and storage</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Explicitly deferred</w:t>
            </w:r>
          </w:p>
        </w:tc>
        <w:tc>
          <w:tcPr>
            <w:tcW w:type="dxa" w:w="37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Manager/Staff invitations and real image roundtrip</w:t>
            </w:r>
          </w:p>
        </w:tc>
      </w:tr>
      <w:tr>
        <w:trPr>
          <w:cantSplit/>
        </w:trPr>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Automated and hosted</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Previous CI exists; no local disposable DB suites run by Raazia</w:t>
            </w:r>
          </w:p>
        </w:tc>
        <w:tc>
          <w:tcPr>
            <w:tcW w:type="dxa" w:w="37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Current checks and hosted provider/cron evidence</w:t>
            </w:r>
          </w:p>
        </w:tc>
      </w:tr>
    </w:tbl>
    <w:p>
      <w:pPr>
        <w:pStyle w:val="Heading2"/>
      </w:pPr>
      <w:r>
        <w:t>Raazia owns the remaining acceptance list</w:t>
      </w:r>
    </w:p>
    <w:p>
      <w:r>
        <w:t>1. Complete Section 20 with controlled Manager and Staff inboxes. Verify owner grants, delegated invitation, non delegated denial and organization isolation.</w:t>
      </w:r>
    </w:p>
    <w:p>
      <w:r>
        <w:t>2. Complete Section 21: private bucket, backend credentials, real upload, authorized signed read, published read, removal and cleanup. Observe provider object state.</w:t>
      </w:r>
    </w:p>
    <w:p>
      <w:r>
        <w:t>3. Confirm valid XLSX creates a hidden draft; finish the two missing read only DB checks and required matching/archive edges.</w:t>
      </w:r>
    </w:p>
    <w:p>
      <w:r>
        <w:t>4. Obtain disposable test databases for automated suites. Record hosted frontend/API email, storage and scheduled cleanup checks separately.</w:t>
      </w:r>
    </w:p>
    <w:p>
      <w:r>
        <w:t>Mark each item PASS, FAIL, BLOCKED or NOT RUN. Keep the observed/report distinction. User reported completion without per case evidence is useful progress but should not become an exhaustive security claim.</w:t>
      </w:r>
    </w:p>
    <w:p>
      <w:r>
        <w:t>Independent contracts and unit tests can proceed while these checks close. Before signing off the integrated commerce baseline, resolve or explicitly record outstanding Week 2 dependencies. Section 20 and private storage should not disappear from the sprint because new features are more visible.</w:t>
      </w:r>
    </w:p>
    <w:p>
      <w:pPr>
        <w:pStyle w:val="Heading1"/>
        <w:pageBreakBefore/>
      </w:pPr>
      <w:r>
        <w:t>3 Named responsibilities and collaboration</w:t>
      </w:r>
    </w:p>
    <w:p>
      <w:r>
        <w:t>The assignments below are recommendations based on the need for distinct modules, not a claim about anyone’s existing skills. Confirm them together before Day 1. Each owner writes their module tests and documentation and helps resolve integration failures.</w:t>
      </w:r>
    </w:p>
    <w:tbl>
      <w:tblPr>
        <w:tblW w:type="auto" w:w="0"/>
        <w:jc w:val="center"/>
        <w:tblLayout w:type="fixed"/>
        <w:tblLook w:firstColumn="1" w:firstRow="1" w:lastColumn="0" w:lastRow="0" w:noHBand="0" w:noVBand="1" w:val="04A0"/>
      </w:tblPr>
      <w:tblGrid>
        <w:gridCol w:w="1440"/>
        <w:gridCol w:w="4896"/>
        <w:gridCol w:w="3744"/>
      </w:tblGrid>
      <w:tr>
        <w:trPr>
          <w:cantSplit/>
          <w:tblHeader/>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DEFF2"/>
          </w:tcPr>
          <w:p>
            <w:pPr>
              <w:spacing w:after="40" w:line="240" w:lineRule="auto"/>
            </w:pPr>
            <w:r>
              <w:rPr>
                <w:b/>
                <w:sz w:val="20"/>
              </w:rPr>
              <w:t>Owner</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DEFF2"/>
          </w:tcPr>
          <w:p>
            <w:pPr>
              <w:spacing w:after="40" w:line="240" w:lineRule="auto"/>
            </w:pPr>
            <w:r>
              <w:rPr>
                <w:b/>
                <w:sz w:val="20"/>
              </w:rPr>
              <w:t>Primary delivery</w:t>
            </w:r>
          </w:p>
        </w:tc>
        <w:tc>
          <w:tcPr>
            <w:tcW w:type="dxa" w:w="37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DEFF2"/>
          </w:tcPr>
          <w:p>
            <w:pPr>
              <w:spacing w:after="40" w:line="240" w:lineRule="auto"/>
            </w:pPr>
            <w:r>
              <w:rPr>
                <w:b/>
                <w:sz w:val="20"/>
              </w:rPr>
              <w:t>Tasks</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Waheeba</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Commerce backend and financial consistency</w:t>
            </w:r>
          </w:p>
        </w:tc>
        <w:tc>
          <w:tcPr>
            <w:tcW w:type="dxa" w:w="37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T 201 to T 203, T 205; backend part of T 206 and T 207</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Amna</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Order trust lifecycle and derived data</w:t>
            </w:r>
          </w:p>
        </w:tc>
        <w:tc>
          <w:tcPr>
            <w:tcW w:type="dxa" w:w="37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T 301 to T 305; backend part of T 307 and T 308</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Raazia</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Existing acceptance, frontend and integration</w:t>
            </w:r>
          </w:p>
        </w:tc>
        <w:tc>
          <w:tcPr>
            <w:tcW w:type="dxa" w:w="37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Week 2 remaining checks; T 204; frontend T 206, T 303, T 306 to T 308</w:t>
            </w:r>
          </w:p>
        </w:tc>
      </w:tr>
    </w:tbl>
    <w:p>
      <w:pPr>
        <w:pStyle w:val="Heading2"/>
      </w:pPr>
      <w:r>
        <w:t>Waheeba</w:t>
      </w:r>
    </w:p>
    <w:p>
      <w:r>
        <w:t>Own server pricing, stock reservations, pool joins and expiry, direct and group checkout, provider abstraction, callback processing, ledger, cancellation/refund financial effects and reconciliation. Coordinate migration numbering. Work with Amna on order completion/refund events.</w:t>
      </w:r>
    </w:p>
    <w:p>
      <w:pPr>
        <w:pStyle w:val="Heading2"/>
      </w:pPr>
      <w:r>
        <w:t>Amna</w:t>
      </w:r>
    </w:p>
    <w:p>
      <w:r>
        <w:t>Own fulfilment transitions, disputes, verified transaction ratings, immutable material passport snapshots, canonical serialization and hashes, transactional outbox, worker retries and Amoy verification. Derive impact/report data from accepted completion and reversal events.</w:t>
      </w:r>
    </w:p>
    <w:p>
      <w:pPr>
        <w:pStyle w:val="Heading2"/>
      </w:pPr>
      <w:r>
        <w:t>Raazia</w:t>
      </w:r>
    </w:p>
    <w:p>
      <w:r>
        <w:t>Own frontend composition and API integration, role scoped screens, accessible responsive states, final acceptance tracking and demonstration rehearsal. Coordinate shared contracts and PR integration. Backend owners still implement endpoints, tests and fixes; Raazia is not the sole tester or repair owner.</w:t>
      </w:r>
    </w:p>
    <w:p>
      <w:pPr>
        <w:pStyle w:val="Heading2"/>
      </w:pPr>
      <w:r>
        <w:t>Review pairing</w:t>
      </w:r>
    </w:p>
    <w:p>
      <w:r>
        <w:t>Amna reviews Waheeba’s order/event boundary. Waheeba reviews Amna’s financial reversal assumptions. Both review Raazia’s API usage and role handling. Raazia reviews user journeys and regression evidence for both backend streams. Reviewers request a fix when a change violates the agreed contract.</w:t>
      </w:r>
    </w:p>
    <w:p>
      <w:r>
        <w:t>Optional order linked messaging is the first scope item to defer because the task plan already makes it conditional on capacity. No other listed requirement becomes optional without recording and approving the scope change.</w:t>
      </w:r>
    </w:p>
    <w:p>
      <w:pPr>
        <w:pStyle w:val="Heading1"/>
        <w:pageBreakBefore/>
      </w:pPr>
      <w:r>
        <w:t>4 Onboarding and the shared baseline</w:t>
      </w:r>
    </w:p>
    <w:p>
      <w:r>
        <w:t>1. Install Git, Node 24 and VS Code. Confirm git --version, node --version and npm --version in Git Bash.</w:t>
      </w:r>
    </w:p>
    <w:p>
      <w:r>
        <w:t>2. Clone both repositories as backend and frontend sibling folders using the commands below.</w:t>
      </w:r>
    </w:p>
    <w:p>
      <w:r>
        <w:t>3. Raazia coordinates review and the paired Week 2 merge. Until merged, inspect matching feature/week-2-acceptance revisions; do not assume main has them.</w:t>
      </w:r>
    </w:p>
    <w:p>
      <w:r>
        <w:t>4. After the baseline merge, all teammates update main and create separate feature branches. Never work directly on main.</w:t>
      </w:r>
    </w:p>
    <w:p>
      <w:r>
        <w:t>5. Run npm ci --ignore-scripts in both repositories. Read the environment examples; configure private backend credentials locally.</w:t>
      </w:r>
    </w:p>
    <w:p>
      <w:r>
        <w:t>6. Use separate disposable development databases with PostgreSQL and the same migrations. A disposable Supabase development project can support manual development; current automated DB suites require isolated local resourcepk_test_* databases.</w:t>
      </w:r>
    </w:p>
    <w:p>
      <w:pPr>
        <w:pStyle w:val="Terminal"/>
      </w:pPr>
      <w:r>
        <w:t>mkdir -p /c/Projects/ReSourcePK-team</w:t>
      </w:r>
    </w:p>
    <w:p>
      <w:pPr>
        <w:pStyle w:val="Terminal"/>
      </w:pPr>
      <w:r>
        <w:t>cd /c/Projects/ReSourcePK-team</w:t>
      </w:r>
    </w:p>
    <w:p>
      <w:pPr>
        <w:pStyle w:val="Terminal"/>
      </w:pPr>
      <w:r>
        <w:t>git clone https://github.com/Raazia-Imran/ReSourcePK_Backend.git backend</w:t>
      </w:r>
    </w:p>
    <w:p>
      <w:pPr>
        <w:pStyle w:val="Terminal"/>
      </w:pPr>
      <w:r>
        <w:t>git clone https://github.com/Raazia-Imran/ReSourcePK_Frontend.git frontend</w:t>
      </w:r>
    </w:p>
    <w:p>
      <w:pPr>
        <w:spacing w:after="20"/>
      </w:pPr>
    </w:p>
    <w:p>
      <w:r>
        <w:t>In each repository:</w:t>
      </w:r>
    </w:p>
    <w:p>
      <w:pPr>
        <w:pStyle w:val="Terminal"/>
      </w:pPr>
      <w:r>
        <w:t>git status -sb</w:t>
      </w:r>
    </w:p>
    <w:p>
      <w:pPr>
        <w:pStyle w:val="Terminal"/>
      </w:pPr>
      <w:r>
        <w:t>git branch -a</w:t>
      </w:r>
    </w:p>
    <w:p>
      <w:pPr>
        <w:pStyle w:val="Terminal"/>
      </w:pPr>
      <w:r>
        <w:t>npm ci --ignore-scripts</w:t>
      </w:r>
    </w:p>
    <w:p>
      <w:pPr>
        <w:spacing w:after="20"/>
      </w:pPr>
    </w:p>
    <w:p>
      <w:r>
        <w:t>Backend .env comes from its example. Frontend .env contains VITE_API_URL=http://localhost:5000/api/v1 for local development. Run backend npm run dev and frontend npm start in separate terminals. Check /health and /ready before debugging frontend failures. Use the complete run guide for environment and migration baby steps.</w:t>
      </w:r>
    </w:p>
    <w:p>
      <w:pPr>
        <w:pStyle w:val="Heading2"/>
      </w:pPr>
      <w:r>
        <w:t>Required reading</w:t>
      </w:r>
    </w:p>
    <w:p>
      <w:r>
        <w:t>Read README.md, docs/README.md, prd.md, srs.md, architecture.md, rules.md, design.md, tasks.md, memory.md, delivery-status.md and openapi.yaml. Read ADR 004 and 005 for existing catalog contracts. These documents remain the source of project requirements.</w:t>
      </w:r>
    </w:p>
    <w:p>
      <w:r>
        <w:t>Do not share .env files in chat or commits. No frontend variable may contain a database password, SMTP password, privileged storage key or payment secret. Give teammates controlled access through an appropriate private channel. Do not use the existing staging inventory for experiments or reset scripts.</w:t>
      </w:r>
    </w:p>
    <w:p>
      <w:pPr>
        <w:pStyle w:val="Heading1"/>
        <w:pageBreakBefore/>
      </w:pPr>
      <w:r>
        <w:t>5 Contracts required before parallel coding</w:t>
      </w:r>
    </w:p>
    <w:p>
      <w:r>
        <w:t>Open a small shared ADR and OpenAPI PR on Day 1. The following fields and event names are proposals to finalize, not APIs already available in the repository. Do not implement different versions independently.</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DEFF2"/>
          </w:tcPr>
          <w:p>
            <w:pPr>
              <w:spacing w:after="40" w:line="240" w:lineRule="auto"/>
            </w:pPr>
            <w:r>
              <w:rPr>
                <w:b/>
                <w:sz w:val="20"/>
              </w:rPr>
              <w:t>Contract</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DEFF2"/>
          </w:tcPr>
          <w:p>
            <w:pPr>
              <w:spacing w:after="40" w:line="240" w:lineRule="auto"/>
            </w:pPr>
            <w:r>
              <w:rPr>
                <w:b/>
                <w:sz w:val="20"/>
              </w:rPr>
              <w:t>Agreement required</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Money and pricing</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Integer paisa; quantity precision; server authoritative pricing; currency; tier and pricing version snapshot</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Order and reservation</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IDs; organization/buyer ownership; direct vs group type; allowed states; expiry; stock allocation; terminal outcomes</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Payment events</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Provider event ID; verified signature; deduplication key; amount/currency/order validation; ledger effects</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Completion event</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Order ID; completion/version ID; listing/seller/buyer IDs; quantity/unit; money; UTC timestamp; schema version</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Reversal event</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Original completion ID; cancelled/refunded quantity and value; reason; unique reversal identity</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Passport and reports</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Snapshot schema; canonical bytes; hash algorithm; correction version; role visibility; export fields</w:t>
            </w:r>
          </w:p>
        </w:tc>
      </w:tr>
    </w:tbl>
    <w:p>
      <w:pPr>
        <w:pStyle w:val="Heading2"/>
      </w:pPr>
      <w:r>
        <w:t>Dependency order</w:t>
      </w:r>
    </w:p>
    <w:p>
      <w:r>
        <w:t>Pricing and reservations support checkout. Verified payment events support paid orders. Fulfilment supports completed orders. Completed orders support verified ratings, passports and impact. Reversals adjust financial and derived totals. Week 4 must not infer completion from a payment success page or a browser redirect.</w:t>
      </w:r>
    </w:p>
    <w:p>
      <w:pPr>
        <w:pStyle w:val="Heading2"/>
      </w:pPr>
      <w:r>
        <w:t>What can start immediately</w:t>
      </w:r>
    </w:p>
    <w:p>
      <w:r>
        <w:t>Amna can implement pure state transition rules, canonical serialization/hash vectors, migrations and worker interfaces. Raazia can build components against documented development fixtures. Waheeba can implement pricing and reservation policies. Fixtures must remain explicit in development/tests; production flows must use real API responses.</w:t>
      </w:r>
    </w:p>
    <w:p>
      <w:pPr>
        <w:pStyle w:val="Heading2"/>
      </w:pPr>
      <w:r>
        <w:t>Important state distinction</w:t>
      </w:r>
    </w:p>
    <w:p>
      <w:r>
        <w:t>Define separate payment, reservation, order and fulfilment states. A paid order is not automatically fulfilled. A reservation expiry is not automatically a refund. Write a transition matrix describing actor, prerequisites, financial effect and idempotency for every command.</w:t>
      </w:r>
    </w:p>
    <w:p>
      <w:r>
        <w:t>Use the established Express layering: route/controller validates transport, service owns permission and transaction policy, repository owns SQL and provider adapter owns external calls. Preserve the modular monolith; do not introduce a new architecture simply to split team ownership.</w:t>
      </w:r>
    </w:p>
    <w:p>
      <w:pPr>
        <w:pStyle w:val="Heading1"/>
        <w:pageBreakBefore/>
      </w:pPr>
      <w:r>
        <w:t>6 Days 1 to 3 implementation schedule</w:t>
      </w:r>
    </w:p>
    <w:p>
      <w:pPr>
        <w:pStyle w:val="Heading2"/>
      </w:pPr>
      <w:r>
        <w:t>Day 1 on 15 October</w:t>
      </w:r>
    </w:p>
    <w:p>
      <w:r>
        <w:t>Together: establish baseline, agree contracts and migration ownership, confirm access to disposable databases and provider sandbox/testnet requirements. Estimate effort after reading source. Close or document Week 2 blockers; do not silently bypass them.</w:t>
      </w:r>
    </w:p>
    <w:p>
      <w:r>
        <w:t>Waheeba: draft commerce schema/constraints and pricing contract. Amna: draft fulfilment transition matrix and passport schema/hash vectors. Raazia: finish role/storage acceptance setup and map frontend routes and API states.</w:t>
      </w:r>
    </w:p>
    <w:p>
      <w:r>
        <w:t>Check: A shared reviewed contract, named PR owners, matching repository baseline and a working development environment for each person.</w:t>
      </w:r>
    </w:p>
    <w:p>
      <w:pPr>
        <w:pStyle w:val="Heading2"/>
      </w:pPr>
      <w:r>
        <w:t>Day 2 on 16 October</w:t>
      </w:r>
    </w:p>
    <w:p>
      <w:r>
        <w:t>Waheeba: pricing boundaries, atomic reservation/pool join and idempotency. Amna: fulfilment policy and passport serializer with deterministic tests. Raazia: pool target/tier/countdown/reservation components and checkout eligibility screens.</w:t>
      </w:r>
    </w:p>
    <w:p>
      <w:r>
        <w:t>Check: Server prices are exact; concurrent joins cannot overfill in isolated tests; pure lifecycle/hash tests pass; screens handle loading, empty and failure states.</w:t>
      </w:r>
    </w:p>
    <w:p>
      <w:pPr>
        <w:pStyle w:val="Heading2"/>
      </w:pPr>
      <w:r>
        <w:t>Day 3 on 17 October</w:t>
      </w:r>
    </w:p>
    <w:p>
      <w:r>
        <w:t>Waheeba: direct and group checkout, order creation and simulator/sandbox payment adapter. Amna: verified order ratings and dispute access; consume agreed events through interfaces. Raazia: connect pool and checkout UI to real endpoints and build order views.</w:t>
      </w:r>
    </w:p>
    <w:p>
      <w:r>
        <w:t>Check: One complete direct order and one group contribution can be exercised in the development environment. Payment simulation is visibly labelled. Rating an ineligible order is denied.</w:t>
      </w:r>
    </w:p>
    <w:p>
      <w:pPr>
        <w:pStyle w:val="Heading2"/>
      </w:pPr>
      <w:r>
        <w:t>Daily integration routine</w:t>
      </w:r>
    </w:p>
    <w:p>
      <w:r>
        <w:t>Begin with a short dependency check. Keep shared documents current. Open small PRs with tests and request review before the end of the working session. Run a paired frontend/backend smoke test after each integrated slice. A feature is not finished merely because its individual branch builds.</w:t>
      </w:r>
    </w:p>
    <w:p>
      <w:r>
        <w:t>If Day 3 cannot create valid server priced orders reliably, revise the remaining schedule. Continue independent Week 4 work, but do not fake completed purchases or calculate report totals from placeholder data.</w:t>
      </w:r>
    </w:p>
    <w:p>
      <w:pPr>
        <w:pStyle w:val="Heading1"/>
        <w:pageBreakBefore/>
      </w:pPr>
      <w:r>
        <w:t>7 Days 4 to 6 integration schedule</w:t>
      </w:r>
    </w:p>
    <w:p>
      <w:pPr>
        <w:pStyle w:val="Heading2"/>
      </w:pPr>
      <w:r>
        <w:t>Day 4 on 18 October</w:t>
      </w:r>
    </w:p>
    <w:p>
      <w:r>
        <w:t>Waheeba: signed callbacks, event replay, cancellation/refund and reconciliation. Amna: outbox worker, first write protected Amoy anchoring, retries and verification API. Raazia: fulfilment actions, reviewer tools and public verification page.</w:t>
      </w:r>
    </w:p>
    <w:p>
      <w:r>
        <w:t>Check: Duplicate callbacks cause one financial effect; failed workers retain retryable work; unauthorized state transitions reject. Testnet transaction status is shown accurately.</w:t>
      </w:r>
    </w:p>
    <w:p>
      <w:pPr>
        <w:pStyle w:val="Heading2"/>
      </w:pPr>
      <w:r>
        <w:t>Day 5 on 19 October</w:t>
      </w:r>
    </w:p>
    <w:p>
      <w:r>
        <w:t>Waheeba: stock/payment concurrency and financial consistency fixes. Amna: impact derivation and backend report projections. Raazia: role scoped dashboards and CSV/PDF export UI. All three integrate payment through fulfilment and passport verification.</w:t>
      </w:r>
    </w:p>
    <w:p>
      <w:r>
        <w:t>Check: Completed non reversed orders produce traceable metrics. Refund/reversal updates do not double count. Report permissions and totals match the underlying records.</w:t>
      </w:r>
    </w:p>
    <w:p>
      <w:pPr>
        <w:pStyle w:val="Heading2"/>
      </w:pPr>
      <w:r>
        <w:t>Day 6 on 20 October</w:t>
      </w:r>
    </w:p>
    <w:p>
      <w:r>
        <w:t>Stop adding features early in the day. Run current checks, repair integration failures, finish API/task/status documentation and rehearse on controlled accounts. Test slow/error cases and required responsive widths. Capture sanitized evidence and list every blocked external integration.</w:t>
      </w:r>
    </w:p>
    <w:p>
      <w:r>
        <w:t>Check: Direct/group purchase journey, callback replay, stock concurrency, fulfilment, passport verification and role scoped reporting have recorded results. Both repositories have matching reviewed commits.</w:t>
      </w:r>
    </w:p>
    <w:p>
      <w:pPr>
        <w:pStyle w:val="Heading2"/>
      </w:pPr>
      <w:r>
        <w:t>If the scope does not fit</w:t>
      </w:r>
    </w:p>
    <w:p>
      <w:r>
        <w:t>Keep optional messaging deferred first. If blockchain/provider access is blocked, retain the abstraction and isolated tests, describe verification honestly and mark the live gate BLOCKED. This does not mean the complete Week 4 requirement passed.</w:t>
      </w:r>
    </w:p>
    <w:p>
      <w:r>
        <w:t>If required features remain incomplete, extend the schedule or agree on an explicitly smaller evaluation scope. Do not remove financial safeguards, authorization or real data checks simply to claim both weeks finished.</w:t>
      </w:r>
    </w:p>
    <w:p>
      <w:pPr>
        <w:pStyle w:val="Heading2"/>
      </w:pPr>
      <w:r>
        <w:t>Daily progress note</w:t>
      </w:r>
    </w:p>
    <w:p>
      <w:r>
        <w:t>Each teammate records: completed task IDs; PR links and revisions; tests actually run; dependencies needed from another owner; failures; blocked provider checks; next deliverable. Raazia maintains one consolidated checklist without replacing each owner’s responsibility.</w:t>
      </w:r>
    </w:p>
    <w:p>
      <w:pPr>
        <w:pStyle w:val="Heading1"/>
        <w:pageBreakBefore/>
      </w:pPr>
      <w:r>
        <w:t>8 Week 3 implementation and acceptance</w:t>
      </w:r>
    </w:p>
    <w:tbl>
      <w:tblPr>
        <w:tblW w:type="auto" w:w="0"/>
        <w:jc w:val="center"/>
        <w:tblLayout w:type="fixed"/>
        <w:tblLook w:firstColumn="1" w:firstRow="1" w:lastColumn="0" w:lastRow="0" w:noHBand="0" w:noVBand="1" w:val="04A0"/>
      </w:tblPr>
      <w:tblGrid>
        <w:gridCol w:w="1872"/>
        <w:gridCol w:w="2088"/>
        <w:gridCol w:w="6120"/>
      </w:tblGrid>
      <w:tr>
        <w:trPr>
          <w:cantSplit/>
          <w:tblHeader/>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DEFF2"/>
          </w:tcPr>
          <w:p>
            <w:pPr>
              <w:spacing w:after="40" w:line="240" w:lineRule="auto"/>
            </w:pPr>
            <w:r>
              <w:rPr>
                <w:b/>
                <w:sz w:val="20"/>
              </w:rPr>
              <w:t>Task</w:t>
            </w:r>
          </w:p>
        </w:tc>
        <w:tc>
          <w:tcPr>
            <w:tcW w:type="dxa" w:w="20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DEFF2"/>
          </w:tcPr>
          <w:p>
            <w:pPr>
              <w:spacing w:after="40" w:line="240" w:lineRule="auto"/>
            </w:pPr>
            <w:r>
              <w:rPr>
                <w:b/>
                <w:sz w:val="20"/>
              </w:rPr>
              <w:t>Owner</w:t>
            </w:r>
          </w:p>
        </w:tc>
        <w:tc>
          <w:tcPr>
            <w:tcW w:type="dxa" w:w="61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DEFF2"/>
          </w:tcPr>
          <w:p>
            <w:pPr>
              <w:spacing w:after="40" w:line="240" w:lineRule="auto"/>
            </w:pPr>
            <w:r>
              <w:rPr>
                <w:b/>
                <w:sz w:val="20"/>
              </w:rPr>
              <w:t>Completion evidence</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T 201 schemas</w:t>
            </w:r>
          </w:p>
        </w:tc>
        <w:tc>
          <w:tcPr>
            <w:tcW w:type="dxa" w:w="20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Waheeba</w:t>
            </w:r>
          </w:p>
        </w:tc>
        <w:tc>
          <w:tcPr>
            <w:tcW w:type="dxa" w:w="61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Forward migrations, tenant keys, stock/money constraints and clean migration run</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T 202 pricing</w:t>
            </w:r>
          </w:p>
        </w:tc>
        <w:tc>
          <w:tcPr>
            <w:tcW w:type="dxa" w:w="20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Waheeba</w:t>
            </w:r>
          </w:p>
        </w:tc>
        <w:tc>
          <w:tcPr>
            <w:tcW w:type="dxa" w:w="61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MOQ/tier/rounding/quantity boundaries and pricing snapshot tests</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T 203 joins</w:t>
            </w:r>
          </w:p>
        </w:tc>
        <w:tc>
          <w:tcPr>
            <w:tcW w:type="dxa" w:w="20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Waheeba</w:t>
            </w:r>
          </w:p>
        </w:tc>
        <w:tc>
          <w:tcPr>
            <w:tcW w:type="dxa" w:w="61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Atomic idempotent joins; concurrency and reservation expiry tests</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T 204 pool UI</w:t>
            </w:r>
          </w:p>
        </w:tc>
        <w:tc>
          <w:tcPr>
            <w:tcW w:type="dxa" w:w="20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Raazia</w:t>
            </w:r>
          </w:p>
        </w:tc>
        <w:tc>
          <w:tcPr>
            <w:tcW w:type="dxa" w:w="61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Targets, tiers, countdown and server reservation/payment states</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T 205 adapter</w:t>
            </w:r>
          </w:p>
        </w:tc>
        <w:tc>
          <w:tcPr>
            <w:tcW w:type="dxa" w:w="20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Waheeba</w:t>
            </w:r>
          </w:p>
        </w:tc>
        <w:tc>
          <w:tcPr>
            <w:tcW w:type="dxa" w:w="61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Signature validation, rejected forged event, duplicate event and simulator fallback</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T 206 checkout</w:t>
            </w:r>
          </w:p>
        </w:tc>
        <w:tc>
          <w:tcPr>
            <w:tcW w:type="dxa" w:w="20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Both commerce owners</w:t>
            </w:r>
          </w:p>
        </w:tc>
        <w:tc>
          <w:tcPr>
            <w:tcW w:type="dxa" w:w="61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Direct eligibility, small buyer group path, refund/cancel and reconciliation</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T 207 security</w:t>
            </w:r>
          </w:p>
        </w:tc>
        <w:tc>
          <w:tcPr>
            <w:tcW w:type="dxa" w:w="20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All three</w:t>
            </w:r>
          </w:p>
        </w:tc>
        <w:tc>
          <w:tcPr>
            <w:tcW w:type="dxa" w:w="61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Amount/ownership/callback/secret review with regression evidence</w:t>
            </w:r>
          </w:p>
        </w:tc>
      </w:tr>
    </w:tbl>
    <w:p>
      <w:pPr>
        <w:pStyle w:val="Heading2"/>
      </w:pPr>
      <w:r>
        <w:t>Rules to preserve</w:t>
      </w:r>
    </w:p>
    <w:p>
      <w:r>
        <w:t>The browser cannot set the authoritative amount, eligibility or payment status. Recalculate or validate against the server priced order snapshot. Bind every mutation to the authenticated actor and relevant organization/order ownership.</w:t>
      </w:r>
    </w:p>
    <w:p>
      <w:r>
        <w:t>Use database transactions and appropriate locking/constraints for stock allocation. Network retries must not create duplicate orders, reservations, contributions or ledger entries. Expiry and cancellation must release stock once. A provider redirect is not payment proof.</w:t>
      </w:r>
    </w:p>
    <w:p>
      <w:pPr>
        <w:pStyle w:val="Heading2"/>
      </w:pPr>
      <w:r>
        <w:t>Required negative cases</w:t>
      </w:r>
    </w:p>
    <w:p>
      <w:r>
        <w:t>1. Simultaneous joins cannot exceed stock or target.</w:t>
      </w:r>
    </w:p>
    <w:p>
      <w:r>
        <w:t>2. The same join or callback submitted twice has one effect.</w:t>
      </w:r>
    </w:p>
    <w:p>
      <w:r>
        <w:t>3. Forged signature, wrong amount/currency, wrong order and unknown provider event are rejected or safely investigated.</w:t>
      </w:r>
    </w:p>
    <w:p>
      <w:r>
        <w:t>4. Expired reservation and conflicting payment timing follow a documented policy.</w:t>
      </w:r>
    </w:p>
    <w:p>
      <w:r>
        <w:t>5. Unauthorized buyer/seller cannot read or mutate another party’s private order.</w:t>
      </w:r>
    </w:p>
    <w:p>
      <w:r>
        <w:t>6. Ledger totals reconcile, including cancellation and refund paths.</w:t>
      </w:r>
    </w:p>
    <w:p>
      <w:r>
        <w:t>Write permission and transition tests in the same PR as the implementation. Keep provider secrets backend only. Simulator success demonstrates application logic, not a live bank transaction. Label the environment and provider mode in the demo.</w:t>
      </w:r>
    </w:p>
    <w:p>
      <w:pPr>
        <w:pStyle w:val="Heading1"/>
        <w:pageBreakBefore/>
      </w:pPr>
      <w:r>
        <w:t>9 Week 4 implementation and acceptance</w:t>
      </w:r>
    </w:p>
    <w:tbl>
      <w:tblPr>
        <w:tblW w:type="auto" w:w="0"/>
        <w:jc w:val="center"/>
        <w:tblLayout w:type="fixed"/>
        <w:tblLook w:firstColumn="1" w:firstRow="1" w:lastColumn="0" w:lastRow="0" w:noHBand="0" w:noVBand="1" w:val="04A0"/>
      </w:tblPr>
      <w:tblGrid>
        <w:gridCol w:w="1872"/>
        <w:gridCol w:w="2088"/>
        <w:gridCol w:w="6120"/>
      </w:tblGrid>
      <w:tr>
        <w:trPr>
          <w:cantSplit/>
          <w:tblHeader/>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DEFF2"/>
          </w:tcPr>
          <w:p>
            <w:pPr>
              <w:spacing w:after="40" w:line="240" w:lineRule="auto"/>
            </w:pPr>
            <w:r>
              <w:rPr>
                <w:b/>
                <w:sz w:val="20"/>
              </w:rPr>
              <w:t>Task</w:t>
            </w:r>
          </w:p>
        </w:tc>
        <w:tc>
          <w:tcPr>
            <w:tcW w:type="dxa" w:w="20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DEFF2"/>
          </w:tcPr>
          <w:p>
            <w:pPr>
              <w:spacing w:after="40" w:line="240" w:lineRule="auto"/>
            </w:pPr>
            <w:r>
              <w:rPr>
                <w:b/>
                <w:sz w:val="20"/>
              </w:rPr>
              <w:t>Owner</w:t>
            </w:r>
          </w:p>
        </w:tc>
        <w:tc>
          <w:tcPr>
            <w:tcW w:type="dxa" w:w="61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DEFF2"/>
          </w:tcPr>
          <w:p>
            <w:pPr>
              <w:spacing w:after="40" w:line="240" w:lineRule="auto"/>
            </w:pPr>
            <w:r>
              <w:rPr>
                <w:b/>
                <w:sz w:val="20"/>
              </w:rPr>
              <w:t>Completion evidence</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T 301 lifecycle</w:t>
            </w:r>
          </w:p>
        </w:tc>
        <w:tc>
          <w:tcPr>
            <w:tcW w:type="dxa" w:w="20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Amna</w:t>
            </w:r>
          </w:p>
        </w:tc>
        <w:tc>
          <w:tcPr>
            <w:tcW w:type="dxa" w:w="61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Allowed fulfilment/refund/dispute transitions and actor checks</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T 302 ratings</w:t>
            </w:r>
          </w:p>
        </w:tc>
        <w:tc>
          <w:tcPr>
            <w:tcW w:type="dxa" w:w="20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Amna</w:t>
            </w:r>
          </w:p>
        </w:tc>
        <w:tc>
          <w:tcPr>
            <w:tcW w:type="dxa" w:w="61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Only eligible verified transaction participant can rate; duplicates handled</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T 303 moderation</w:t>
            </w:r>
          </w:p>
        </w:tc>
        <w:tc>
          <w:tcPr>
            <w:tcW w:type="dxa" w:w="20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Amna and Raazia</w:t>
            </w:r>
          </w:p>
        </w:tc>
        <w:tc>
          <w:tcPr>
            <w:tcW w:type="dxa" w:w="61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Permission scoped queues and real action evidence</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T 304 passport</w:t>
            </w:r>
          </w:p>
        </w:tc>
        <w:tc>
          <w:tcPr>
            <w:tcW w:type="dxa" w:w="20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Amna</w:t>
            </w:r>
          </w:p>
        </w:tc>
        <w:tc>
          <w:tcPr>
            <w:tcW w:type="dxa" w:w="61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Versioned canonical snapshot and deterministic hash vectors</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T 305 anchoring</w:t>
            </w:r>
          </w:p>
        </w:tc>
        <w:tc>
          <w:tcPr>
            <w:tcW w:type="dxa" w:w="20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Amna</w:t>
            </w:r>
          </w:p>
        </w:tc>
        <w:tc>
          <w:tcPr>
            <w:tcW w:type="dxa" w:w="61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Outbox retries, Amoy first write protection and actual verification</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T 306 public UI</w:t>
            </w:r>
          </w:p>
        </w:tc>
        <w:tc>
          <w:tcPr>
            <w:tcW w:type="dxa" w:w="20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Raazia</w:t>
            </w:r>
          </w:p>
        </w:tc>
        <w:tc>
          <w:tcPr>
            <w:tcW w:type="dxa" w:w="61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Correct hash match/mismatch/pending/error wording</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T 307 impact</w:t>
            </w:r>
          </w:p>
        </w:tc>
        <w:tc>
          <w:tcPr>
            <w:tcW w:type="dxa" w:w="20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Amna and Raazia</w:t>
            </w:r>
          </w:p>
        </w:tc>
        <w:tc>
          <w:tcPr>
            <w:tcW w:type="dxa" w:w="61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Completed order derivation and reversal aware scoped metrics</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T 308 reports</w:t>
            </w:r>
          </w:p>
        </w:tc>
        <w:tc>
          <w:tcPr>
            <w:tcW w:type="dxa" w:w="20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Amna and Raazia</w:t>
            </w:r>
          </w:p>
        </w:tc>
        <w:tc>
          <w:tcPr>
            <w:tcW w:type="dxa" w:w="61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0"/>
              </w:rPr>
              <w:t>Role scoped definitions, drill down and CSV/PDF totals</w:t>
            </w:r>
          </w:p>
        </w:tc>
      </w:tr>
    </w:tbl>
    <w:p>
      <w:pPr>
        <w:pStyle w:val="Heading2"/>
      </w:pPr>
      <w:r>
        <w:t>Data and trust boundaries</w:t>
      </w:r>
    </w:p>
    <w:p>
      <w:r>
        <w:t>A completed transaction is the source for ratings and impact eligibility. Proposed environmental calculations need documented factors, units and uncertainty; do not invent emissions saved or material diverted numbers. Count quantity only once and account for accepted reversals.</w:t>
      </w:r>
    </w:p>
    <w:p>
      <w:r>
        <w:t>Canonical passport bytes must be deterministic. Define field order, decimal representation, timestamps, null/optional fields and schema version. Once issued, preserve the snapshot; corrections create a linked version or event. Separate a current listing edit from an issued historical passport.</w:t>
      </w:r>
    </w:p>
    <w:p>
      <w:r>
        <w:t>A hash match demonstrates consistency with the anchored snapshot. It does not prove physical material quality or that every seller claim is true. Public verification must expose only approved public fields, never buyer contact/payment information.</w:t>
      </w:r>
    </w:p>
    <w:p>
      <w:pPr>
        <w:pStyle w:val="Heading2"/>
      </w:pPr>
      <w:r>
        <w:t>Required failure cases</w:t>
      </w:r>
    </w:p>
    <w:p>
      <w:r>
        <w:t>1. An invalid fulfilment transition or unauthorized actor is denied.</w:t>
      </w:r>
    </w:p>
    <w:p>
      <w:r>
        <w:t>2. An ineligible or duplicate rating does not affect aggregates incorrectly.</w:t>
      </w:r>
    </w:p>
    <w:p>
      <w:r>
        <w:t>3. Worker failure/retry does not duplicate anchors or lose work.</w:t>
      </w:r>
    </w:p>
    <w:p>
      <w:r>
        <w:t>4. A changed field produces the expected hash mismatch; pending anchor is not displayed as verified.</w:t>
      </w:r>
    </w:p>
    <w:p>
      <w:r>
        <w:t>5. Reports deny another organization’s data and reconcile with completed/reversed orders.</w:t>
      </w:r>
    </w:p>
    <w:p>
      <w:pPr>
        <w:pStyle w:val="Heading1"/>
        <w:pageBreakBefore/>
      </w:pPr>
      <w:r>
        <w:t>10 Branches migrations and pull requests</w:t>
      </w:r>
    </w:p>
    <w:p>
      <w:r>
        <w:t>After the reviewed baseline reaches main, run the following in each clean repository. Example names identify the owner and slice; do not reuse one branch for every task.</w:t>
      </w:r>
    </w:p>
    <w:p>
      <w:pPr>
        <w:pStyle w:val="Terminal"/>
      </w:pPr>
      <w:r>
        <w:t>git status -sb</w:t>
      </w:r>
    </w:p>
    <w:p>
      <w:pPr>
        <w:pStyle w:val="Terminal"/>
      </w:pPr>
      <w:r>
        <w:t>git switch main</w:t>
      </w:r>
    </w:p>
    <w:p>
      <w:pPr>
        <w:pStyle w:val="Terminal"/>
      </w:pPr>
      <w:r>
        <w:t>git pull --ff-only</w:t>
      </w:r>
    </w:p>
    <w:p>
      <w:pPr>
        <w:pStyle w:val="Terminal"/>
      </w:pPr>
      <w:r>
        <w:t>git switch -c feature/waheeba-pool-reservations</w:t>
      </w:r>
    </w:p>
    <w:p>
      <w:pPr>
        <w:spacing w:after="20"/>
      </w:pPr>
    </w:p>
    <w:p>
      <w:r>
        <w:t>Other examples: feature/amna-passport-snapshot and feature/raazia-checkout-ui. Use git fetch origin and merge origin/main on your feature branch as needed; resolve and test conflicts before requesting review. Do not reset away someone’s work or force push a shared branch.</w:t>
      </w:r>
    </w:p>
    <w:p>
      <w:pPr>
        <w:pStyle w:val="Heading2"/>
      </w:pPr>
      <w:r>
        <w:t>Migration ownership</w:t>
      </w:r>
    </w:p>
    <w:p>
      <w:r>
        <w:t>Waheeba maintains the sequence register for migrations 006 onward. Amna reserves her next number before adding a file. Never edit applied migrations 001–005. Include constraints, indexes and recovery notes. Treat destructive migration proposals separately and rehearse on disposable data.</w:t>
      </w:r>
    </w:p>
    <w:p>
      <w:pPr>
        <w:pStyle w:val="Heading2"/>
      </w:pPr>
      <w:r>
        <w:t>Every PR includes</w:t>
      </w:r>
    </w:p>
    <w:p>
      <w:r>
        <w:t>1. Problem and resulting behavior, task IDs and scope.</w:t>
      </w:r>
    </w:p>
    <w:p>
      <w:r>
        <w:t>2. API/event changes and any paired frontend/backend dependency.</w:t>
      </w:r>
    </w:p>
    <w:p>
      <w:r>
        <w:t>3. Permission matrix and state transitions affected.</w:t>
      </w:r>
    </w:p>
    <w:p>
      <w:r>
        <w:t>4. Migration and failure/recovery notes where relevant.</w:t>
      </w:r>
    </w:p>
    <w:p>
      <w:r>
        <w:t>5. Meaningful tests actually run, plus blocked checks.</w:t>
      </w:r>
    </w:p>
    <w:p>
      <w:r>
        <w:t>6. Screenshots for changed UI and updated README linked documentation.</w:t>
      </w:r>
    </w:p>
    <w:p>
      <w:r>
        <w:t>Before requesting review, run the repository’s actual lint/format and unit checks; run frontend build for frontend changes. Run relevant isolated integration/E2E suites for transactions, lifecycle or authorization changes. Do not invent a frontend test/typecheck script that is absent from package.json.</w:t>
      </w:r>
    </w:p>
    <w:p>
      <w:r>
        <w:t>Merge reviewed compatible slices. Paired breaking contracts must be integrated together. Nobody should merge a frontend change that requires an unavailable backend response and leave main broken overnight.</w:t>
      </w:r>
    </w:p>
    <w:p>
      <w:pPr>
        <w:pStyle w:val="Heading2"/>
      </w:pPr>
      <w:r>
        <w:t>Shared staging discipline</w:t>
      </w:r>
    </w:p>
    <w:p>
      <w:r>
        <w:t>Do not run demo seeding, DB reset suites or migration experiments against the current staging data. Coordinate approved staging changes through Raazia. Use separate controlled accounts and do not delete existing seller, buyer, reviewer, organization or listing records to simplify a test.</w:t>
      </w:r>
    </w:p>
    <w:p>
      <w:pPr>
        <w:pStyle w:val="Heading1"/>
        <w:pageBreakBefore/>
      </w:pPr>
      <w:r>
        <w:t>11 Final tests professor demo and sources</w:t>
      </w:r>
    </w:p>
    <w:p>
      <w:pPr>
        <w:pStyle w:val="Heading2"/>
      </w:pPr>
      <w:r>
        <w:t>Completion checklist</w:t>
      </w:r>
    </w:p>
    <w:p>
      <w:r>
        <w:t>1. Week 2 role, image, XLSX and remaining database checks are recorded accurately.</w:t>
      </w:r>
    </w:p>
    <w:p>
      <w:r>
        <w:t>2. Week 3 simultaneous joins never overfill; callback replay has one financial effect; ledger reconciles.</w:t>
      </w:r>
    </w:p>
    <w:p>
      <w:r>
        <w:t>3. Week 4 payment to fulfilment to passport to verification works; altered data causes mismatch.</w:t>
      </w:r>
    </w:p>
    <w:p>
      <w:r>
        <w:t>4. Buyer, Owner, Manager, Staff and platform permissions hold on server requests.</w:t>
      </w:r>
    </w:p>
    <w:p>
      <w:r>
        <w:t>5. Reports and exports use real completed/reversed records with documented metric definitions.</w:t>
      </w:r>
    </w:p>
    <w:p>
      <w:r>
        <w:t>6. Both repositories build and required current checks pass; hosted provider failures are explicitly recorded.</w:t>
      </w:r>
    </w:p>
    <w:p>
      <w:r>
        <w:t>7. Clean account setup and a repeatable demo are documented; matching commit IDs and PR links are retained.</w:t>
      </w:r>
    </w:p>
    <w:p>
      <w:pPr>
        <w:pStyle w:val="Heading2"/>
      </w:pPr>
      <w:r>
        <w:t>Professor demonstration order</w:t>
      </w:r>
    </w:p>
    <w:p>
      <w:r>
        <w:t>Start with a seller’s published textile listing and explain MOQ/tier pricing. Show an eligible direct purchase and a small buyer group contribution. Demonstrate server priced checkout and a clearly labelled sandbox payment. Show order fulfilment, an eligible rating, a material passport and public verification. Finish with role scoped metrics and one report export.</w:t>
      </w:r>
    </w:p>
    <w:p>
      <w:r>
        <w:t>Prepare controlled accounts privately. Rehearse before the presentation and preserve a separate disposable demonstration dataset. Do not rely on manual database edits during the presentation. If live Amoy/provider access is unavailable, state the limitation instead of claiming verification or real settlement.</w:t>
      </w:r>
    </w:p>
    <w:p>
      <w:pPr>
        <w:pStyle w:val="Heading2"/>
      </w:pPr>
      <w:r>
        <w:t>Usability and later polish</w:t>
      </w:r>
    </w:p>
    <w:p>
      <w:r>
        <w:t>During the sprint, keep forms readable, errors actionable, keyboard access functional and screens usable at 360, 390, 768, 1024, 1280 and 1440 pixels. Later polish can improve typography, spacing, imagery and motion. It must not replace overdue integration or security checks. Full Week 5 hardening still remains a separate project phase.</w:t>
      </w:r>
    </w:p>
    <w:p>
      <w:pPr>
        <w:pStyle w:val="Heading2"/>
      </w:pPr>
      <w:r>
        <w:t>Sources and scope of this plan</w:t>
      </w:r>
    </w:p>
    <w:p>
      <w:r>
        <w:t>Source documents: the attached ReSourcePK Manual Verification Progress Report and Teammate Week3 Week4 Start Guide dated 14 October 2026. Repository baseline: README linked tasks, architecture, rules, delivery status, OpenAPI and ADRs on feature/week-2-acceptance. Live PR status was checked on 14 October 2026. This plan does not execute merges, provision accounts, deploy services or claim new test results.</w:t>
      </w:r>
    </w:p>
    <w:p>
      <w:r>
        <w:t>Full source revisions: backend e6a26171f521a75f0c94b07b6c066191dd27aa62; frontend f4df243ef18c5ae5eec327f73264d3b63574ec19. Refresh status before starting because future merges and fixes can change the baseline.</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ReSource PK guide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ReSource PK  |  Six day team delivery plan  |  14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Arial" w:hAnsi="Arial" w:eastAsia="Arial" w:cs="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eastAsia="Arial" w:cs="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cs="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rminal">
    <w:name w:val="Terminal"/>
    <w:pPr>
      <w:keepNext w:val="0"/>
      <w:spacing w:before="0" w:after="0" w:line="240" w:lineRule="auto"/>
      <w:ind w:left="173"/>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Raazia-Imran/ReSourcePK_Backend/pull/8" TargetMode="External"/><Relationship Id="rId12" Type="http://schemas.openxmlformats.org/officeDocument/2006/relationships/hyperlink" Target="https://github.com/Raazia-Imran/ReSourcePK_Frontend/pull/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