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ReSource PK Manual Verification Progress Report</w:t>
      </w:r>
    </w:p>
    <w:p>
      <w:r>
        <w:t>ReSource PK  |  14 October 2026  |  Working handoff</w:t>
      </w:r>
    </w:p>
    <w:p>
      <w:r>
        <w:t>This report records the live checks Raazia described or showed during the 13–14 October 2026 local frontend/API session connected to Supabase staging. It separates observed results, user-reported checks and pending work. No demo seed was run against the staging database, and Week 3/4 features remain planned.</w:t>
      </w:r>
    </w:p>
    <w:p>
      <w:pPr>
        <w:pStyle w:val="Heading1"/>
      </w:pPr>
      <w:r>
        <w:t>Environment and identity</w:t>
      </w:r>
    </w:p>
    <w:tbl>
      <w:tblPr>
        <w:tblW w:type="auto" w:w="0"/>
        <w:jc w:val="center"/>
        <w:tblLook w:firstColumn="1" w:firstRow="1" w:lastColumn="0" w:lastRow="0" w:noHBand="0" w:noVBand="1" w:val="04A0"/>
      </w:tblPr>
      <w:tblGrid>
        <w:gridCol w:w="4896"/>
        <w:gridCol w:w="4896"/>
      </w:tblGrid>
      <w:tr>
        <w:trPr>
          <w:cantSplit/>
          <w:tblHeader/>
        </w:trPr>
        <w:tc>
          <w:tcPr>
            <w:tcW w:type="dxa" w:w="1872"/>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Area</w:t>
            </w:r>
          </w:p>
        </w:tc>
        <w:tc>
          <w:tcPr>
            <w:tcW w:type="dxa" w:w="7776"/>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Observed or reported state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20"/>
            </w:pPr>
            <w:r>
              <w:rPr>
                <w:sz w:val="17"/>
              </w:rPr>
              <w:t>Runtime</w:t>
            </w:r>
          </w:p>
        </w:tc>
        <w:tc>
          <w:tcPr>
            <w:tcW w:type="dxa" w:w="7776"/>
            <w:vAlign w:val="center"/>
            <w:tcBorders>
              <w:top w:val="single" w:sz="4" w:color="D9D9D9"/>
              <w:left w:val="single" w:sz="4" w:color="D9D9D9"/>
              <w:bottom w:val="single" w:sz="4" w:color="D9D9D9"/>
              <w:right w:val="single" w:sz="4" w:color="D9D9D9"/>
            </w:tcBorders>
            <w:shd w:fill="FFFFFF"/>
          </w:tcPr>
          <w:p>
            <w:pPr>
              <w:spacing w:after="20"/>
            </w:pPr>
            <w:r>
              <w:rPr>
                <w:sz w:val="17"/>
              </w:rPr>
              <w:t>Frontend localhost:3000 and API localhost:5000; app schema on Supabase staging.</w:t>
            </w:r>
          </w:p>
        </w:tc>
      </w:tr>
      <w:tr>
        <w:trPr>
          <w:cantSplit/>
        </w:trPr>
        <w:tc>
          <w:tcPr>
            <w:tcW w:type="dxa" w:w="1872"/>
            <w:vAlign w:val="center"/>
            <w:tcBorders>
              <w:top w:val="single" w:sz="4" w:color="D9D9D9"/>
              <w:left w:val="single" w:sz="4" w:color="D9D9D9"/>
              <w:bottom w:val="single" w:sz="4" w:color="D9D9D9"/>
              <w:right w:val="single" w:sz="4" w:color="D9D9D9"/>
            </w:tcBorders>
            <w:shd w:fill="F0F4F7"/>
          </w:tcPr>
          <w:p>
            <w:pPr>
              <w:spacing w:after="20"/>
            </w:pPr>
            <w:r>
              <w:rPr>
                <w:sz w:val="17"/>
              </w:rPr>
              <w:t>Seller</w:t>
            </w:r>
          </w:p>
        </w:tc>
        <w:tc>
          <w:tcPr>
            <w:tcW w:type="dxa" w:w="7776"/>
            <w:vAlign w:val="center"/>
            <w:tcBorders>
              <w:top w:val="single" w:sz="4" w:color="D9D9D9"/>
              <w:left w:val="single" w:sz="4" w:color="D9D9D9"/>
              <w:bottom w:val="single" w:sz="4" w:color="D9D9D9"/>
              <w:right w:val="single" w:sz="4" w:color="D9D9D9"/>
            </w:tcBorders>
            <w:shd w:fill="F0F4F7"/>
          </w:tcPr>
          <w:p>
            <w:pPr>
              <w:spacing w:after="20"/>
            </w:pPr>
            <w:r>
              <w:rPr>
                <w:sz w:val="17"/>
              </w:rPr>
              <w:t>RIR STUDIO organization; owner workspace /org/rir-studio-d7f609.</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20"/>
            </w:pPr>
            <w:r>
              <w:rPr>
                <w:sz w:val="17"/>
              </w:rPr>
              <w:t>Reviewer</w:t>
            </w:r>
          </w:p>
        </w:tc>
        <w:tc>
          <w:tcPr>
            <w:tcW w:type="dxa" w:w="7776"/>
            <w:vAlign w:val="center"/>
            <w:tcBorders>
              <w:top w:val="single" w:sz="4" w:color="D9D9D9"/>
              <w:left w:val="single" w:sz="4" w:color="D9D9D9"/>
              <w:bottom w:val="single" w:sz="4" w:color="D9D9D9"/>
              <w:right w:val="single" w:sz="4" w:color="D9D9D9"/>
            </w:tcBorders>
            <w:shd w:fill="FFFFFF"/>
          </w:tcPr>
          <w:p>
            <w:pPr>
              <w:spacing w:after="20"/>
            </w:pPr>
            <w:r>
              <w:rPr>
                <w:sz w:val="17"/>
              </w:rPr>
              <w:t>Separate verified account granted platform_admin through a guarded manual staging assignment; review queue reachable.</w:t>
            </w:r>
          </w:p>
        </w:tc>
      </w:tr>
      <w:tr>
        <w:trPr>
          <w:cantSplit/>
        </w:trPr>
        <w:tc>
          <w:tcPr>
            <w:tcW w:type="dxa" w:w="1872"/>
            <w:vAlign w:val="center"/>
            <w:tcBorders>
              <w:top w:val="single" w:sz="4" w:color="D9D9D9"/>
              <w:left w:val="single" w:sz="4" w:color="D9D9D9"/>
              <w:bottom w:val="single" w:sz="4" w:color="D9D9D9"/>
              <w:right w:val="single" w:sz="4" w:color="D9D9D9"/>
            </w:tcBorders>
            <w:shd w:fill="F0F4F7"/>
          </w:tcPr>
          <w:p>
            <w:pPr>
              <w:spacing w:after="20"/>
            </w:pPr>
            <w:r>
              <w:rPr>
                <w:sz w:val="17"/>
              </w:rPr>
              <w:t>Buyer</w:t>
            </w:r>
          </w:p>
        </w:tc>
        <w:tc>
          <w:tcPr>
            <w:tcW w:type="dxa" w:w="7776"/>
            <w:vAlign w:val="center"/>
            <w:tcBorders>
              <w:top w:val="single" w:sz="4" w:color="D9D9D9"/>
              <w:left w:val="single" w:sz="4" w:color="D9D9D9"/>
              <w:bottom w:val="single" w:sz="4" w:color="D9D9D9"/>
              <w:right w:val="single" w:sz="4" w:color="D9D9D9"/>
            </w:tcBorders>
            <w:shd w:fill="F0F4F7"/>
          </w:tcPr>
          <w:p>
            <w:pPr>
              <w:spacing w:after="20"/>
            </w:pPr>
            <w:r>
              <w:rPr>
                <w:sz w:val="17"/>
              </w:rPr>
              <w:t>Separate verified Raazia buyer account used for requirements.</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20"/>
            </w:pPr>
            <w:r>
              <w:rPr>
                <w:sz w:val="17"/>
              </w:rPr>
              <w:t>Data policy</w:t>
            </w:r>
          </w:p>
        </w:tc>
        <w:tc>
          <w:tcPr>
            <w:tcW w:type="dxa" w:w="7776"/>
            <w:vAlign w:val="center"/>
            <w:tcBorders>
              <w:top w:val="single" w:sz="4" w:color="D9D9D9"/>
              <w:left w:val="single" w:sz="4" w:color="D9D9D9"/>
              <w:bottom w:val="single" w:sz="4" w:color="D9D9D9"/>
              <w:right w:val="single" w:sz="4" w:color="D9D9D9"/>
            </w:tcBorders>
            <w:shd w:fill="FFFFFF"/>
          </w:tcPr>
          <w:p>
            <w:pPr>
              <w:spacing w:after="20"/>
            </w:pPr>
            <w:r>
              <w:rPr>
                <w:sz w:val="17"/>
              </w:rPr>
              <w:t>No seed-demo.js; QA listings and accounts created through real application flows.</w:t>
            </w:r>
          </w:p>
        </w:tc>
      </w:tr>
    </w:tbl>
    <w:p/>
    <w:p>
      <w:pPr>
        <w:pStyle w:val="Heading1"/>
      </w:pPr>
      <w:r>
        <w:t>Walkthrough completed or observed</w:t>
      </w:r>
    </w:p>
    <w:tbl>
      <w:tblPr>
        <w:tblW w:type="auto" w:w="0"/>
        <w:jc w:val="center"/>
        <w:tblLook w:firstColumn="1" w:firstRow="1" w:lastColumn="0" w:lastRow="0" w:noHBand="0" w:noVBand="1" w:val="04A0"/>
      </w:tblPr>
      <w:tblGrid>
        <w:gridCol w:w="3264"/>
        <w:gridCol w:w="3264"/>
        <w:gridCol w:w="3264"/>
      </w:tblGrid>
      <w:tr>
        <w:trPr>
          <w:cantSplit/>
          <w:tblHeader/>
        </w:trPr>
        <w:tc>
          <w:tcPr>
            <w:tcW w:type="dxa" w:w="1080"/>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Section</w:t>
            </w:r>
          </w:p>
        </w:tc>
        <w:tc>
          <w:tcPr>
            <w:tcW w:type="dxa" w:w="7128"/>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Evidence and outcome</w:t>
            </w:r>
          </w:p>
        </w:tc>
        <w:tc>
          <w:tcPr>
            <w:tcW w:type="dxa" w:w="1440"/>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Status</w:t>
            </w:r>
          </w:p>
        </w:tc>
      </w:tr>
      <w:tr>
        <w:trPr>
          <w:cantSplit/>
        </w:trPr>
        <w:tc>
          <w:tcPr>
            <w:tcW w:type="dxa" w:w="1080"/>
            <w:vAlign w:val="center"/>
            <w:tcBorders>
              <w:top w:val="single" w:sz="4" w:color="D9D9D9"/>
              <w:left w:val="single" w:sz="4" w:color="D9D9D9"/>
              <w:bottom w:val="single" w:sz="4" w:color="D9D9D9"/>
              <w:right w:val="single" w:sz="4" w:color="D9D9D9"/>
            </w:tcBorders>
            <w:shd w:fill="FFFFFF"/>
          </w:tcPr>
          <w:p>
            <w:pPr>
              <w:spacing w:after="20"/>
            </w:pPr>
            <w:r>
              <w:rPr>
                <w:sz w:val="17"/>
              </w:rPr>
              <w:t>12–14 Seller/moderation</w:t>
            </w:r>
          </w:p>
        </w:tc>
        <w:tc>
          <w:tcPr>
            <w:tcW w:type="dxa" w:w="7128"/>
            <w:vAlign w:val="center"/>
            <w:tcBorders>
              <w:top w:val="single" w:sz="4" w:color="D9D9D9"/>
              <w:left w:val="single" w:sz="4" w:color="D9D9D9"/>
              <w:bottom w:val="single" w:sz="4" w:color="D9D9D9"/>
              <w:right w:val="single" w:sz="4" w:color="D9D9D9"/>
            </w:tcBorders>
            <w:shd w:fill="FFFFFF"/>
          </w:tcPr>
          <w:p>
            <w:pPr>
              <w:spacing w:after="20"/>
            </w:pPr>
            <w:r>
              <w:rPr>
                <w:sz w:val="17"/>
              </w:rPr>
              <w:t>QA Cotton Lot 001 created with 10 kg at Rs 200 and 50 kg at Rs 190 tiers, published. QA Cotton Lot 002 rejected with clarification note, then resubmitted; latest seller capture shows pending review.</w:t>
            </w:r>
          </w:p>
        </w:tc>
        <w:tc>
          <w:tcPr>
            <w:tcW w:type="dxa" w:w="1440"/>
            <w:vAlign w:val="center"/>
            <w:tcBorders>
              <w:top w:val="single" w:sz="4" w:color="D9D9D9"/>
              <w:left w:val="single" w:sz="4" w:color="D9D9D9"/>
              <w:bottom w:val="single" w:sz="4" w:color="D9D9D9"/>
              <w:right w:val="single" w:sz="4" w:color="D9D9D9"/>
            </w:tcBorders>
            <w:shd w:fill="FFFFFF"/>
          </w:tcPr>
          <w:p>
            <w:pPr>
              <w:spacing w:after="20"/>
            </w:pPr>
            <w:r>
              <w:rPr>
                <w:sz w:val="17"/>
              </w:rPr>
              <w:t>Core flow observed; Lot 002 publication not evidenced in latest capture</w:t>
            </w:r>
          </w:p>
        </w:tc>
      </w:tr>
      <w:tr>
        <w:trPr>
          <w:cantSplit/>
        </w:trPr>
        <w:tc>
          <w:tcPr>
            <w:tcW w:type="dxa" w:w="1080"/>
            <w:vAlign w:val="center"/>
            <w:tcBorders>
              <w:top w:val="single" w:sz="4" w:color="D9D9D9"/>
              <w:left w:val="single" w:sz="4" w:color="D9D9D9"/>
              <w:bottom w:val="single" w:sz="4" w:color="D9D9D9"/>
              <w:right w:val="single" w:sz="4" w:color="D9D9D9"/>
            </w:tcBorders>
            <w:shd w:fill="F0F4F7"/>
          </w:tcPr>
          <w:p>
            <w:pPr>
              <w:spacing w:after="20"/>
            </w:pPr>
            <w:r>
              <w:rPr>
                <w:sz w:val="17"/>
              </w:rPr>
              <w:t>15 Public discovery</w:t>
            </w:r>
          </w:p>
        </w:tc>
        <w:tc>
          <w:tcPr>
            <w:tcW w:type="dxa" w:w="7128"/>
            <w:vAlign w:val="center"/>
            <w:tcBorders>
              <w:top w:val="single" w:sz="4" w:color="D9D9D9"/>
              <w:left w:val="single" w:sz="4" w:color="D9D9D9"/>
              <w:bottom w:val="single" w:sz="4" w:color="D9D9D9"/>
              <w:right w:val="single" w:sz="4" w:color="D9D9D9"/>
            </w:tcBorders>
            <w:shd w:fill="F0F4F7"/>
          </w:tcPr>
          <w:p>
            <w:pPr>
              <w:spacing w:after="20"/>
            </w:pPr>
            <w:r>
              <w:rPr>
                <w:sz w:val="17"/>
              </w:rPr>
              <w:t>Lot 001 public detail displayed 99.974 kg, MOQ 10 kg, base Rs 210.29, metadata and tiers.</w:t>
            </w:r>
          </w:p>
        </w:tc>
        <w:tc>
          <w:tcPr>
            <w:tcW w:type="dxa" w:w="1440"/>
            <w:vAlign w:val="center"/>
            <w:tcBorders>
              <w:top w:val="single" w:sz="4" w:color="D9D9D9"/>
              <w:left w:val="single" w:sz="4" w:color="D9D9D9"/>
              <w:bottom w:val="single" w:sz="4" w:color="D9D9D9"/>
              <w:right w:val="single" w:sz="4" w:color="D9D9D9"/>
            </w:tcBorders>
            <w:shd w:fill="F0F4F7"/>
          </w:tcPr>
          <w:p>
            <w:pPr>
              <w:spacing w:after="20"/>
            </w:pPr>
            <w:r>
              <w:rPr>
                <w:sz w:val="17"/>
              </w:rPr>
              <w:t>Observed</w:t>
            </w:r>
          </w:p>
        </w:tc>
      </w:tr>
      <w:tr>
        <w:trPr>
          <w:cantSplit/>
        </w:trPr>
        <w:tc>
          <w:tcPr>
            <w:tcW w:type="dxa" w:w="1080"/>
            <w:vAlign w:val="center"/>
            <w:tcBorders>
              <w:top w:val="single" w:sz="4" w:color="D9D9D9"/>
              <w:left w:val="single" w:sz="4" w:color="D9D9D9"/>
              <w:bottom w:val="single" w:sz="4" w:color="D9D9D9"/>
              <w:right w:val="single" w:sz="4" w:color="D9D9D9"/>
            </w:tcBorders>
            <w:shd w:fill="FFFFFF"/>
          </w:tcPr>
          <w:p>
            <w:pPr>
              <w:spacing w:after="20"/>
            </w:pPr>
            <w:r>
              <w:rPr>
                <w:sz w:val="17"/>
              </w:rPr>
              <w:t>16 Buyer requirements</w:t>
            </w:r>
          </w:p>
        </w:tc>
        <w:tc>
          <w:tcPr>
            <w:tcW w:type="dxa" w:w="7128"/>
            <w:vAlign w:val="center"/>
            <w:tcBorders>
              <w:top w:val="single" w:sz="4" w:color="D9D9D9"/>
              <w:left w:val="single" w:sz="4" w:color="D9D9D9"/>
              <w:bottom w:val="single" w:sz="4" w:color="D9D9D9"/>
              <w:right w:val="single" w:sz="4" w:color="D9D9D9"/>
            </w:tcBorders>
            <w:shd w:fill="FFFFFF"/>
          </w:tcPr>
          <w:p>
            <w:pPr>
              <w:spacing w:after="20"/>
            </w:pPr>
            <w:r>
              <w:rPr>
                <w:sz w:val="17"/>
              </w:rPr>
              <w:t>Cotton 50 kg with ceiling Rs 195 matched Lot 001 at Rs 190 and met MOQ. Tighter Rs 189 produced no match.</w:t>
            </w:r>
          </w:p>
        </w:tc>
        <w:tc>
          <w:tcPr>
            <w:tcW w:type="dxa" w:w="1440"/>
            <w:vAlign w:val="center"/>
            <w:tcBorders>
              <w:top w:val="single" w:sz="4" w:color="D9D9D9"/>
              <w:left w:val="single" w:sz="4" w:color="D9D9D9"/>
              <w:bottom w:val="single" w:sz="4" w:color="D9D9D9"/>
              <w:right w:val="single" w:sz="4" w:color="D9D9D9"/>
            </w:tcBorders>
            <w:shd w:fill="FFFFFF"/>
          </w:tcPr>
          <w:p>
            <w:pPr>
              <w:spacing w:after="20"/>
            </w:pPr>
            <w:r>
              <w:rPr>
                <w:sz w:val="17"/>
              </w:rPr>
              <w:t>Observed/reported</w:t>
            </w:r>
          </w:p>
        </w:tc>
      </w:tr>
      <w:tr>
        <w:trPr>
          <w:cantSplit/>
        </w:trPr>
        <w:tc>
          <w:tcPr>
            <w:tcW w:type="dxa" w:w="1080"/>
            <w:vAlign w:val="center"/>
            <w:tcBorders>
              <w:top w:val="single" w:sz="4" w:color="D9D9D9"/>
              <w:left w:val="single" w:sz="4" w:color="D9D9D9"/>
              <w:bottom w:val="single" w:sz="4" w:color="D9D9D9"/>
              <w:right w:val="single" w:sz="4" w:color="D9D9D9"/>
            </w:tcBorders>
            <w:shd w:fill="F0F4F7"/>
          </w:tcPr>
          <w:p>
            <w:pPr>
              <w:spacing w:after="20"/>
            </w:pPr>
            <w:r>
              <w:rPr>
                <w:sz w:val="17"/>
              </w:rPr>
              <w:t>17 Import</w:t>
            </w:r>
          </w:p>
        </w:tc>
        <w:tc>
          <w:tcPr>
            <w:tcW w:type="dxa" w:w="7128"/>
            <w:vAlign w:val="center"/>
            <w:tcBorders>
              <w:top w:val="single" w:sz="4" w:color="D9D9D9"/>
              <w:left w:val="single" w:sz="4" w:color="D9D9D9"/>
              <w:bottom w:val="single" w:sz="4" w:color="D9D9D9"/>
              <w:right w:val="single" w:sz="4" w:color="D9D9D9"/>
            </w:tcBorders>
            <w:shd w:fill="F0F4F7"/>
          </w:tcPr>
          <w:p>
            <w:pPr>
              <w:spacing w:after="20"/>
            </w:pPr>
            <w:r>
              <w:rPr>
                <w:sz w:val="17"/>
              </w:rPr>
              <w:t>Valid CSV preview 1 valid row and confirmed draft. Invalid CSV preview 0 valid, 1 error row (quantity 0, MOQ 200).</w:t>
            </w:r>
          </w:p>
        </w:tc>
        <w:tc>
          <w:tcPr>
            <w:tcW w:type="dxa" w:w="1440"/>
            <w:vAlign w:val="center"/>
            <w:tcBorders>
              <w:top w:val="single" w:sz="4" w:color="D9D9D9"/>
              <w:left w:val="single" w:sz="4" w:color="D9D9D9"/>
              <w:bottom w:val="single" w:sz="4" w:color="D9D9D9"/>
              <w:right w:val="single" w:sz="4" w:color="D9D9D9"/>
            </w:tcBorders>
            <w:shd w:fill="F0F4F7"/>
          </w:tcPr>
          <w:p>
            <w:pPr>
              <w:spacing w:after="20"/>
            </w:pPr>
            <w:r>
              <w:rPr>
                <w:sz w:val="17"/>
              </w:rPr>
              <w:t>CSV observed; XLSX confirmation pending</w:t>
            </w:r>
          </w:p>
        </w:tc>
      </w:tr>
      <w:tr>
        <w:trPr>
          <w:cantSplit/>
        </w:trPr>
        <w:tc>
          <w:tcPr>
            <w:tcW w:type="dxa" w:w="1080"/>
            <w:vAlign w:val="center"/>
            <w:tcBorders>
              <w:top w:val="single" w:sz="4" w:color="D9D9D9"/>
              <w:left w:val="single" w:sz="4" w:color="D9D9D9"/>
              <w:bottom w:val="single" w:sz="4" w:color="D9D9D9"/>
              <w:right w:val="single" w:sz="4" w:color="D9D9D9"/>
            </w:tcBorders>
            <w:shd w:fill="FFFFFF"/>
          </w:tcPr>
          <w:p>
            <w:pPr>
              <w:spacing w:after="20"/>
            </w:pPr>
            <w:r>
              <w:rPr>
                <w:sz w:val="17"/>
              </w:rPr>
              <w:t>18–19 Email/auth</w:t>
            </w:r>
          </w:p>
        </w:tc>
        <w:tc>
          <w:tcPr>
            <w:tcW w:type="dxa" w:w="7128"/>
            <w:vAlign w:val="center"/>
            <w:tcBorders>
              <w:top w:val="single" w:sz="4" w:color="D9D9D9"/>
              <w:left w:val="single" w:sz="4" w:color="D9D9D9"/>
              <w:bottom w:val="single" w:sz="4" w:color="D9D9D9"/>
              <w:right w:val="single" w:sz="4" w:color="D9D9D9"/>
            </w:tcBorders>
            <w:shd w:fill="FFFFFF"/>
          </w:tcPr>
          <w:p>
            <w:pPr>
              <w:spacing w:after="20"/>
            </w:pPr>
            <w:r>
              <w:rPr>
                <w:sz w:val="17"/>
              </w:rPr>
              <w:t>Existing Gmail app password and forgot-password email reported checked; real seller/buyer verification and login exercised.</w:t>
            </w:r>
          </w:p>
        </w:tc>
        <w:tc>
          <w:tcPr>
            <w:tcW w:type="dxa" w:w="1440"/>
            <w:vAlign w:val="center"/>
            <w:tcBorders>
              <w:top w:val="single" w:sz="4" w:color="D9D9D9"/>
              <w:left w:val="single" w:sz="4" w:color="D9D9D9"/>
              <w:bottom w:val="single" w:sz="4" w:color="D9D9D9"/>
              <w:right w:val="single" w:sz="4" w:color="D9D9D9"/>
            </w:tcBorders>
            <w:shd w:fill="FFFFFF"/>
          </w:tcPr>
          <w:p>
            <w:pPr>
              <w:spacing w:after="20"/>
            </w:pPr>
            <w:r>
              <w:rPr>
                <w:sz w:val="17"/>
              </w:rPr>
              <w:t>Reported; complete reset/replay matrix not evidenced</w:t>
            </w:r>
          </w:p>
        </w:tc>
      </w:tr>
      <w:tr>
        <w:trPr>
          <w:cantSplit/>
        </w:trPr>
        <w:tc>
          <w:tcPr>
            <w:tcW w:type="dxa" w:w="1080"/>
            <w:vAlign w:val="center"/>
            <w:tcBorders>
              <w:top w:val="single" w:sz="4" w:color="D9D9D9"/>
              <w:left w:val="single" w:sz="4" w:color="D9D9D9"/>
              <w:bottom w:val="single" w:sz="4" w:color="D9D9D9"/>
              <w:right w:val="single" w:sz="4" w:color="D9D9D9"/>
            </w:tcBorders>
            <w:shd w:fill="F0F4F7"/>
          </w:tcPr>
          <w:p>
            <w:pPr>
              <w:spacing w:after="20"/>
            </w:pPr>
            <w:r>
              <w:rPr>
                <w:sz w:val="17"/>
              </w:rPr>
              <w:t>22 Read-only DB</w:t>
            </w:r>
          </w:p>
        </w:tc>
        <w:tc>
          <w:tcPr>
            <w:tcW w:type="dxa" w:w="7128"/>
            <w:vAlign w:val="center"/>
            <w:tcBorders>
              <w:top w:val="single" w:sz="4" w:color="D9D9D9"/>
              <w:left w:val="single" w:sz="4" w:color="D9D9D9"/>
              <w:bottom w:val="single" w:sz="4" w:color="D9D9D9"/>
              <w:right w:val="single" w:sz="4" w:color="D9D9D9"/>
            </w:tcBorders>
            <w:shd w:fill="F0F4F7"/>
          </w:tcPr>
          <w:p>
            <w:pPr>
              <w:spacing w:after="20"/>
            </w:pPr>
            <w:r>
              <w:rPr>
                <w:sz w:val="17"/>
              </w:rPr>
              <w:t>Migrations 002–005 visible in cropped image; statuses: 1 published, 1 archived, 2 pending review; invalid_moq = 0.</w:t>
            </w:r>
          </w:p>
        </w:tc>
        <w:tc>
          <w:tcPr>
            <w:tcW w:type="dxa" w:w="1440"/>
            <w:vAlign w:val="center"/>
            <w:tcBorders>
              <w:top w:val="single" w:sz="4" w:color="D9D9D9"/>
              <w:left w:val="single" w:sz="4" w:color="D9D9D9"/>
              <w:bottom w:val="single" w:sz="4" w:color="D9D9D9"/>
              <w:right w:val="single" w:sz="4" w:color="D9D9D9"/>
            </w:tcBorders>
            <w:shd w:fill="F0F4F7"/>
          </w:tcPr>
          <w:p>
            <w:pPr>
              <w:spacing w:after="20"/>
            </w:pPr>
            <w:r>
              <w:rPr>
                <w:sz w:val="17"/>
              </w:rPr>
              <w:t>Partial: 001 and orphan_images not shown</w:t>
            </w:r>
          </w:p>
        </w:tc>
      </w:tr>
      <w:tr>
        <w:trPr>
          <w:cantSplit/>
        </w:trPr>
        <w:tc>
          <w:tcPr>
            <w:tcW w:type="dxa" w:w="1080"/>
            <w:vAlign w:val="center"/>
            <w:tcBorders>
              <w:top w:val="single" w:sz="4" w:color="D9D9D9"/>
              <w:left w:val="single" w:sz="4" w:color="D9D9D9"/>
              <w:bottom w:val="single" w:sz="4" w:color="D9D9D9"/>
              <w:right w:val="single" w:sz="4" w:color="D9D9D9"/>
            </w:tcBorders>
            <w:shd w:fill="FFFFFF"/>
          </w:tcPr>
          <w:p>
            <w:pPr>
              <w:spacing w:after="20"/>
            </w:pPr>
            <w:r>
              <w:rPr>
                <w:sz w:val="17"/>
              </w:rPr>
              <w:t>23 Sessions/UI permissions</w:t>
            </w:r>
          </w:p>
        </w:tc>
        <w:tc>
          <w:tcPr>
            <w:tcW w:type="dxa" w:w="7128"/>
            <w:vAlign w:val="center"/>
            <w:tcBorders>
              <w:top w:val="single" w:sz="4" w:color="D9D9D9"/>
              <w:left w:val="single" w:sz="4" w:color="D9D9D9"/>
              <w:bottom w:val="single" w:sz="4" w:color="D9D9D9"/>
              <w:right w:val="single" w:sz="4" w:color="D9D9D9"/>
            </w:tcBorders>
            <w:shd w:fill="FFFFFF"/>
          </w:tcPr>
          <w:p>
            <w:pPr>
              <w:spacing w:after="20"/>
            </w:pPr>
            <w:r>
              <w:rPr>
                <w:sz w:val="17"/>
              </w:rPr>
              <w:t>User reported browser/permission checks done.</w:t>
            </w:r>
          </w:p>
        </w:tc>
        <w:tc>
          <w:tcPr>
            <w:tcW w:type="dxa" w:w="1440"/>
            <w:vAlign w:val="center"/>
            <w:tcBorders>
              <w:top w:val="single" w:sz="4" w:color="D9D9D9"/>
              <w:left w:val="single" w:sz="4" w:color="D9D9D9"/>
              <w:bottom w:val="single" w:sz="4" w:color="D9D9D9"/>
              <w:right w:val="single" w:sz="4" w:color="D9D9D9"/>
            </w:tcBorders>
            <w:shd w:fill="FFFFFF"/>
          </w:tcPr>
          <w:p>
            <w:pPr>
              <w:spacing w:after="20"/>
            </w:pPr>
            <w:r>
              <w:rPr>
                <w:sz w:val="17"/>
              </w:rPr>
              <w:t>Reported; no per-case capture supplied</w:t>
            </w:r>
          </w:p>
        </w:tc>
      </w:tr>
      <w:tr>
        <w:trPr>
          <w:cantSplit/>
        </w:trPr>
        <w:tc>
          <w:tcPr>
            <w:tcW w:type="dxa" w:w="1080"/>
            <w:vAlign w:val="center"/>
            <w:tcBorders>
              <w:top w:val="single" w:sz="4" w:color="D9D9D9"/>
              <w:left w:val="single" w:sz="4" w:color="D9D9D9"/>
              <w:bottom w:val="single" w:sz="4" w:color="D9D9D9"/>
              <w:right w:val="single" w:sz="4" w:color="D9D9D9"/>
            </w:tcBorders>
            <w:shd w:fill="F0F4F7"/>
          </w:tcPr>
          <w:p>
            <w:pPr>
              <w:spacing w:after="20"/>
            </w:pPr>
            <w:r>
              <w:rPr>
                <w:sz w:val="17"/>
              </w:rPr>
              <w:t>24 API negatives</w:t>
            </w:r>
          </w:p>
        </w:tc>
        <w:tc>
          <w:tcPr>
            <w:tcW w:type="dxa" w:w="7128"/>
            <w:vAlign w:val="center"/>
            <w:tcBorders>
              <w:top w:val="single" w:sz="4" w:color="D9D9D9"/>
              <w:left w:val="single" w:sz="4" w:color="D9D9D9"/>
              <w:bottom w:val="single" w:sz="4" w:color="D9D9D9"/>
              <w:right w:val="single" w:sz="4" w:color="D9D9D9"/>
            </w:tcBorders>
            <w:shd w:fill="F0F4F7"/>
          </w:tcPr>
          <w:p>
            <w:pPr>
              <w:spacing w:after="20"/>
            </w:pPr>
            <w:r>
              <w:rPr>
                <w:sz w:val="17"/>
              </w:rPr>
              <w:t>200 public listings; 422 page=0 and limit=51 with VALIDATION_ERROR; 401 anonymous requirements and cleanup; 403 wrong origin. Error envelopes include correlationId.</w:t>
            </w:r>
          </w:p>
        </w:tc>
        <w:tc>
          <w:tcPr>
            <w:tcW w:type="dxa" w:w="1440"/>
            <w:vAlign w:val="center"/>
            <w:tcBorders>
              <w:top w:val="single" w:sz="4" w:color="D9D9D9"/>
              <w:left w:val="single" w:sz="4" w:color="D9D9D9"/>
              <w:bottom w:val="single" w:sz="4" w:color="D9D9D9"/>
              <w:right w:val="single" w:sz="4" w:color="D9D9D9"/>
            </w:tcBorders>
            <w:shd w:fill="F0F4F7"/>
          </w:tcPr>
          <w:p>
            <w:pPr>
              <w:spacing w:after="20"/>
            </w:pPr>
            <w:r>
              <w:rPr>
                <w:sz w:val="17"/>
              </w:rPr>
              <w:t>Observed from pasted curl output</w:t>
            </w:r>
          </w:p>
        </w:tc>
      </w:tr>
      <w:tr>
        <w:trPr>
          <w:cantSplit/>
        </w:trPr>
        <w:tc>
          <w:tcPr>
            <w:tcW w:type="dxa" w:w="1080"/>
            <w:vAlign w:val="center"/>
            <w:tcBorders>
              <w:top w:val="single" w:sz="4" w:color="D9D9D9"/>
              <w:left w:val="single" w:sz="4" w:color="D9D9D9"/>
              <w:bottom w:val="single" w:sz="4" w:color="D9D9D9"/>
              <w:right w:val="single" w:sz="4" w:color="D9D9D9"/>
            </w:tcBorders>
            <w:shd w:fill="FFFFFF"/>
          </w:tcPr>
          <w:p>
            <w:pPr>
              <w:spacing w:after="20"/>
            </w:pPr>
            <w:r>
              <w:rPr>
                <w:sz w:val="17"/>
              </w:rPr>
              <w:t>25 Responsive/keyboard</w:t>
            </w:r>
          </w:p>
        </w:tc>
        <w:tc>
          <w:tcPr>
            <w:tcW w:type="dxa" w:w="7128"/>
            <w:vAlign w:val="center"/>
            <w:tcBorders>
              <w:top w:val="single" w:sz="4" w:color="D9D9D9"/>
              <w:left w:val="single" w:sz="4" w:color="D9D9D9"/>
              <w:bottom w:val="single" w:sz="4" w:color="D9D9D9"/>
              <w:right w:val="single" w:sz="4" w:color="D9D9D9"/>
            </w:tcBorders>
            <w:shd w:fill="FFFFFF"/>
          </w:tcPr>
          <w:p>
            <w:pPr>
              <w:spacing w:after="20"/>
            </w:pPr>
            <w:r>
              <w:rPr>
                <w:sz w:val="17"/>
              </w:rPr>
              <w:t>User reported DevTools checks complete.</w:t>
            </w:r>
          </w:p>
        </w:tc>
        <w:tc>
          <w:tcPr>
            <w:tcW w:type="dxa" w:w="1440"/>
            <w:vAlign w:val="center"/>
            <w:tcBorders>
              <w:top w:val="single" w:sz="4" w:color="D9D9D9"/>
              <w:left w:val="single" w:sz="4" w:color="D9D9D9"/>
              <w:bottom w:val="single" w:sz="4" w:color="D9D9D9"/>
              <w:right w:val="single" w:sz="4" w:color="D9D9D9"/>
            </w:tcBorders>
            <w:shd w:fill="FFFFFF"/>
          </w:tcPr>
          <w:p>
            <w:pPr>
              <w:spacing w:after="20"/>
            </w:pPr>
            <w:r>
              <w:rPr>
                <w:sz w:val="17"/>
              </w:rPr>
              <w:t>Reported; no width-by-width matrix supplied</w:t>
            </w:r>
          </w:p>
        </w:tc>
      </w:tr>
    </w:tbl>
    <w:p/>
    <w:p>
      <w:pPr>
        <w:pStyle w:val="Heading1"/>
      </w:pPr>
      <w:r>
        <w:t>Concrete staging inventory</w:t>
      </w:r>
    </w:p>
    <w:p>
      <w:r>
        <w:t>At the latest captured point, public API returned only QA Cotton Lot 001 (total 1), with is_demo false, 99.974 kg available and tier values 20000 and 19000 paisa. Seller view displayed QA Import Cotton 001 twice in different states (one archived and one pending review), QA Cotton Lot 002 pending review and Lot 001 published. This is consistent with the DB counts shown; do not describe the import as an active draft without a fresh screenshot.</w:t>
      </w:r>
    </w:p>
    <w:p>
      <w:r>
        <w:t>The invalid CSV result correctly rejected row 2 for quantity out of range and minimum order exceeding available quantity. The API error checks returned safe code/message/correlationId envelopes; this is a narrow manual smoke check, not a full penetration test.</w:t>
      </w:r>
    </w:p>
    <w:p>
      <w:pPr>
        <w:pStyle w:val="Heading1"/>
      </w:pPr>
      <w:r>
        <w:t>Pending and deferred</w:t>
      </w:r>
    </w:p>
    <w:tbl>
      <w:tblPr>
        <w:tblW w:type="auto" w:w="0"/>
        <w:jc w:val="center"/>
        <w:tblLook w:firstColumn="1" w:firstRow="1" w:lastColumn="0" w:lastRow="0" w:noHBand="0" w:noVBand="1" w:val="04A0"/>
      </w:tblPr>
      <w:tblGrid>
        <w:gridCol w:w="4896"/>
        <w:gridCol w:w="4896"/>
      </w:tblGrid>
      <w:tr>
        <w:trPr>
          <w:cantSplit/>
          <w:tblHeader/>
        </w:trPr>
        <w:tc>
          <w:tcPr>
            <w:tcW w:type="dxa" w:w="2304"/>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Item</w:t>
            </w:r>
          </w:p>
        </w:tc>
        <w:tc>
          <w:tcPr>
            <w:tcW w:type="dxa" w:w="7344"/>
            <w:vAlign w:val="center"/>
            <w:tcBorders>
              <w:top w:val="single" w:sz="4" w:color="D9D9D9"/>
              <w:left w:val="single" w:sz="4" w:color="D9D9D9"/>
              <w:bottom w:val="single" w:sz="4" w:color="D9D9D9"/>
              <w:right w:val="single" w:sz="4" w:color="D9D9D9"/>
            </w:tcBorders>
            <w:shd w:fill="18324B"/>
          </w:tcPr>
          <w:p>
            <w:pPr>
              <w:spacing w:after="20"/>
            </w:pPr>
            <w:r>
              <w:rPr>
                <w:b/>
                <w:color w:val="FFFFFF"/>
                <w:sz w:val="17"/>
              </w:rPr>
              <w:t>Why open / next proof</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20"/>
            </w:pPr>
            <w:r>
              <w:rPr>
                <w:sz w:val="17"/>
              </w:rPr>
              <w:t>Section 17 XLSX</w:t>
            </w:r>
          </w:p>
        </w:tc>
        <w:tc>
          <w:tcPr>
            <w:tcW w:type="dxa" w:w="7344"/>
            <w:vAlign w:val="center"/>
            <w:tcBorders>
              <w:top w:val="single" w:sz="4" w:color="D9D9D9"/>
              <w:left w:val="single" w:sz="4" w:color="D9D9D9"/>
              <w:bottom w:val="single" w:sz="4" w:color="D9D9D9"/>
              <w:right w:val="single" w:sz="4" w:color="D9D9D9"/>
            </w:tcBorders>
            <w:shd w:fill="FFFFFF"/>
          </w:tcPr>
          <w:p>
            <w:pPr>
              <w:spacing w:after="20"/>
            </w:pPr>
            <w:r>
              <w:rPr>
                <w:sz w:val="17"/>
              </w:rPr>
              <w:t>Upload valid XLSX, preview one valid row, confirm draft and verify hidden from public discovery.</w:t>
            </w:r>
          </w:p>
        </w:tc>
      </w:tr>
      <w:tr>
        <w:trPr>
          <w:cantSplit/>
        </w:trPr>
        <w:tc>
          <w:tcPr>
            <w:tcW w:type="dxa" w:w="2304"/>
            <w:vAlign w:val="center"/>
            <w:tcBorders>
              <w:top w:val="single" w:sz="4" w:color="D9D9D9"/>
              <w:left w:val="single" w:sz="4" w:color="D9D9D9"/>
              <w:bottom w:val="single" w:sz="4" w:color="D9D9D9"/>
              <w:right w:val="single" w:sz="4" w:color="D9D9D9"/>
            </w:tcBorders>
            <w:shd w:fill="F0F4F7"/>
          </w:tcPr>
          <w:p>
            <w:pPr>
              <w:spacing w:after="20"/>
            </w:pPr>
            <w:r>
              <w:rPr>
                <w:sz w:val="17"/>
              </w:rPr>
              <w:t>Section 20 roles</w:t>
            </w:r>
          </w:p>
        </w:tc>
        <w:tc>
          <w:tcPr>
            <w:tcW w:type="dxa" w:w="7344"/>
            <w:vAlign w:val="center"/>
            <w:tcBorders>
              <w:top w:val="single" w:sz="4" w:color="D9D9D9"/>
              <w:left w:val="single" w:sz="4" w:color="D9D9D9"/>
              <w:bottom w:val="single" w:sz="4" w:color="D9D9D9"/>
              <w:right w:val="single" w:sz="4" w:color="D9D9D9"/>
            </w:tcBorders>
            <w:shd w:fill="F0F4F7"/>
          </w:tcPr>
          <w:p>
            <w:pPr>
              <w:spacing w:after="20"/>
            </w:pPr>
            <w:r>
              <w:rPr>
                <w:sz w:val="17"/>
              </w:rPr>
              <w:t>Owner invites Manager, delegated Staff and non-delegated Manager; accept with controlled inboxes; verify server-denied actions. Explicitly deferred by Raazia.</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20"/>
            </w:pPr>
            <w:r>
              <w:rPr>
                <w:sz w:val="17"/>
              </w:rPr>
              <w:t>Section 21 images</w:t>
            </w:r>
          </w:p>
        </w:tc>
        <w:tc>
          <w:tcPr>
            <w:tcW w:type="dxa" w:w="7344"/>
            <w:vAlign w:val="center"/>
            <w:tcBorders>
              <w:top w:val="single" w:sz="4" w:color="D9D9D9"/>
              <w:left w:val="single" w:sz="4" w:color="D9D9D9"/>
              <w:bottom w:val="single" w:sz="4" w:color="D9D9D9"/>
              <w:right w:val="single" w:sz="4" w:color="D9D9D9"/>
            </w:tcBorders>
            <w:shd w:fill="FFFFFF"/>
          </w:tcPr>
          <w:p>
            <w:pPr>
              <w:spacing w:after="20"/>
            </w:pPr>
            <w:r>
              <w:rPr>
                <w:sz w:val="17"/>
              </w:rPr>
              <w:t>Configure private Supabase image bucket/backend credentials; upload/signed read/public-after-publish/remove/cleanup. Deferred.</w:t>
            </w:r>
          </w:p>
        </w:tc>
      </w:tr>
      <w:tr>
        <w:trPr>
          <w:cantSplit/>
        </w:trPr>
        <w:tc>
          <w:tcPr>
            <w:tcW w:type="dxa" w:w="2304"/>
            <w:vAlign w:val="center"/>
            <w:tcBorders>
              <w:top w:val="single" w:sz="4" w:color="D9D9D9"/>
              <w:left w:val="single" w:sz="4" w:color="D9D9D9"/>
              <w:bottom w:val="single" w:sz="4" w:color="D9D9D9"/>
              <w:right w:val="single" w:sz="4" w:color="D9D9D9"/>
            </w:tcBorders>
            <w:shd w:fill="F0F4F7"/>
          </w:tcPr>
          <w:p>
            <w:pPr>
              <w:spacing w:after="20"/>
            </w:pPr>
            <w:r>
              <w:rPr>
                <w:sz w:val="17"/>
              </w:rPr>
              <w:t>Section 22 DB</w:t>
            </w:r>
          </w:p>
        </w:tc>
        <w:tc>
          <w:tcPr>
            <w:tcW w:type="dxa" w:w="7344"/>
            <w:vAlign w:val="center"/>
            <w:tcBorders>
              <w:top w:val="single" w:sz="4" w:color="D9D9D9"/>
              <w:left w:val="single" w:sz="4" w:color="D9D9D9"/>
              <w:bottom w:val="single" w:sz="4" w:color="D9D9D9"/>
              <w:right w:val="single" w:sz="4" w:color="D9D9D9"/>
            </w:tcBorders>
            <w:shd w:fill="F0F4F7"/>
          </w:tcPr>
          <w:p>
            <w:pPr>
              <w:spacing w:after="20"/>
            </w:pPr>
            <w:r>
              <w:rPr>
                <w:sz w:val="17"/>
              </w:rPr>
              <w:t>Show migration 001 and orphan_images = 0; inspect audit/email delivery without exporting secrets.</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20"/>
            </w:pPr>
            <w:r>
              <w:rPr>
                <w:sz w:val="17"/>
              </w:rPr>
              <w:t>Sections 26–27 automated/hosted</w:t>
            </w:r>
          </w:p>
        </w:tc>
        <w:tc>
          <w:tcPr>
            <w:tcW w:type="dxa" w:w="7344"/>
            <w:vAlign w:val="center"/>
            <w:tcBorders>
              <w:top w:val="single" w:sz="4" w:color="D9D9D9"/>
              <w:left w:val="single" w:sz="4" w:color="D9D9D9"/>
              <w:bottom w:val="single" w:sz="4" w:color="D9D9D9"/>
              <w:right w:val="single" w:sz="4" w:color="D9D9D9"/>
            </w:tcBorders>
            <w:shd w:fill="FFFFFF"/>
          </w:tcPr>
          <w:p>
            <w:pPr>
              <w:spacing w:after="20"/>
            </w:pPr>
            <w:r>
              <w:rPr>
                <w:sz w:val="17"/>
              </w:rPr>
              <w:t>No isolated local PostgreSQL test databases; must never point reset/seed scripts at staging. Hosted Vercel/provider/cron acceptance remains unverified.</w:t>
            </w:r>
          </w:p>
        </w:tc>
      </w:tr>
      <w:tr>
        <w:trPr>
          <w:cantSplit/>
        </w:trPr>
        <w:tc>
          <w:tcPr>
            <w:tcW w:type="dxa" w:w="2304"/>
            <w:vAlign w:val="center"/>
            <w:tcBorders>
              <w:top w:val="single" w:sz="4" w:color="D9D9D9"/>
              <w:left w:val="single" w:sz="4" w:color="D9D9D9"/>
              <w:bottom w:val="single" w:sz="4" w:color="D9D9D9"/>
              <w:right w:val="single" w:sz="4" w:color="D9D9D9"/>
            </w:tcBorders>
            <w:shd w:fill="F0F4F7"/>
          </w:tcPr>
          <w:p>
            <w:pPr>
              <w:spacing w:after="20"/>
            </w:pPr>
            <w:r>
              <w:rPr>
                <w:sz w:val="17"/>
              </w:rPr>
              <w:t>Archive/requirement edges</w:t>
            </w:r>
          </w:p>
        </w:tc>
        <w:tc>
          <w:tcPr>
            <w:tcW w:type="dxa" w:w="7344"/>
            <w:vAlign w:val="center"/>
            <w:tcBorders>
              <w:top w:val="single" w:sz="4" w:color="D9D9D9"/>
              <w:left w:val="single" w:sz="4" w:color="D9D9D9"/>
              <w:bottom w:val="single" w:sz="4" w:color="D9D9D9"/>
              <w:right w:val="single" w:sz="4" w:color="D9D9D9"/>
            </w:tcBorders>
            <w:shd w:fill="F0F4F7"/>
          </w:tcPr>
          <w:p>
            <w:pPr>
              <w:spacing w:after="20"/>
            </w:pPr>
            <w:r>
              <w:rPr>
                <w:sz w:val="17"/>
              </w:rPr>
              <w:t>Archive and additional matching edges deferred where not separately demonstrated; do not count them as passed.</w:t>
            </w:r>
          </w:p>
        </w:tc>
      </w:tr>
    </w:tbl>
    <w:p/>
    <w:p>
      <w:pPr>
        <w:pStyle w:val="Heading1"/>
      </w:pPr>
      <w:r>
        <w:t>What can be claimed now</w:t>
      </w:r>
    </w:p>
    <w:p>
      <w:r>
        <w:t>The local real-data Week 2 catalog smoke journey has working seller inventory, moderation entry, public discovery, buyer matching, CSV validation/import and safe basic API failure handling. The captured DB and curl results support those narrow conclusions. The full Week 2 release gate is not signed off because provider image flow, role invitations, isolated automated suites and hosted deployment/cron checks are outstanding.</w:t>
      </w:r>
    </w:p>
    <w:p>
      <w:r>
        <w:t>Week 3 commerce and Week 4 trust features are not implemented in the checked delivery-status baseline. Orders, My purchases, Impact and some Analytics/Admin views are placeholders. Do not claim live purchasing, completed-order impact, blockchain verification or production readiness.</w:t>
      </w:r>
    </w:p>
    <w:p>
      <w:pPr>
        <w:pStyle w:val="Heading1"/>
      </w:pPr>
      <w:r>
        <w:t>Next actions and ownership</w:t>
      </w:r>
    </w:p>
    <w:p>
      <w:pPr>
        <w:pStyle w:val="ListNumber"/>
      </w:pPr>
      <w:r>
        <w:t>Raazia completes Section 20 role invitations and Section 21 private image flow when ready; finish XLSX and two missing read-only checks.</w:t>
      </w:r>
    </w:p>
    <w:p>
      <w:pPr>
        <w:pStyle w:val="ListNumber"/>
      </w:pPr>
      <w:r>
        <w:t>Teammates clone both repositories and begin separate Week 3/4 draft PRs for contracts, migrations and isolated unit tests. Coordinate the completed-order interface before consuming Week 3 events.</w:t>
      </w:r>
    </w:p>
    <w:p>
      <w:pPr>
        <w:pStyle w:val="ListNumber"/>
      </w:pPr>
      <w:r>
        <w:t>Before a release, provide isolated test databases, run lint/unit/integration/E2E gates and complete hosted seller → reviewer → buyer, SMTP, storage and scheduled cleanup evidence.</w:t>
      </w:r>
    </w:p>
    <w:p>
      <w:pPr>
        <w:pStyle w:val="Heading1"/>
      </w:pPr>
      <w:r>
        <w:t>Sources and reproducibility</w:t>
      </w:r>
    </w:p>
    <w:p>
      <w:r>
        <w:t>Project guide: ReSourcePK Complete Run and Verification Guide, 11 October 2026, Sections 12–29. Repository sources: backend/frontend README and docs/prd.md, docs/tasks.md, docs/architecture.md, docs/rules.md, docs/delivery-status.md on feature/week-2-acceptance. Live evidence: user-provided UI text, three Supabase result screenshots and pasted curl outputs from 14 October 2026. Counts and statuses are point-in-time.</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