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Eshaal Assigned Source Review</w:t>
      </w:r>
    </w:p>
    <w:p>
      <w:r>
        <w:t>Operating Systems CEP Topic 23 | 22 October 2026</w:t>
      </w:r>
    </w:p>
    <w:p>
      <w:r>
        <w:t>Eight report copies, seven unique studies. First source review prepared at Raazia’s request; human independent signoff remains pending.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1701"/>
        <w:gridCol w:w="3628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after="60"/>
            </w:pPr>
            <w:r>
              <w:rPr>
                <w:sz w:val="18"/>
              </w:rPr>
              <w:t>Item</w:t>
            </w:r>
          </w:p>
        </w:tc>
        <w:tc>
          <w:tcPr>
            <w:tcW w:type="dxa" w:w="1701"/>
          </w:tcPr>
          <w:p>
            <w:pPr>
              <w:spacing w:after="60"/>
            </w:pPr>
            <w:r>
              <w:rPr>
                <w:sz w:val="18"/>
              </w:rPr>
              <w:t>Reviewed</w:t>
            </w:r>
          </w:p>
        </w:tc>
        <w:tc>
          <w:tcPr>
            <w:tcW w:type="dxa" w:w="3628"/>
          </w:tcPr>
          <w:p>
            <w:pPr>
              <w:spacing w:after="60"/>
            </w:pPr>
            <w:r>
              <w:rPr>
                <w:sz w:val="18"/>
              </w:rPr>
              <w:t>Remaining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60"/>
            </w:pPr>
            <w:r>
              <w:rPr>
                <w:sz w:val="18"/>
              </w:rPr>
              <w:t>Primary-study QA items</w:t>
            </w:r>
          </w:p>
        </w:tc>
        <w:tc>
          <w:tcPr>
            <w:tcW w:type="dxa" w:w="1701"/>
          </w:tcPr>
          <w:p>
            <w:pPr>
              <w:spacing w:after="60"/>
            </w:pPr>
            <w:r>
              <w:rPr>
                <w:sz w:val="18"/>
              </w:rPr>
              <w:t>70</w:t>
            </w:r>
          </w:p>
        </w:tc>
        <w:tc>
          <w:tcPr>
            <w:tcW w:type="dxa" w:w="3628"/>
          </w:tcPr>
          <w:p>
            <w:pPr>
              <w:spacing w:after="60"/>
            </w:pPr>
            <w:r>
              <w:rPr>
                <w:sz w:val="18"/>
              </w:rPr>
              <w:t>Independent adjudication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60"/>
            </w:pPr>
            <w:r>
              <w:rPr>
                <w:sz w:val="18"/>
              </w:rPr>
              <w:t>Report eligibility criteria</w:t>
            </w:r>
          </w:p>
        </w:tc>
        <w:tc>
          <w:tcPr>
            <w:tcW w:type="dxa" w:w="1701"/>
          </w:tcPr>
          <w:p>
            <w:pPr>
              <w:spacing w:after="60"/>
            </w:pPr>
            <w:r>
              <w:rPr>
                <w:sz w:val="18"/>
              </w:rPr>
              <w:t>48</w:t>
            </w:r>
          </w:p>
        </w:tc>
        <w:tc>
          <w:tcPr>
            <w:tcW w:type="dxa" w:w="3628"/>
          </w:tcPr>
          <w:p>
            <w:pPr>
              <w:spacing w:after="60"/>
            </w:pPr>
            <w:r>
              <w:rPr>
                <w:sz w:val="18"/>
              </w:rPr>
              <w:t>Human independent checks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60"/>
            </w:pPr>
            <w:r>
              <w:rPr>
                <w:sz w:val="18"/>
              </w:rPr>
              <w:t>Retained outcomes</w:t>
            </w:r>
          </w:p>
        </w:tc>
        <w:tc>
          <w:tcPr>
            <w:tcW w:type="dxa" w:w="1701"/>
          </w:tcPr>
          <w:p>
            <w:pPr>
              <w:spacing w:after="60"/>
            </w:pPr>
            <w:r>
              <w:rPr>
                <w:sz w:val="18"/>
              </w:rPr>
              <w:t>30</w:t>
            </w:r>
          </w:p>
        </w:tc>
        <w:tc>
          <w:tcPr>
            <w:tcW w:type="dxa" w:w="3628"/>
          </w:tcPr>
          <w:p>
            <w:pPr>
              <w:spacing w:after="60"/>
            </w:pPr>
            <w:r>
              <w:rPr>
                <w:sz w:val="18"/>
              </w:rPr>
              <w:t>Independent source checks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60"/>
            </w:pPr>
            <w:r>
              <w:rPr>
                <w:sz w:val="18"/>
              </w:rPr>
              <w:t>Methodology audit findings</w:t>
            </w:r>
          </w:p>
        </w:tc>
        <w:tc>
          <w:tcPr>
            <w:tcW w:type="dxa" w:w="1701"/>
          </w:tcPr>
          <w:p>
            <w:pPr>
              <w:spacing w:after="60"/>
            </w:pPr>
            <w:r>
              <w:rPr>
                <w:sz w:val="18"/>
              </w:rPr>
              <w:t>14</w:t>
            </w:r>
          </w:p>
        </w:tc>
        <w:tc>
          <w:tcPr>
            <w:tcW w:type="dxa" w:w="3628"/>
          </w:tcPr>
          <w:p>
            <w:pPr>
              <w:spacing w:after="60"/>
            </w:pPr>
            <w:r>
              <w:rPr>
                <w:sz w:val="18"/>
              </w:rPr>
              <w:t>Coverage/provenance issues listed below</w:t>
            </w:r>
          </w:p>
        </w:tc>
      </w:tr>
    </w:tbl>
    <w:p>
      <w:r>
        <w:t>Original QA scores and frozen baseline are preserved. The source-based review verifies retained values and identifies interpretation/version corrections. It is not a rerun of experiments or a complete census of all screening decisions.</w:t>
      </w:r>
    </w:p>
    <w:p>
      <w:r>
        <w:t>The three packages now cover all20included studies. Master integration is complete. The20study target is met; independent human checks,559record selection and historical search limitations remain open.</w:t>
      </w:r>
    </w:p>
    <w:p>
      <w:pPr>
        <w:pStyle w:val="Heading1"/>
      </w:pPr>
      <w:r>
        <w:t>Main corrections</w:t>
      </w:r>
    </w:p>
    <w:p>
      <w:r>
        <w:t>ES01 / P001 E001 E002: PDFpp16-17 / printed458-459; GPU-specific TensorRT/Poisson context retained. Source: Figure14 and section6.7</w:t>
      </w:r>
    </w:p>
    <w:p>
      <w:r>
        <w:t>ES02 / P002: Final typeset TPDS copy inspected; correct Xplore article identifier10002315; retain source URL/hash. Source: Final DOI/title/page1 and IEEE metadata</w:t>
      </w:r>
    </w:p>
    <w:p>
      <w:r>
        <w:t>ES03 / P004: Retain under separable single-GPU inference evidence; Table3 is added mean overhead,not P99/total latency. Source: PDFpp11-12</w:t>
      </w:r>
    </w:p>
    <w:p>
      <w:r>
        <w:t>ES04 / P005 P023: SameS005 per explicit extension statement; conferenceAMD results distinct from journalNVIDIA/LLM additions. Source: P023p1;pp23-24,31-33</w:t>
      </w:r>
    </w:p>
    <w:p>
      <w:r>
        <w:t>ES05 / P023: Keep implementations separate; TVM0.8/Ubuntu18.04/16GBhost versus TVM0.14/Ubuntu20.04/32GBhost. Source: P005p11;P023p23</w:t>
      </w:r>
    </w:p>
    <w:p>
      <w:r>
        <w:t>ES06 / P003 E006: CDF across co-location scenarios; no requestP90/P99 inference. Source: PDFp6;Figure7</w:t>
      </w:r>
    </w:p>
    <w:p>
      <w:r>
        <w:t>ES07 / P006 E028: Added empty-kernel instrumentationP90 overhead at160blocks with aggregation. Source: PDFp12;Figure15</w:t>
      </w:r>
    </w:p>
    <w:p>
      <w:r>
        <w:t>ES08 / P007: Same trust domain; reconstructedREEF-N comparator and aggregate throughput conditions retained. Source: PDFpp9,12-13</w:t>
      </w:r>
    </w:p>
    <w:p>
      <w:r>
        <w:t>ES09 / All studies Q9: Retain assessed scores in Eshaal package; flag team calibration before final master totals. Source: SubmittedQ9;Raazia/Rameen proposals;source anchors</w:t>
      </w:r>
    </w:p>
    <w:p>
      <w:r>
        <w:t>ES10 / P002 P003 P005: Q9=2 for direct claim-specific performance interference tests; P003 Q10=2 for versioned artifact appendix. Original scores remain visible.. Source: Source anchors in QA rows; common Q9 rubric applied without extrapolating to security/fault isolation</w:t>
      </w:r>
    </w:p>
    <w:p>
      <w:pPr>
        <w:pStyle w:val="Heading1"/>
        <w:pageBreakBefore/>
      </w:pPr>
      <w:r>
        <w:t>S001 / P001 - VastPipe</w:t>
      </w:r>
    </w:p>
    <w:p>
      <w:r>
        <w:t>Version: Journal typeset copy with cover; article startsPDFp2</w:t>
      </w:r>
    </w:p>
    <w:p>
      <w:r>
        <w:t>Source: https://jcst.ict.ac.cn/en/article/pdf/preview/10.1007/s11390-024-3773-5.pdf</w:t>
      </w:r>
    </w:p>
    <w:p>
      <w:r>
        <w:t>DOI/proceedings: 10.1007/s11390-024-3773-5</w:t>
      </w:r>
    </w:p>
    <w:p>
      <w:r>
        <w:t>PDF pages: 21. SHA256: 38451986cdaeb1f903822f9b30969b2b08ca652bfd487838ebefe020e7ef5552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8844"/>
      </w:tblGrid>
      <w:tr>
        <w:trPr>
          <w:tblHeader/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Criterion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Finding and source anchor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IC1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English peer-reviewed report identity matched to title,DOI/proceedings and year. Journal typeset copy with cover; article startsPDFp2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IC2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Local sharing mechanism inspectable. PDF pp16-17; sections6.7-6.8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IC3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Inference workload identified; mixed training cases retained only for separable inference. PDF pp16-17; Figures14-16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IC4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Relevant measured outcomes and methods inspectable. PDF p17 / printed459; Figure14 onp16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IC5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Within-one-GPU evidence distinguishable from cluster outcomes. PDF pp16-17; Figures14-16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IC6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Publication year lies in2020-2026 main window. Title/metadata</w:t>
            </w:r>
          </w:p>
        </w:tc>
      </w:tr>
    </w:tbl>
    <w:p>
      <w:pPr>
        <w:pStyle w:val="Heading2"/>
      </w:pPr>
      <w:r>
        <w:t>Quality appraisal</w:t>
      </w:r>
    </w:p>
    <w:p>
      <w:r>
        <w:t>Original QA: 13/18; current appraised QA: 13/18. Source-based calibration is logged; independent adjudication remains pending.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794"/>
        <w:gridCol w:w="8391"/>
      </w:tblGrid>
      <w:tr>
        <w:trPr>
          <w:tblHeader/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Item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Score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Rationale and anchor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Q1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Local GPU portability and throughput objective are explicit; NPU cluster results are excluded from this extracted stratum. PDF pp2,16-17; section6.7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Q2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RL-tuned MPS allocation and MI100 CU-mask backend are described. PDF pp16-17; sections6.7-6.8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Q3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GPU throughput provenance is clear, but GPU-specific repeated-run uncertainty is not established. PDF pp16-18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Q4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A100/TensorRT and MI100/TVM/ROCm are named; exact versions, GPU batch/rate and tuned quotas remain incomplete. PDF pp16-17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Q5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Same A100 no/default/tuned MPS comparison; default means unspecified respective quotas. PDF pp16-17; Figure14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Q6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2.7x versus noMPS and1.5x versus defaultMPS are explicit for VGG16+GoogLeNet; not universal averages. PDF p17 / printed459; Figure14 onp16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Q7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No online latency claim in the retained local GPU outcomes; NPU results cannot fill this item. PDF pp16-17; sections6.7-6.8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Q8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Several paired CV/NLP model co-locations are measured. PDF pp16-17; Figures14-16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Q9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Performance sharing is measured; separate security/fault validation is not established. Q9 calibration remains flagged. PDF pp16-17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Q10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Stable-mix Q-table assumption and retuning for changed demand are explicit; GPU replication detail remains incomplete. PDF p17; section6.9</w:t>
            </w:r>
          </w:p>
        </w:tc>
      </w:tr>
    </w:tbl>
    <w:p>
      <w:pPr>
        <w:pStyle w:val="Heading2"/>
      </w:pPr>
      <w:r>
        <w:t>Checked retained outcomes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2835"/>
        <w:gridCol w:w="6180"/>
      </w:tblGrid>
      <w:tr>
        <w:trPr>
          <w:tblHeader/>
          <w:cantSplit/>
        </w:trPr>
        <w:tc>
          <w:tcPr>
            <w:tcW w:type="dxa" w:w="850"/>
          </w:tcPr>
          <w:p>
            <w:pPr>
              <w:spacing w:after="60"/>
            </w:pPr>
            <w:r>
              <w:rPr>
                <w:sz w:val="18"/>
              </w:rPr>
              <w:t>Evidence</w:t>
            </w:r>
          </w:p>
        </w:tc>
        <w:tc>
          <w:tcPr>
            <w:tcW w:type="dxa" w:w="2835"/>
          </w:tcPr>
          <w:p>
            <w:pPr>
              <w:spacing w:after="60"/>
            </w:pPr>
            <w:r>
              <w:rPr>
                <w:sz w:val="18"/>
              </w:rPr>
              <w:t>Value and metric</w:t>
            </w:r>
          </w:p>
        </w:tc>
        <w:tc>
          <w:tcPr>
            <w:tcW w:type="dxa" w:w="6180"/>
          </w:tcPr>
          <w:p>
            <w:pPr>
              <w:spacing w:after="60"/>
            </w:pPr>
            <w:r>
              <w:rPr>
                <w:sz w:val="18"/>
              </w:rPr>
              <w:t>Context and anchor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/>
            </w:pPr>
            <w:r>
              <w:rPr>
                <w:sz w:val="18"/>
              </w:rPr>
              <w:t>E001</w:t>
            </w:r>
          </w:p>
        </w:tc>
        <w:tc>
          <w:tcPr>
            <w:tcW w:type="dxa" w:w="2835"/>
          </w:tcPr>
          <w:p>
            <w:pPr>
              <w:spacing w:after="60"/>
            </w:pPr>
            <w:r>
              <w:rPr>
                <w:sz w:val="18"/>
              </w:rPr>
              <w:t>2.7 x; Throughput ratio</w:t>
            </w:r>
          </w:p>
        </w:tc>
        <w:tc>
          <w:tcPr>
            <w:tcW w:type="dxa" w:w="6180"/>
          </w:tcPr>
          <w:p>
            <w:pPr>
              <w:spacing w:after="60"/>
            </w:pPr>
            <w:r>
              <w:rPr>
                <w:sz w:val="18"/>
              </w:rPr>
              <w:t>NVIDIA A100. VGG16+GoogLeNet. Baseline: No MPS. PDF pp16-17 / printed458-459; Figure14; section6.7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/>
            </w:pPr>
            <w:r>
              <w:rPr>
                <w:sz w:val="18"/>
              </w:rPr>
              <w:t>E002</w:t>
            </w:r>
          </w:p>
        </w:tc>
        <w:tc>
          <w:tcPr>
            <w:tcW w:type="dxa" w:w="2835"/>
          </w:tcPr>
          <w:p>
            <w:pPr>
              <w:spacing w:after="60"/>
            </w:pPr>
            <w:r>
              <w:rPr>
                <w:sz w:val="18"/>
              </w:rPr>
              <w:t>1.5 x; Throughput ratio</w:t>
            </w:r>
          </w:p>
        </w:tc>
        <w:tc>
          <w:tcPr>
            <w:tcW w:type="dxa" w:w="6180"/>
          </w:tcPr>
          <w:p>
            <w:pPr>
              <w:spacing w:after="60"/>
            </w:pPr>
            <w:r>
              <w:rPr>
                <w:sz w:val="18"/>
              </w:rPr>
              <w:t>NVIDIA A100. VGG16+GoogLeNet. Baseline: Default MPS. PDF pp16-17 / printed458-459; Figure14; section6.7</w:t>
            </w:r>
          </w:p>
        </w:tc>
      </w:tr>
    </w:tbl>
    <w:p>
      <w:r>
        <w:t>2.7x and1.5x match paired-model prose. TensorRT and Poisson model-count description are available; exact rate,batch and tuned quotas remain unresolved. Abstract/global headline is not substituted.</w:t>
      </w:r>
    </w:p>
    <w:p>
      <w:pPr>
        <w:pStyle w:val="Heading1"/>
        <w:pageBreakBefore/>
      </w:pPr>
      <w:r>
        <w:t>S002 / P002 - iGniter</w:t>
      </w:r>
    </w:p>
    <w:p>
      <w:r>
        <w:t>Version: Final IEEE TPDS34(3),812-827,2023 typeset copy; matched DOI and retained values</w:t>
      </w:r>
    </w:p>
    <w:p>
      <w:r>
        <w:t>Source: https://prefer-nsf.org/pdf/IEEE%20TPDS%20_%20igniter%202023.pdf</w:t>
      </w:r>
    </w:p>
    <w:p>
      <w:r>
        <w:t>DOI/proceedings: 10.1109/TPDS.2022.3232715</w:t>
      </w:r>
    </w:p>
    <w:p>
      <w:r>
        <w:t>PDF pages: 16. SHA256: 52a6e65fcdc3129dea7d878a089dc7d1c151b6f7ee08e4cd845e22598ca66f79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8844"/>
      </w:tblGrid>
      <w:tr>
        <w:trPr>
          <w:tblHeader/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Criterion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Finding and source anchor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IC1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English peer-reviewed report identity matched to title,DOI/proceedings and year. Final IEEE TPDS34(3),812-827,2023 typeset copy; matched DOI and retained values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IC2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Local sharing mechanism inspectable. Final PDF pp8-10; section4.2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IC3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Inference workload identified; mixed training cases retained only for separable inference. Final PDF p11; Figure13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IC4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Relevant measured outcomes and methods inspectable. Final PDF pp10-13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IC5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Within-one-GPU evidence distinguishable from cluster outcomes. Final PDF p11; Figure13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IC6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Publication year lies in2020-2026 main window. Title/metadata</w:t>
            </w:r>
          </w:p>
        </w:tc>
      </w:tr>
    </w:tbl>
    <w:p>
      <w:pPr>
        <w:pStyle w:val="Heading2"/>
      </w:pPr>
      <w:r>
        <w:t>Quality appraisal</w:t>
      </w:r>
    </w:p>
    <w:p>
      <w:r>
        <w:t>Original QA: 17/20; current appraised QA: 18/20. Source-based calibration is logged; independent adjudication remains pending.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794"/>
        <w:gridCol w:w="8391"/>
      </w:tblGrid>
      <w:tr>
        <w:trPr>
          <w:tblHeader/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Item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Score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Rationale and anchor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Q1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Predictable cost-efficient inference provisioning is the stated objective. Final PDF p1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Q2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MPS active-thread allocation, placement and shadow-Triton recovery are specified. Final PDF pp8-10; section4.2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Q3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Model validation repeats three times with SD bars; resource plan and P99 observation windows are described. Final PDF pp10-12; sections5.2-5.3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Q4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V100 instances, four models and batch/arrival settings are given; exact OS/driver coverage remains incomplete. Final PDF p10; Table3; section5.1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Q5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GSLICE+ and gpulets+ are modified; batch/allocation objectives differ and modifications must remain visible. Final PDF p10; Baselines and Metrics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Q6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Cost, allocation and throughput are separately defined; cluster cost is not local GPU throughput. Final PDF pp10-13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Q7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P99 over e.g.30seconds and first-second15.6ms versus10ms SLO, then shadow activation at1.5seconds are explicit. Final PDF pp11-12; section5.3; Figure17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Q8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Four co-located models with25% allocation and batch3 test local interference. Final PDF p11; Figure13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Q9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Q9=2 for direct measured performance-interference evaluation within the stated service scope; this does not establish security or fault isolation. PDF pp8-10; interference/provisioning evaluation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Q10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Profiling cost and PCIe/prediction assumptions are disclosed; source code identified in final article. Final PDF pp11,13-14; sections5.4,6</w:t>
            </w:r>
          </w:p>
        </w:tc>
      </w:tr>
    </w:tbl>
    <w:p>
      <w:pPr>
        <w:pStyle w:val="Heading2"/>
      </w:pPr>
      <w:r>
        <w:t>Checked retained outcomes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2835"/>
        <w:gridCol w:w="6180"/>
      </w:tblGrid>
      <w:tr>
        <w:trPr>
          <w:tblHeader/>
          <w:cantSplit/>
        </w:trPr>
        <w:tc>
          <w:tcPr>
            <w:tcW w:type="dxa" w:w="850"/>
          </w:tcPr>
          <w:p>
            <w:pPr>
              <w:spacing w:after="60"/>
            </w:pPr>
            <w:r>
              <w:rPr>
                <w:sz w:val="18"/>
              </w:rPr>
              <w:t>Evidence</w:t>
            </w:r>
          </w:p>
        </w:tc>
        <w:tc>
          <w:tcPr>
            <w:tcW w:type="dxa" w:w="2835"/>
          </w:tcPr>
          <w:p>
            <w:pPr>
              <w:spacing w:after="60"/>
            </w:pPr>
            <w:r>
              <w:rPr>
                <w:sz w:val="18"/>
              </w:rPr>
              <w:t>Value and metric</w:t>
            </w:r>
          </w:p>
        </w:tc>
        <w:tc>
          <w:tcPr>
            <w:tcW w:type="dxa" w:w="6180"/>
          </w:tcPr>
          <w:p>
            <w:pPr>
              <w:spacing w:after="60"/>
            </w:pPr>
            <w:r>
              <w:rPr>
                <w:sz w:val="18"/>
              </w:rPr>
              <w:t>Context and anchor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/>
            </w:pPr>
            <w:r>
              <w:rPr>
                <w:sz w:val="18"/>
              </w:rPr>
              <w:t>E003</w:t>
            </w:r>
          </w:p>
        </w:tc>
        <w:tc>
          <w:tcPr>
            <w:tcW w:type="dxa" w:w="2835"/>
          </w:tcPr>
          <w:p>
            <w:pPr>
              <w:spacing w:after="60"/>
            </w:pPr>
            <w:r>
              <w:rPr>
                <w:sz w:val="18"/>
              </w:rPr>
              <w:t>1.53-5.02 percent; Prediction error range</w:t>
            </w:r>
          </w:p>
        </w:tc>
        <w:tc>
          <w:tcPr>
            <w:tcW w:type="dxa" w:w="6180"/>
          </w:tcPr>
          <w:p>
            <w:pPr>
              <w:spacing w:after="60"/>
            </w:pPr>
            <w:r>
              <w:rPr>
                <w:sz w:val="18"/>
              </w:rPr>
              <w:t>NVIDIA V100. AlexNet/ResNet50/VGG19/SSD; batch3. Baseline: Measured local latency. Final PDF p11 / printed822; Figure13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/>
            </w:pPr>
            <w:r>
              <w:rPr>
                <w:sz w:val="18"/>
              </w:rPr>
              <w:t>E004</w:t>
            </w:r>
          </w:p>
        </w:tc>
        <w:tc>
          <w:tcPr>
            <w:tcW w:type="dxa" w:w="2835"/>
          </w:tcPr>
          <w:p>
            <w:pPr>
              <w:spacing w:after="60"/>
            </w:pPr>
            <w:r>
              <w:rPr>
                <w:sz w:val="18"/>
              </w:rPr>
              <w:t>15.6 ms; Initial p99 latency</w:t>
            </w:r>
          </w:p>
        </w:tc>
        <w:tc>
          <w:tcPr>
            <w:tcW w:type="dxa" w:w="6180"/>
          </w:tcPr>
          <w:p>
            <w:pPr>
              <w:spacing w:after="60"/>
            </w:pPr>
            <w:r>
              <w:rPr>
                <w:sz w:val="18"/>
              </w:rPr>
              <w:t>NVIDIA V100. W1 with W5 and W11. Baseline: W1 latency SLO10ms. Final PDF p12 / printed823; Figure17; section5.3</w:t>
            </w:r>
          </w:p>
        </w:tc>
      </w:tr>
    </w:tbl>
    <w:p>
      <w:r>
        <w:t>Prediction error range and transient P99 violation verified in final typeset copy; distinguish arXiv page offsets and final printed pages.</w:t>
      </w:r>
    </w:p>
    <w:p>
      <w:pPr>
        <w:pStyle w:val="Heading1"/>
        <w:pageBreakBefore/>
      </w:pPr>
      <w:r>
        <w:t>S003 / P003 - gpulets</w:t>
      </w:r>
    </w:p>
    <w:p>
      <w:r>
        <w:t>Version: USENIX ATC2022 proceedings with cover</w:t>
      </w:r>
    </w:p>
    <w:p>
      <w:r>
        <w:t>Source: https://www.usenix.org/system/files/atc22-choi-seungbeom.pdf</w:t>
      </w:r>
    </w:p>
    <w:p>
      <w:r>
        <w:t>DOI/proceedings: USENIX proceedings (no DOI assigned)</w:t>
      </w:r>
    </w:p>
    <w:p>
      <w:r>
        <w:t>PDF pages: 18. SHA256: 8b3ec8c3ac38f3d1fbe29361e65a6f8afee5ae8f9fca57b1e30ff15466027a9f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8844"/>
      </w:tblGrid>
      <w:tr>
        <w:trPr>
          <w:tblHeader/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Criterion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Finding and source anchor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IC1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English peer-reviewed report identity matched to title,DOI/proceedings and year. USENIX ATC2022 proceedings with cover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IC2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Local sharing mechanism inspectable. PDF pp7-10; sections4-5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IC3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Inference workload identified; mixed training cases retained only for separable inference. PDF p6; section3.4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IC4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Relevant measured outcomes and methods inspectable. PDF p11; section5.2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IC5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Within-one-GPU evidence distinguishable from cluster outcomes. PDF p6; section3.4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IC6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Publication year lies in2020-2026 main window. Title/metadata</w:t>
            </w:r>
          </w:p>
        </w:tc>
      </w:tr>
    </w:tbl>
    <w:p>
      <w:pPr>
        <w:pStyle w:val="Heading2"/>
      </w:pPr>
      <w:r>
        <w:t>Quality appraisal</w:t>
      </w:r>
    </w:p>
    <w:p>
      <w:r>
        <w:t>Original QA: 18/20; current appraised QA: 20/20. Source-based calibration is logged; independent adjudication remains pending.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794"/>
        <w:gridCol w:w="8391"/>
      </w:tblGrid>
      <w:tr>
        <w:trPr>
          <w:tblHeader/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Item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Score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Rationale and anchor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Q1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SLO-aware spatio-temporal sharing objective is explicit. PDF pp2-3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Q2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MPS gpulet partitioning, scheduling, interference model and process replacement are described. PDF pp7-10; sections4-5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Q3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Poisson arrivals and three repetitions with median result are explicit. PDF pp10-11; section5.1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Q4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CPU,RTX2080Ti,OS,driver,CUDA,PyTorch and models are tabulated. PDF p10; Tables2-3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Q5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Ported SBP and greedy best-fit conditions, and why full Nexus is not compared, are explained. PDF p10; section5.1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Q6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SLO-preserved throughput is maximum rate with99% requests within SLO; multi-GPU results not substituted for local CDF. PDF p11; section5.2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Q7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17.66% is the90%-of-scenarios overhead threshold, not requestP90/P99. PDF p6 / printed203; Figure7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Q8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250 model/batch combinations across partition ratios test local interference. PDF p6; section3.4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Q9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Q9=2 for direct measured interference and allocation-boundary evaluation; no hostile-tenant security guarantee is inferred. PDF pp3-4,8-12; sections3 and5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Q10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Artifact appendix provides versioned dependencies, Docker/build/run instructions and limitations; availability/replicability reporting is scored without claiming a local replication. Zenodo 10.5281/zenodo.6544909 and casys-kaist/glet are supplied. PDF pp17-18; artifact appendix: Ubuntu18.04/kernel4.15, LibTorch1.10, CUDA&gt;=10.2, cuDNN&gt;=7.6, Boost&gt;=1.6, OpenCV&gt;=4, CMake&gt;=3.19</w:t>
            </w:r>
          </w:p>
        </w:tc>
      </w:tr>
    </w:tbl>
    <w:p>
      <w:pPr>
        <w:pStyle w:val="Heading2"/>
      </w:pPr>
      <w:r>
        <w:t>Checked retained outcomes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2835"/>
        <w:gridCol w:w="6180"/>
      </w:tblGrid>
      <w:tr>
        <w:trPr>
          <w:tblHeader/>
          <w:cantSplit/>
        </w:trPr>
        <w:tc>
          <w:tcPr>
            <w:tcW w:type="dxa" w:w="850"/>
          </w:tcPr>
          <w:p>
            <w:pPr>
              <w:spacing w:after="60"/>
            </w:pPr>
            <w:r>
              <w:rPr>
                <w:sz w:val="18"/>
              </w:rPr>
              <w:t>Evidence</w:t>
            </w:r>
          </w:p>
        </w:tc>
        <w:tc>
          <w:tcPr>
            <w:tcW w:type="dxa" w:w="2835"/>
          </w:tcPr>
          <w:p>
            <w:pPr>
              <w:spacing w:after="60"/>
            </w:pPr>
            <w:r>
              <w:rPr>
                <w:sz w:val="18"/>
              </w:rPr>
              <w:t>Value and metric</w:t>
            </w:r>
          </w:p>
        </w:tc>
        <w:tc>
          <w:tcPr>
            <w:tcW w:type="dxa" w:w="6180"/>
          </w:tcPr>
          <w:p>
            <w:pPr>
              <w:spacing w:after="60"/>
            </w:pPr>
            <w:r>
              <w:rPr>
                <w:sz w:val="18"/>
              </w:rPr>
              <w:t>Context and anchor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/>
            </w:pPr>
            <w:r>
              <w:rPr>
                <w:sz w:val="18"/>
              </w:rPr>
              <w:t>E006</w:t>
            </w:r>
          </w:p>
        </w:tc>
        <w:tc>
          <w:tcPr>
            <w:tcW w:type="dxa" w:w="2835"/>
          </w:tcPr>
          <w:p>
            <w:pPr>
              <w:spacing w:after="60"/>
            </w:pPr>
            <w:r>
              <w:rPr>
                <w:sz w:val="18"/>
              </w:rPr>
              <w:t>17.66 percent overhead below threshold; Distribution threshold:90% of measured pairs</w:t>
            </w:r>
          </w:p>
        </w:tc>
        <w:tc>
          <w:tcPr>
            <w:tcW w:type="dxa" w:w="6180"/>
          </w:tcPr>
          <w:p>
            <w:pPr>
              <w:spacing w:after="60"/>
            </w:pPr>
            <w:r>
              <w:rPr>
                <w:sz w:val="18"/>
              </w:rPr>
              <w:t>RTX2080Ti11GB. Paired model inferences. Baseline: Solo-running latency. PDF p6 / printed203; Figure7; section3.4</w:t>
            </w:r>
          </w:p>
        </w:tc>
      </w:tr>
    </w:tbl>
    <w:p>
      <w:r>
        <w:t>90% refers to model/batch/partition scenarios, not request-tail percentile.17.66% plotted threshold matches retained value.</w:t>
      </w:r>
    </w:p>
    <w:p>
      <w:pPr>
        <w:pStyle w:val="Heading1"/>
        <w:pageBreakBefore/>
      </w:pPr>
      <w:r>
        <w:t>S004 / P004 - PipeSwitch</w:t>
      </w:r>
    </w:p>
    <w:p>
      <w:r>
        <w:t>Version: USENIX OSDI2020 proceedings with cover</w:t>
      </w:r>
    </w:p>
    <w:p>
      <w:r>
        <w:t>Source: https://www.usenix.org/system/files/osdi20-bai.pdf</w:t>
      </w:r>
    </w:p>
    <w:p>
      <w:r>
        <w:t>DOI/proceedings: USENIX proceedings (no DOI assigned)</w:t>
      </w:r>
    </w:p>
    <w:p>
      <w:r>
        <w:t>PDF pages: 17. SHA256: bda339767febf69c5aaf9091fbfef42f3073df27c7f1a30b8973dd7867e7c0aa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8844"/>
      </w:tblGrid>
      <w:tr>
        <w:trPr>
          <w:tblHeader/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Criterion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Finding and source anchor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IC1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English peer-reviewed report identity matched to title,DOI/proceedings and year. USENIX OSDI2020 proceedings with cover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IC2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Local sharing mechanism inspectable. PDF pp6-11; section4-5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IC3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Inference workload identified; mixed training cases retained only for separable inference. PDF p11; Workloads and section6.1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IC4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Relevant measured outcomes and methods inspectable. PDF pp12-13; Figure6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IC5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Within-one-GPU evidence distinguishable from cluster outcomes. PDF p11; Workloads and section6.1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IC6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Publication year lies in2020-2026 main window. Title/metadata</w:t>
            </w:r>
          </w:p>
        </w:tc>
      </w:tr>
    </w:tbl>
    <w:p>
      <w:pPr>
        <w:pStyle w:val="Heading2"/>
      </w:pPr>
      <w:r>
        <w:t>Quality appraisal</w:t>
      </w:r>
    </w:p>
    <w:p>
      <w:r>
        <w:t>Original QA: 17/20; current appraised QA: 17/20. Source-based calibration is logged; independent adjudication remains pending.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794"/>
        <w:gridCol w:w="8391"/>
      </w:tblGrid>
      <w:tr>
        <w:trPr>
          <w:tblHeader/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Item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Score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Rationale and anchor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Q1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Time-sharing and fast context-switching between training/inference tasks are explicit. PDF p2; abstract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Q2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Pipelined transmission, controller, daemon and active/standby workers are specified. PDF pp6-11; section4-5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Q3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100-run means and Figure6 min/max are explicitly reported. PDF p11; Metrics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Q4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V100/T4,PCIe,memory,PyTorch1.3.0 andCUDA10.1 given; exact OS/kernel/driver unresolved. PDF p11; Setup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Q5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Ready-model baseline, same modified PyTorch and MPS full-memory/unified-memory swapping condition are explicit. PDF pp11-12; section6.1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Q6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Utilization is throughput relative to ready-model upper bound; eight-instance scheduling-cycle result kept distinct from local table. PDF pp12-13; Figure6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Q7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Table3 subtracts ready-model latency; it reports added mean overhead, not total latency or P99. PDF pp11-12; Table3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Q8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Single-GPU training-preempted-by-inference workload has separate inference latency; qualifies under mixed-workload rule. PDF p11; Workloads and section6.1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Q9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Process/memory control is described, but independent hostile-client/fault experiment is not established. PDF pp8-11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Q10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Stack versions, model registration and checkpoint dependence supplied; full reproduction configuration remains incomplete. PDF pp10-11; sections5-6</w:t>
            </w:r>
          </w:p>
        </w:tc>
      </w:tr>
    </w:tbl>
    <w:p>
      <w:pPr>
        <w:pStyle w:val="Heading2"/>
      </w:pPr>
      <w:r>
        <w:t>Checked retained outcomes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2835"/>
        <w:gridCol w:w="6180"/>
      </w:tblGrid>
      <w:tr>
        <w:trPr>
          <w:tblHeader/>
          <w:cantSplit/>
        </w:trPr>
        <w:tc>
          <w:tcPr>
            <w:tcW w:type="dxa" w:w="850"/>
          </w:tcPr>
          <w:p>
            <w:pPr>
              <w:spacing w:after="60"/>
            </w:pPr>
            <w:r>
              <w:rPr>
                <w:sz w:val="18"/>
              </w:rPr>
              <w:t>Evidence</w:t>
            </w:r>
          </w:p>
        </w:tc>
        <w:tc>
          <w:tcPr>
            <w:tcW w:type="dxa" w:w="2835"/>
          </w:tcPr>
          <w:p>
            <w:pPr>
              <w:spacing w:after="60"/>
            </w:pPr>
            <w:r>
              <w:rPr>
                <w:sz w:val="18"/>
              </w:rPr>
              <w:t>Value and metric</w:t>
            </w:r>
          </w:p>
        </w:tc>
        <w:tc>
          <w:tcPr>
            <w:tcW w:type="dxa" w:w="6180"/>
          </w:tcPr>
          <w:p>
            <w:pPr>
              <w:spacing w:after="60"/>
            </w:pPr>
            <w:r>
              <w:rPr>
                <w:sz w:val="18"/>
              </w:rPr>
              <w:t>Context and anchor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/>
            </w:pPr>
            <w:r>
              <w:rPr>
                <w:sz w:val="18"/>
              </w:rPr>
              <w:t>E005</w:t>
            </w:r>
          </w:p>
        </w:tc>
        <w:tc>
          <w:tcPr>
            <w:tcW w:type="dxa" w:w="2835"/>
          </w:tcPr>
          <w:p>
            <w:pPr>
              <w:spacing w:after="60"/>
            </w:pPr>
            <w:r>
              <w:rPr>
                <w:sz w:val="18"/>
              </w:rPr>
              <w:t>6.01 ms; Additional end-to-end latency</w:t>
            </w:r>
          </w:p>
        </w:tc>
        <w:tc>
          <w:tcPr>
            <w:tcW w:type="dxa" w:w="6180"/>
          </w:tcPr>
          <w:p>
            <w:pPr>
              <w:spacing w:after="60"/>
            </w:pPr>
            <w:r>
              <w:rPr>
                <w:sz w:val="18"/>
              </w:rPr>
              <w:t>NVIDIA V10016GB. ResNet152 inference batch8 + training batch32. Baseline: Ready-model latency subtracted; MPS overhead307.02ms. PDF pp11-12 / printed508-509; Table3; section6.1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/>
            </w:pPr>
            <w:r>
              <w:rPr>
                <w:sz w:val="18"/>
              </w:rPr>
              <w:t>E007</w:t>
            </w:r>
          </w:p>
        </w:tc>
        <w:tc>
          <w:tcPr>
            <w:tcW w:type="dxa" w:w="2835"/>
          </w:tcPr>
          <w:p>
            <w:pPr>
              <w:spacing w:after="60"/>
            </w:pPr>
            <w:r>
              <w:rPr>
                <w:sz w:val="18"/>
              </w:rPr>
              <w:t>307.02 ms; Additional end-to-end latency</w:t>
            </w:r>
          </w:p>
        </w:tc>
        <w:tc>
          <w:tcPr>
            <w:tcW w:type="dxa" w:w="6180"/>
          </w:tcPr>
          <w:p>
            <w:pPr>
              <w:spacing w:after="60"/>
            </w:pPr>
            <w:r>
              <w:rPr>
                <w:sz w:val="18"/>
              </w:rPr>
              <w:t>NVIDIA V10016GB. ResNet152 inference batch8 + training batch32. Baseline: Ready-model latency subtracted. PDF pp11-12 / printed508-509; Table3; section6.1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/>
            </w:pPr>
            <w:r>
              <w:rPr>
                <w:sz w:val="18"/>
              </w:rPr>
              <w:t>E008</w:t>
            </w:r>
          </w:p>
        </w:tc>
        <w:tc>
          <w:tcPr>
            <w:tcW w:type="dxa" w:w="2835"/>
          </w:tcPr>
          <w:p>
            <w:pPr>
              <w:spacing w:after="60"/>
            </w:pPr>
            <w:r>
              <w:rPr>
                <w:sz w:val="18"/>
              </w:rPr>
              <w:t>5.40 ms; Additional end-to-end latency</w:t>
            </w:r>
          </w:p>
        </w:tc>
        <w:tc>
          <w:tcPr>
            <w:tcW w:type="dxa" w:w="6180"/>
          </w:tcPr>
          <w:p>
            <w:pPr>
              <w:spacing w:after="60"/>
            </w:pPr>
            <w:r>
              <w:rPr>
                <w:sz w:val="18"/>
              </w:rPr>
              <w:t>NVIDIA V10016GB. Inception_v3 inference batch8 + training batch32. Baseline: Ready-model latency subtracted. PDF pp11-12 / printed508-509; Table3; section6.1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/>
            </w:pPr>
            <w:r>
              <w:rPr>
                <w:sz w:val="18"/>
              </w:rPr>
              <w:t>E009</w:t>
            </w:r>
          </w:p>
        </w:tc>
        <w:tc>
          <w:tcPr>
            <w:tcW w:type="dxa" w:w="2835"/>
          </w:tcPr>
          <w:p>
            <w:pPr>
              <w:spacing w:after="60"/>
            </w:pPr>
            <w:r>
              <w:rPr>
                <w:sz w:val="18"/>
              </w:rPr>
              <w:t>232.25 ms; Additional end-to-end latency</w:t>
            </w:r>
          </w:p>
        </w:tc>
        <w:tc>
          <w:tcPr>
            <w:tcW w:type="dxa" w:w="6180"/>
          </w:tcPr>
          <w:p>
            <w:pPr>
              <w:spacing w:after="60"/>
            </w:pPr>
            <w:r>
              <w:rPr>
                <w:sz w:val="18"/>
              </w:rPr>
              <w:t>NVIDIA V10016GB. Inception_v3 inference batch8 + training batch32. Baseline: Ready-model latency subtracted. PDF pp11-12 / printed508-509; Table3; section6.1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/>
            </w:pPr>
            <w:r>
              <w:rPr>
                <w:sz w:val="18"/>
              </w:rPr>
              <w:t>E010</w:t>
            </w:r>
          </w:p>
        </w:tc>
        <w:tc>
          <w:tcPr>
            <w:tcW w:type="dxa" w:w="2835"/>
          </w:tcPr>
          <w:p>
            <w:pPr>
              <w:spacing w:after="60"/>
            </w:pPr>
            <w:r>
              <w:rPr>
                <w:sz w:val="18"/>
              </w:rPr>
              <w:t>10.27 ms; Additional end-to-end latency</w:t>
            </w:r>
          </w:p>
        </w:tc>
        <w:tc>
          <w:tcPr>
            <w:tcW w:type="dxa" w:w="6180"/>
          </w:tcPr>
          <w:p>
            <w:pPr>
              <w:spacing w:after="60"/>
            </w:pPr>
            <w:r>
              <w:rPr>
                <w:sz w:val="18"/>
              </w:rPr>
              <w:t>NVIDIA V10016GB. Bert_base inference batch8 + training batch32. Baseline: Ready-model latency subtracted. PDF pp11-12 / printed508-509; Table3; section6.1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/>
            </w:pPr>
            <w:r>
              <w:rPr>
                <w:sz w:val="18"/>
              </w:rPr>
              <w:t>E011</w:t>
            </w:r>
          </w:p>
        </w:tc>
        <w:tc>
          <w:tcPr>
            <w:tcW w:type="dxa" w:w="2835"/>
          </w:tcPr>
          <w:p>
            <w:pPr>
              <w:spacing w:after="60"/>
            </w:pPr>
            <w:r>
              <w:rPr>
                <w:sz w:val="18"/>
              </w:rPr>
              <w:t>204.52 ms; Additional end-to-end latency</w:t>
            </w:r>
          </w:p>
        </w:tc>
        <w:tc>
          <w:tcPr>
            <w:tcW w:type="dxa" w:w="6180"/>
          </w:tcPr>
          <w:p>
            <w:pPr>
              <w:spacing w:after="60"/>
            </w:pPr>
            <w:r>
              <w:rPr>
                <w:sz w:val="18"/>
              </w:rPr>
              <w:t>NVIDIA V10016GB. Bert_base inference batch8 + training batch32. Baseline: Ready-model latency subtracted. PDF pp11-12 / printed508-509; Table3; section6.1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/>
            </w:pPr>
            <w:r>
              <w:rPr>
                <w:sz w:val="18"/>
              </w:rPr>
              <w:t>E012</w:t>
            </w:r>
          </w:p>
        </w:tc>
        <w:tc>
          <w:tcPr>
            <w:tcW w:type="dxa" w:w="2835"/>
          </w:tcPr>
          <w:p>
            <w:pPr>
              <w:spacing w:after="60"/>
            </w:pPr>
            <w:r>
              <w:rPr>
                <w:sz w:val="18"/>
              </w:rPr>
              <w:t>5.57 ms; Additional end-to-end latency</w:t>
            </w:r>
          </w:p>
        </w:tc>
        <w:tc>
          <w:tcPr>
            <w:tcW w:type="dxa" w:w="6180"/>
          </w:tcPr>
          <w:p>
            <w:pPr>
              <w:spacing w:after="60"/>
            </w:pPr>
            <w:r>
              <w:rPr>
                <w:sz w:val="18"/>
              </w:rPr>
              <w:t>NVIDIA T416GB. ResNet152 inference batch8 + training batch32. Baseline: Ready-model latency subtracted. PDF pp11-12 / printed508-509; Table3; section6.1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/>
            </w:pPr>
            <w:r>
              <w:rPr>
                <w:sz w:val="18"/>
              </w:rPr>
              <w:t>E013</w:t>
            </w:r>
          </w:p>
        </w:tc>
        <w:tc>
          <w:tcPr>
            <w:tcW w:type="dxa" w:w="2835"/>
          </w:tcPr>
          <w:p>
            <w:pPr>
              <w:spacing w:after="60"/>
            </w:pPr>
            <w:r>
              <w:rPr>
                <w:sz w:val="18"/>
              </w:rPr>
              <w:t>259.20 ms; Additional end-to-end latency</w:t>
            </w:r>
          </w:p>
        </w:tc>
        <w:tc>
          <w:tcPr>
            <w:tcW w:type="dxa" w:w="6180"/>
          </w:tcPr>
          <w:p>
            <w:pPr>
              <w:spacing w:after="60"/>
            </w:pPr>
            <w:r>
              <w:rPr>
                <w:sz w:val="18"/>
              </w:rPr>
              <w:t>NVIDIA T416GB. ResNet152 inference batch8 + training batch32. Baseline: Ready-model latency subtracted. PDF pp11-12 / printed508-509; Table3; section6.1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/>
            </w:pPr>
            <w:r>
              <w:rPr>
                <w:sz w:val="18"/>
              </w:rPr>
              <w:t>E014</w:t>
            </w:r>
          </w:p>
        </w:tc>
        <w:tc>
          <w:tcPr>
            <w:tcW w:type="dxa" w:w="2835"/>
          </w:tcPr>
          <w:p>
            <w:pPr>
              <w:spacing w:after="60"/>
            </w:pPr>
            <w:r>
              <w:rPr>
                <w:sz w:val="18"/>
              </w:rPr>
              <w:t>7.66 ms; Additional end-to-end latency</w:t>
            </w:r>
          </w:p>
        </w:tc>
        <w:tc>
          <w:tcPr>
            <w:tcW w:type="dxa" w:w="6180"/>
          </w:tcPr>
          <w:p>
            <w:pPr>
              <w:spacing w:after="60"/>
            </w:pPr>
            <w:r>
              <w:rPr>
                <w:sz w:val="18"/>
              </w:rPr>
              <w:t>NVIDIA T416GB. Inception_v3 inference batch8 + training batch32. Baseline: Ready-model latency subtracted. PDF pp11-12 / printed508-509; Table3; section6.1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/>
            </w:pPr>
            <w:r>
              <w:rPr>
                <w:sz w:val="18"/>
              </w:rPr>
              <w:t>E015</w:t>
            </w:r>
          </w:p>
        </w:tc>
        <w:tc>
          <w:tcPr>
            <w:tcW w:type="dxa" w:w="2835"/>
          </w:tcPr>
          <w:p>
            <w:pPr>
              <w:spacing w:after="60"/>
            </w:pPr>
            <w:r>
              <w:rPr>
                <w:sz w:val="18"/>
              </w:rPr>
              <w:t>193.05 ms; Additional end-to-end latency</w:t>
            </w:r>
          </w:p>
        </w:tc>
        <w:tc>
          <w:tcPr>
            <w:tcW w:type="dxa" w:w="6180"/>
          </w:tcPr>
          <w:p>
            <w:pPr>
              <w:spacing w:after="60"/>
            </w:pPr>
            <w:r>
              <w:rPr>
                <w:sz w:val="18"/>
              </w:rPr>
              <w:t>NVIDIA T416GB. Inception_v3 inference batch8 + training batch32. Baseline: Ready-model latency subtracted. PDF pp11-12 / printed508-509; Table3; section6.1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/>
            </w:pPr>
            <w:r>
              <w:rPr>
                <w:sz w:val="18"/>
              </w:rPr>
              <w:t>E016</w:t>
            </w:r>
          </w:p>
        </w:tc>
        <w:tc>
          <w:tcPr>
            <w:tcW w:type="dxa" w:w="2835"/>
          </w:tcPr>
          <w:p>
            <w:pPr>
              <w:spacing w:after="60"/>
            </w:pPr>
            <w:r>
              <w:rPr>
                <w:sz w:val="18"/>
              </w:rPr>
              <w:t>34.56 ms; Additional end-to-end latency</w:t>
            </w:r>
          </w:p>
        </w:tc>
        <w:tc>
          <w:tcPr>
            <w:tcW w:type="dxa" w:w="6180"/>
          </w:tcPr>
          <w:p>
            <w:pPr>
              <w:spacing w:after="60"/>
            </w:pPr>
            <w:r>
              <w:rPr>
                <w:sz w:val="18"/>
              </w:rPr>
              <w:t>NVIDIA T416GB. Bert_base inference batch8 + training batch32. Baseline: Ready-model latency subtracted. PDF pp11-12 / printed508-509; Table3; section6.1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/>
            </w:pPr>
            <w:r>
              <w:rPr>
                <w:sz w:val="18"/>
              </w:rPr>
              <w:t>E017</w:t>
            </w:r>
          </w:p>
        </w:tc>
        <w:tc>
          <w:tcPr>
            <w:tcW w:type="dxa" w:w="2835"/>
          </w:tcPr>
          <w:p>
            <w:pPr>
              <w:spacing w:after="60"/>
            </w:pPr>
            <w:r>
              <w:rPr>
                <w:sz w:val="18"/>
              </w:rPr>
              <w:t>338.25 ms; Additional end-to-end latency</w:t>
            </w:r>
          </w:p>
        </w:tc>
        <w:tc>
          <w:tcPr>
            <w:tcW w:type="dxa" w:w="6180"/>
          </w:tcPr>
          <w:p>
            <w:pPr>
              <w:spacing w:after="60"/>
            </w:pPr>
            <w:r>
              <w:rPr>
                <w:sz w:val="18"/>
              </w:rPr>
              <w:t>NVIDIA T416GB. Bert_base inference batch8 + training batch32. Baseline: Ready-model latency subtracted. PDF pp11-12 / printed508-509; Table3; section6.1</w:t>
            </w:r>
          </w:p>
        </w:tc>
      </w:tr>
    </w:tbl>
    <w:p>
      <w:r>
        <w:t>All12 retained Table3 cells checked by model,GPU and mechanism.100-run added overhead after subtracting ready-model latency; MPS retains memory-full training and unified-memory swapping.</w:t>
      </w:r>
    </w:p>
    <w:p>
      <w:pPr>
        <w:pStyle w:val="Heading1"/>
        <w:pageBreakBefore/>
      </w:pPr>
      <w:r>
        <w:t>S005 / P005 - REEF conference</w:t>
      </w:r>
    </w:p>
    <w:p>
      <w:r>
        <w:t>Version: USENIX OSDI2022 proceedings with cover; AMD results and restricted REEF-N</w:t>
      </w:r>
    </w:p>
    <w:p>
      <w:r>
        <w:t>Source: https://www.usenix.org/system/files/osdi22-han.pdf</w:t>
      </w:r>
    </w:p>
    <w:p>
      <w:r>
        <w:t>DOI/proceedings: USENIX proceedings (no DOI assigned)</w:t>
      </w:r>
    </w:p>
    <w:p>
      <w:r>
        <w:t>PDF pages: 21. SHA256: d0c1dfc5274d4a44826d02b70d78a90b7b9f1279d87804f398a1386abcecce91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8844"/>
      </w:tblGrid>
      <w:tr>
        <w:trPr>
          <w:tblHeader/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Criterion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Finding and source anchor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IC1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English peer-reviewed report identity matched to title,DOI/proceedings and year. USENIX OSDI2022 proceedings with cover; AMD results and restricted REEF-N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IC2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Local sharing mechanism inspectable. PDF pp4-11; sections3-6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IC3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Inference workload identified; mixed training cases retained only for separable inference. PDF pp11-12; Table2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IC4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Relevant measured outcomes and methods inspectable. PDF p12 / printed549; Figure11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IC5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Within-one-GPU evidence distinguishable from cluster outcomes. PDF pp11-12; Table2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IC6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Publication year lies in2020-2026 main window. Title/metadata</w:t>
            </w:r>
          </w:p>
        </w:tc>
      </w:tr>
    </w:tbl>
    <w:p>
      <w:pPr>
        <w:pStyle w:val="Heading2"/>
      </w:pPr>
      <w:r>
        <w:t>Quality appraisal</w:t>
      </w:r>
    </w:p>
    <w:p>
      <w:r>
        <w:t>Original QA: 17/20; current appraised QA: 18/20. Source-based calibration is logged; independent adjudication remains pending.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794"/>
        <w:gridCol w:w="8391"/>
      </w:tblGrid>
      <w:tr>
        <w:trPr>
          <w:tblHeader/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Item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Score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Rationale and anchor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Q1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Concurrent RT/BE DNN inference with low latency and work conservation is explicit. PDF p2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Q2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Reset preemption, idempotent re-execution, queues and dynamic kernel padding are described. PDF pp4-11; sections3-6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Q3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DISB scenarios and baseline methods clear; end-to-end repeated-run/variance protocol not established. PDF pp11-12; sections7.1-7.2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Q4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MI50,CPU,16GB host RAM,Ubuntu18.04,ROCm4.3.0,TVM0.8.0 and clients supplied. PDF p11; Table2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Q5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RT-only,SEQ,GPUStreams and extended wait-based preemption conditions are explicit. PDF pp11-12; sections7.1-7.3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Q6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Figure11 throughput includes both RT and BE clients; benchmark/load is retained for each ratio. PDF p12 / printed549; Figure11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Q7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End-to-end RT overhead is stated with offered loads; request percentile for retained headline overheads unresolved. PDF pp11-12; sections7.1-7.2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Q8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Single/multiple RT and BE clients under uniform,Poisson and trace workloads are tested. PDF pp11-12; Table2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Q9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Q9=2 for explicitly defined priority/performance protection and direct latency-interference tests; journal-only NVIDIA results remain separate. Conference PDF pp2-3,8-11; sections2 and5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Q10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Artifact,platform and idempotence constraints disclosed; conference REEF-N is distinct from later journal NVIDIA implementation. PDF pp10-11,15-16; P023p1</w:t>
            </w:r>
          </w:p>
        </w:tc>
      </w:tr>
    </w:tbl>
    <w:p>
      <w:pPr>
        <w:pStyle w:val="Heading2"/>
      </w:pPr>
      <w:r>
        <w:t>Checked retained outcomes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2835"/>
        <w:gridCol w:w="6180"/>
      </w:tblGrid>
      <w:tr>
        <w:trPr>
          <w:tblHeader/>
          <w:cantSplit/>
        </w:trPr>
        <w:tc>
          <w:tcPr>
            <w:tcW w:type="dxa" w:w="850"/>
          </w:tcPr>
          <w:p>
            <w:pPr>
              <w:spacing w:after="60"/>
            </w:pPr>
            <w:r>
              <w:rPr>
                <w:sz w:val="18"/>
              </w:rPr>
              <w:t>Evidence</w:t>
            </w:r>
          </w:p>
        </w:tc>
        <w:tc>
          <w:tcPr>
            <w:tcW w:type="dxa" w:w="2835"/>
          </w:tcPr>
          <w:p>
            <w:pPr>
              <w:spacing w:after="60"/>
            </w:pPr>
            <w:r>
              <w:rPr>
                <w:sz w:val="18"/>
              </w:rPr>
              <w:t>Value and metric</w:t>
            </w:r>
          </w:p>
        </w:tc>
        <w:tc>
          <w:tcPr>
            <w:tcW w:type="dxa" w:w="6180"/>
          </w:tcPr>
          <w:p>
            <w:pPr>
              <w:spacing w:after="60"/>
            </w:pPr>
            <w:r>
              <w:rPr>
                <w:sz w:val="18"/>
              </w:rPr>
              <w:t>Context and anchor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/>
            </w:pPr>
            <w:r>
              <w:rPr>
                <w:sz w:val="18"/>
              </w:rPr>
              <w:t>E018</w:t>
            </w:r>
          </w:p>
        </w:tc>
        <w:tc>
          <w:tcPr>
            <w:tcW w:type="dxa" w:w="2835"/>
          </w:tcPr>
          <w:p>
            <w:pPr>
              <w:spacing w:after="60"/>
            </w:pPr>
            <w:r>
              <w:rPr>
                <w:sz w:val="18"/>
              </w:rPr>
              <w:t>1.60 x; Overall throughput ratio</w:t>
            </w:r>
          </w:p>
        </w:tc>
        <w:tc>
          <w:tcPr>
            <w:tcW w:type="dxa" w:w="6180"/>
          </w:tcPr>
          <w:p>
            <w:pPr>
              <w:spacing w:after="60"/>
            </w:pPr>
            <w:r>
              <w:rPr>
                <w:sz w:val="18"/>
              </w:rPr>
              <w:t>AMD MI5016GB. DISB A:1 VGG19 RT client100req/s uniform +1 ResNet152 BE. Baseline: RT-Only dedicated GPU. PDF pp11-12 / printed548-549; Table2; Figure11; section7.2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/>
            </w:pPr>
            <w:r>
              <w:rPr>
                <w:sz w:val="18"/>
              </w:rPr>
              <w:t>E019</w:t>
            </w:r>
          </w:p>
        </w:tc>
        <w:tc>
          <w:tcPr>
            <w:tcW w:type="dxa" w:w="2835"/>
          </w:tcPr>
          <w:p>
            <w:pPr>
              <w:spacing w:after="60"/>
            </w:pPr>
            <w:r>
              <w:rPr>
                <w:sz w:val="18"/>
              </w:rPr>
              <w:t>0.5 percent; RT end-to-end latency overhead</w:t>
            </w:r>
          </w:p>
        </w:tc>
        <w:tc>
          <w:tcPr>
            <w:tcW w:type="dxa" w:w="6180"/>
          </w:tcPr>
          <w:p>
            <w:pPr>
              <w:spacing w:after="60"/>
            </w:pPr>
            <w:r>
              <w:rPr>
                <w:sz w:val="18"/>
              </w:rPr>
              <w:t>AMD MI5016GB. DISB A:1 VGG19 RT client100req/s uniform +1 ResNet152 BE. Baseline: RT-Only dedicated GPU. PDF pp11-12 / printed548-549; Table2; Figure11; section7.2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/>
            </w:pPr>
            <w:r>
              <w:rPr>
                <w:sz w:val="18"/>
              </w:rPr>
              <w:t>E020</w:t>
            </w:r>
          </w:p>
        </w:tc>
        <w:tc>
          <w:tcPr>
            <w:tcW w:type="dxa" w:w="2835"/>
          </w:tcPr>
          <w:p>
            <w:pPr>
              <w:spacing w:after="60"/>
            </w:pPr>
            <w:r>
              <w:rPr>
                <w:sz w:val="18"/>
              </w:rPr>
              <w:t>1.14 x; Overall throughput ratio</w:t>
            </w:r>
          </w:p>
        </w:tc>
        <w:tc>
          <w:tcPr>
            <w:tcW w:type="dxa" w:w="6180"/>
          </w:tcPr>
          <w:p>
            <w:pPr>
              <w:spacing w:after="60"/>
            </w:pPr>
            <w:r>
              <w:rPr>
                <w:sz w:val="18"/>
              </w:rPr>
              <w:t>AMD MI5016GB. DISB B:1 VGG19 RT client220req/s uniform +1 ResNet152 BE. Baseline: RT-Only dedicated GPU. PDF pp11-12 / printed548-549; Table2; Figure11; section7.2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/>
            </w:pPr>
            <w:r>
              <w:rPr>
                <w:sz w:val="18"/>
              </w:rPr>
              <w:t>E021</w:t>
            </w:r>
          </w:p>
        </w:tc>
        <w:tc>
          <w:tcPr>
            <w:tcW w:type="dxa" w:w="2835"/>
          </w:tcPr>
          <w:p>
            <w:pPr>
              <w:spacing w:after="60"/>
            </w:pPr>
            <w:r>
              <w:rPr>
                <w:sz w:val="18"/>
              </w:rPr>
              <w:t>1 percent; RT end-to-end latency overhead</w:t>
            </w:r>
          </w:p>
        </w:tc>
        <w:tc>
          <w:tcPr>
            <w:tcW w:type="dxa" w:w="6180"/>
          </w:tcPr>
          <w:p>
            <w:pPr>
              <w:spacing w:after="60"/>
            </w:pPr>
            <w:r>
              <w:rPr>
                <w:sz w:val="18"/>
              </w:rPr>
              <w:t>AMD MI5016GB. DISB B:1 VGG19 RT client220req/s uniform +1 ResNet152 BE. Baseline: RT-Only dedicated GPU. PDF pp11-12 / printed548-549; Table2; Figure11; section7.2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/>
            </w:pPr>
            <w:r>
              <w:rPr>
                <w:sz w:val="18"/>
              </w:rPr>
              <w:t>E022</w:t>
            </w:r>
          </w:p>
        </w:tc>
        <w:tc>
          <w:tcPr>
            <w:tcW w:type="dxa" w:w="2835"/>
          </w:tcPr>
          <w:p>
            <w:pPr>
              <w:spacing w:after="60"/>
            </w:pPr>
            <w:r>
              <w:rPr>
                <w:sz w:val="18"/>
              </w:rPr>
              <w:t>&lt;1.5 percent; RT end-to-end latency overhead</w:t>
            </w:r>
          </w:p>
        </w:tc>
        <w:tc>
          <w:tcPr>
            <w:tcW w:type="dxa" w:w="6180"/>
          </w:tcPr>
          <w:p>
            <w:pPr>
              <w:spacing w:after="60"/>
            </w:pPr>
            <w:r>
              <w:rPr>
                <w:sz w:val="18"/>
              </w:rPr>
              <w:t>AMD MI5016GB. DISB C-E:multiple BE clients. Baseline: RT-Only dedicated GPU. PDF pp11-12 / printed548-549; Table2; Figure11; section7.2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/>
            </w:pPr>
            <w:r>
              <w:rPr>
                <w:sz w:val="18"/>
              </w:rPr>
              <w:t>E023</w:t>
            </w:r>
          </w:p>
        </w:tc>
        <w:tc>
          <w:tcPr>
            <w:tcW w:type="dxa" w:w="2835"/>
          </w:tcPr>
          <w:p>
            <w:pPr>
              <w:spacing w:after="60"/>
            </w:pPr>
            <w:r>
              <w:rPr>
                <w:sz w:val="18"/>
              </w:rPr>
              <w:t>3.00 x; Overall throughput ratio</w:t>
            </w:r>
          </w:p>
        </w:tc>
        <w:tc>
          <w:tcPr>
            <w:tcW w:type="dxa" w:w="6180"/>
          </w:tcPr>
          <w:p>
            <w:pPr>
              <w:spacing w:after="60"/>
            </w:pPr>
            <w:r>
              <w:rPr>
                <w:sz w:val="18"/>
              </w:rPr>
              <w:t>AMD MI5016GB. DISB D:5 RT model clients20req/s uniform +5 BE model clients. Baseline: RT-Only dedicated GPU. PDF pp11-12 / printed548-549; Table2; Figure11; section7.2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/>
            </w:pPr>
            <w:r>
              <w:rPr>
                <w:sz w:val="18"/>
              </w:rPr>
              <w:t>E024</w:t>
            </w:r>
          </w:p>
        </w:tc>
        <w:tc>
          <w:tcPr>
            <w:tcW w:type="dxa" w:w="2835"/>
          </w:tcPr>
          <w:p>
            <w:pPr>
              <w:spacing w:after="60"/>
            </w:pPr>
            <w:r>
              <w:rPr>
                <w:sz w:val="18"/>
              </w:rPr>
              <w:t>2.96 x; Overall throughput ratio</w:t>
            </w:r>
          </w:p>
        </w:tc>
        <w:tc>
          <w:tcPr>
            <w:tcW w:type="dxa" w:w="6180"/>
          </w:tcPr>
          <w:p>
            <w:pPr>
              <w:spacing w:after="60"/>
            </w:pPr>
            <w:r>
              <w:rPr>
                <w:sz w:val="18"/>
              </w:rPr>
              <w:t>AMD MI5016GB. DISB E:5 RT model clients20req/s Poisson +5 BE model clients. Baseline: RT-Only dedicated GPU. PDF pp11-12 / printed548-549; Table2; Figure11; section7.2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/>
            </w:pPr>
            <w:r>
              <w:rPr>
                <w:sz w:val="18"/>
              </w:rPr>
              <w:t>E025</w:t>
            </w:r>
          </w:p>
        </w:tc>
        <w:tc>
          <w:tcPr>
            <w:tcW w:type="dxa" w:w="2835"/>
          </w:tcPr>
          <w:p>
            <w:pPr>
              <w:spacing w:after="60"/>
            </w:pPr>
            <w:r>
              <w:rPr>
                <w:sz w:val="18"/>
              </w:rPr>
              <w:t>7.7 x; Overall throughput ratio</w:t>
            </w:r>
          </w:p>
        </w:tc>
        <w:tc>
          <w:tcPr>
            <w:tcW w:type="dxa" w:w="6180"/>
          </w:tcPr>
          <w:p>
            <w:pPr>
              <w:spacing w:after="60"/>
            </w:pPr>
            <w:r>
              <w:rPr>
                <w:sz w:val="18"/>
              </w:rPr>
              <w:t>AMD MI5016GB. Apollo REAL trace about43 RTreq/s +5 BE model clients. Baseline: RT-Only dedicated GPU. PDF pp11-12 / printed548-549; Table2; Figure11; section7.2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/>
            </w:pPr>
            <w:r>
              <w:rPr>
                <w:sz w:val="18"/>
              </w:rPr>
              <w:t>E026</w:t>
            </w:r>
          </w:p>
        </w:tc>
        <w:tc>
          <w:tcPr>
            <w:tcW w:type="dxa" w:w="2835"/>
          </w:tcPr>
          <w:p>
            <w:pPr>
              <w:spacing w:after="60"/>
            </w:pPr>
            <w:r>
              <w:rPr>
                <w:sz w:val="18"/>
              </w:rPr>
              <w:t>&lt;2 percent; RT end-to-end latency overhead</w:t>
            </w:r>
          </w:p>
        </w:tc>
        <w:tc>
          <w:tcPr>
            <w:tcW w:type="dxa" w:w="6180"/>
          </w:tcPr>
          <w:p>
            <w:pPr>
              <w:spacing w:after="60"/>
            </w:pPr>
            <w:r>
              <w:rPr>
                <w:sz w:val="18"/>
              </w:rPr>
              <w:t>AMD MI5016GB. Apollo REAL trace about43 RTreq/s +5 BE model clients. Baseline: RT-Only dedicated GPU. PDF pp11-12 / printed548-549; Table2; Figure11; section7.2</w:t>
            </w:r>
          </w:p>
        </w:tc>
      </w:tr>
    </w:tbl>
    <w:p>
      <w:r>
        <w:t>All nine values match scenario prose. RT+BE throughput,RT latency and load-specific denominator retained; journal results are not substituted.</w:t>
      </w:r>
    </w:p>
    <w:p>
      <w:pPr>
        <w:pStyle w:val="Heading1"/>
        <w:pageBreakBefore/>
      </w:pPr>
      <w:r>
        <w:t>S006 / P006 - Paella: Low-latency Model Serving with Software-defined GPU Scheduling</w:t>
      </w:r>
    </w:p>
    <w:p>
      <w:r>
        <w:t>Version: Author-hosted SOSP2023 copy with conference/DOI</w:t>
      </w:r>
    </w:p>
    <w:p>
      <w:r>
        <w:t>Source: https://vincen.tl/files/ng23paella.pdf</w:t>
      </w:r>
    </w:p>
    <w:p>
      <w:r>
        <w:t>DOI/proceedings: 10.1145/3600006.3613163</w:t>
      </w:r>
    </w:p>
    <w:p>
      <w:r>
        <w:t>PDF pages: 16. SHA256: 99d90b79293be180ddb888abf700583ddc530c62fcc2cca603b9a533e62f602e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8844"/>
      </w:tblGrid>
      <w:tr>
        <w:trPr>
          <w:tblHeader/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Criterion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Finding and source anchor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IC1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English peer-reviewed report identity matched to title,DOI/proceedings and year. Author-hosted SOSP2023 copy with conference/DOI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IC2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Local sharing mechanism inspectable. PDF pp5-9; sections4-6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IC3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Inference workload identified; mixed training cases retained only for separable inference. PDF pp10-12; Figures12-13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IC4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Relevant measured outcomes and methods inspectable. PDF pp10-11; Figures11-12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IC5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Within-one-GPU evidence distinguishable from cluster outcomes. PDF pp10-12; Figures12-13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IC6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Publication year lies in2020-2026 main window. Title/metadata</w:t>
            </w:r>
          </w:p>
        </w:tc>
      </w:tr>
    </w:tbl>
    <w:p>
      <w:pPr>
        <w:pStyle w:val="Heading2"/>
      </w:pPr>
      <w:r>
        <w:t>Quality appraisal</w:t>
      </w:r>
    </w:p>
    <w:p>
      <w:r>
        <w:t>Original QA: 16/18; current appraised QA: 16/18. Source-based calibration is logged; independent adjudication remains pending.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794"/>
        <w:gridCol w:w="8391"/>
      </w:tblGrid>
      <w:tr>
        <w:trPr>
          <w:tblHeader/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Item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Score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Rationale and anchor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Q1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Fine-grained software scheduling for low-latency inference is explicit. PDF p1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Q2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Instrumented kernel placement/completion notifications,dispatcher and SRPT/deficit policy are described. PDF pp5-9; sections4-6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Q3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Stabilization before measurement stated; repetitions and uncertainty for headline curve not established. PDF p10; Methodology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Q4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T4,CPU,RAM,Linux4.15,CUDA11.7,TVM0.10 and model list supplied. PDF pp9-10; Table2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Q5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TritonTVM wrapper,omitted Clockwork curves and MPS process-count restriction require qualifications. PDF p10; Table3; footnote3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Q6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Average throughput versus P99 curves use increasing load until saturation. PDF pp10-11; Figures11-12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Q7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Up-to3x short-job P99 reduction is author-reported;6.6us is instrumentationP90 overhead, not request latency. PDF pp10-12; Figures12,15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Q8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Mixed short/long jobs and deficit threshold show latency/fairness trade-offs. PDF pp10-12; Figures12-13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Q9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No separately appraised resource/security/fault isolation guarantee; retain reasoned N/A. PDF pp9-12; scheduling and discussion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Q10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Compiler modifications,versioned setup,CPU dispatch and dynamic-batching limitations described. PDF pp9-13; sections7-8</w:t>
            </w:r>
          </w:p>
        </w:tc>
      </w:tr>
    </w:tbl>
    <w:p>
      <w:pPr>
        <w:pStyle w:val="Heading2"/>
      </w:pPr>
      <w:r>
        <w:t>Checked retained outcomes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2835"/>
        <w:gridCol w:w="6180"/>
      </w:tblGrid>
      <w:tr>
        <w:trPr>
          <w:tblHeader/>
          <w:cantSplit/>
        </w:trPr>
        <w:tc>
          <w:tcPr>
            <w:tcW w:type="dxa" w:w="850"/>
          </w:tcPr>
          <w:p>
            <w:pPr>
              <w:spacing w:after="60"/>
            </w:pPr>
            <w:r>
              <w:rPr>
                <w:sz w:val="18"/>
              </w:rPr>
              <w:t>Evidence</w:t>
            </w:r>
          </w:p>
        </w:tc>
        <w:tc>
          <w:tcPr>
            <w:tcW w:type="dxa" w:w="2835"/>
          </w:tcPr>
          <w:p>
            <w:pPr>
              <w:spacing w:after="60"/>
            </w:pPr>
            <w:r>
              <w:rPr>
                <w:sz w:val="18"/>
              </w:rPr>
              <w:t>Value and metric</w:t>
            </w:r>
          </w:p>
        </w:tc>
        <w:tc>
          <w:tcPr>
            <w:tcW w:type="dxa" w:w="6180"/>
          </w:tcPr>
          <w:p>
            <w:pPr>
              <w:spacing w:after="60"/>
            </w:pPr>
            <w:r>
              <w:rPr>
                <w:sz w:val="18"/>
              </w:rPr>
              <w:t>Context and anchor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/>
            </w:pPr>
            <w:r>
              <w:rPr>
                <w:sz w:val="18"/>
              </w:rPr>
              <w:t>E027</w:t>
            </w:r>
          </w:p>
        </w:tc>
        <w:tc>
          <w:tcPr>
            <w:tcW w:type="dxa" w:w="2835"/>
          </w:tcPr>
          <w:p>
            <w:pPr>
              <w:spacing w:after="60"/>
            </w:pPr>
            <w:r>
              <w:rPr>
                <w:sz w:val="18"/>
              </w:rPr>
              <w:t>up to3 x; ResNet18 p99 reduction factor</w:t>
            </w:r>
          </w:p>
        </w:tc>
        <w:tc>
          <w:tcPr>
            <w:tcW w:type="dxa" w:w="6180"/>
          </w:tcPr>
          <w:p>
            <w:pPr>
              <w:spacing w:after="60"/>
            </w:pPr>
            <w:r>
              <w:rPr>
                <w:sz w:val="18"/>
              </w:rPr>
              <w:t>Tesla T4. ResNet18+InceptionV3;lognormal sigma1.5/2. Baseline: CUDA-MS. PDF p10 / printed604; section7.1; Figure12 onPDFp11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/>
            </w:pPr>
            <w:r>
              <w:rPr>
                <w:sz w:val="18"/>
              </w:rPr>
              <w:t>E028</w:t>
            </w:r>
          </w:p>
        </w:tc>
        <w:tc>
          <w:tcPr>
            <w:tcW w:type="dxa" w:w="2835"/>
          </w:tcPr>
          <w:p>
            <w:pPr>
              <w:spacing w:after="60"/>
            </w:pPr>
            <w:r>
              <w:rPr>
                <w:sz w:val="18"/>
              </w:rPr>
              <w:t>6.6 microseconds; p90 instrumentation overhead</w:t>
            </w:r>
          </w:p>
        </w:tc>
        <w:tc>
          <w:tcPr>
            <w:tcW w:type="dxa" w:w="6180"/>
          </w:tcPr>
          <w:p>
            <w:pPr>
              <w:spacing w:after="60"/>
            </w:pPr>
            <w:r>
              <w:rPr>
                <w:sz w:val="18"/>
              </w:rPr>
              <w:t>Tesla T4. Empty kernel;160 blocks;instrumentation with aggregation. Baseline: Uninstrumented kernel. PDF p12 / printed606; section7.3; Figure15</w:t>
            </w:r>
          </w:p>
        </w:tc>
      </w:tr>
    </w:tbl>
    <w:p>
      <w:r>
        <w:t>Up-to3x is short-job P99 claim;6.6us is added P90 instrumentation overhead for160blocks with aggregation,not request latency.</w:t>
      </w:r>
    </w:p>
    <w:p>
      <w:pPr>
        <w:pStyle w:val="Heading1"/>
        <w:pageBreakBefore/>
      </w:pPr>
      <w:r>
        <w:t>S007 / P007 - Orion: Interference-aware, Fine-grained GPU Sharing for ML Applications</w:t>
      </w:r>
    </w:p>
    <w:p>
      <w:r>
        <w:t>Version: Author-hosted EuroSys2024 copy with conference/DOI</w:t>
      </w:r>
    </w:p>
    <w:p>
      <w:r>
        <w:t>Source: https://fotstrt.github.io/files/2024-orion.pdf</w:t>
      </w:r>
    </w:p>
    <w:p>
      <w:r>
        <w:t>DOI/proceedings: 10.1145/3627703.3629578</w:t>
      </w:r>
    </w:p>
    <w:p>
      <w:r>
        <w:t>PDF pages: 18. SHA256: 7421b546dc81577d787b2c8e17709da7b560d4d2992fc67e5c0898adc8eb8ae7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8844"/>
      </w:tblGrid>
      <w:tr>
        <w:trPr>
          <w:tblHeader/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Criterion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Finding and source anchor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IC1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English peer-reviewed report identity matched to title,DOI/proceedings and year. Author-hosted EuroSys2024 copy with conference/DOI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IC2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Local sharing mechanism inspectable. PDF pp5-8; sections4-5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IC3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Inference workload identified; mixed training cases retained only for separable inference. PDF pp9,12; sections6.2-6.3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IC4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Relevant measured outcomes and methods inspectable. PDF p12; section6.2.3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IC5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Within-one-GPU evidence distinguishable from cluster outcomes. PDF pp9,12; sections6.2-6.3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IC6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Publication year lies in2020-2026 main window. Title/metadata</w:t>
            </w:r>
          </w:p>
        </w:tc>
      </w:tr>
    </w:tbl>
    <w:p>
      <w:pPr>
        <w:pStyle w:val="Heading2"/>
      </w:pPr>
      <w:r>
        <w:t>Quality appraisal</w:t>
      </w:r>
    </w:p>
    <w:p>
      <w:r>
        <w:t>Original QA: 19/20; current appraised QA: 19/20. Source-based calibration is logged; independent adjudication remains pending.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794"/>
        <w:gridCol w:w="8391"/>
      </w:tblGrid>
      <w:tr>
        <w:trPr>
          <w:tblHeader/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Item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Score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Rationale and anchor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Q1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Interference-aware fine-grained local GPU sharing is explicit. PDF p1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Q2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CUDA interception,per-client queues,resource profiling and throttling are specified. PDF pp5-8; sections4-5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Q3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Three experiment repetitions and interpretation of variance bars are specified. PDF pp8-9,12; sections6.1,6.3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Q4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V10016GB/A10040GB,VM,PyTorch1.12,Python3.9,CUDA10.2/11.3 and models supplied. PDF pp4,8-9; Tables1,3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Q5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REEF-N and Tick-Tock are reimplemented; Streams threads and MPS processes differ. PDF p9; Baselines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Q6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7.3x is aggregate throughput maximum versus GPU dedicated only to high-priority inference. PDF p12; section6.2.3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Q7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Poisson15% and Apollo22% overhead summaries are distinct; Figure12 averages across co-locations. PDF pp9,12; Figures11-12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Q8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Two-client tests and five-clientA100 experiment test interference at identified scales. PDF pp9,12; sections6.2-6.3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Q9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Same-trust-domain assumption explicitly limits isolation; direct performance evidence does not imply security. PDF p13; Security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  <w:t>Q10</w:t>
            </w:r>
          </w:p>
        </w:tc>
        <w:tc>
          <w:tcPr>
            <w:tcW w:type="dxa" w:w="79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8391"/>
          </w:tcPr>
          <w:p>
            <w:pPr>
              <w:spacing w:after="60"/>
            </w:pPr>
            <w:r>
              <w:rPr>
                <w:sz w:val="18"/>
              </w:rPr>
              <w:t>Interception/profiling cost,cache interference and cluster co-design limits are explicit. PDF p13; sections6.5,7</w:t>
            </w:r>
          </w:p>
        </w:tc>
      </w:tr>
    </w:tbl>
    <w:p>
      <w:pPr>
        <w:pStyle w:val="Heading2"/>
      </w:pPr>
      <w:r>
        <w:t>Checked retained outcomes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2835"/>
        <w:gridCol w:w="6180"/>
      </w:tblGrid>
      <w:tr>
        <w:trPr>
          <w:tblHeader/>
          <w:cantSplit/>
        </w:trPr>
        <w:tc>
          <w:tcPr>
            <w:tcW w:type="dxa" w:w="850"/>
          </w:tcPr>
          <w:p>
            <w:pPr>
              <w:spacing w:after="60"/>
            </w:pPr>
            <w:r>
              <w:rPr>
                <w:sz w:val="18"/>
              </w:rPr>
              <w:t>Evidence</w:t>
            </w:r>
          </w:p>
        </w:tc>
        <w:tc>
          <w:tcPr>
            <w:tcW w:type="dxa" w:w="2835"/>
          </w:tcPr>
          <w:p>
            <w:pPr>
              <w:spacing w:after="60"/>
            </w:pPr>
            <w:r>
              <w:rPr>
                <w:sz w:val="18"/>
              </w:rPr>
              <w:t>Value and metric</w:t>
            </w:r>
          </w:p>
        </w:tc>
        <w:tc>
          <w:tcPr>
            <w:tcW w:type="dxa" w:w="6180"/>
          </w:tcPr>
          <w:p>
            <w:pPr>
              <w:spacing w:after="60"/>
            </w:pPr>
            <w:r>
              <w:rPr>
                <w:sz w:val="18"/>
              </w:rPr>
              <w:t>Context and anchor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/>
            </w:pPr>
            <w:r>
              <w:rPr>
                <w:sz w:val="18"/>
              </w:rPr>
              <w:t>E029</w:t>
            </w:r>
          </w:p>
        </w:tc>
        <w:tc>
          <w:tcPr>
            <w:tcW w:type="dxa" w:w="2835"/>
          </w:tcPr>
          <w:p>
            <w:pPr>
              <w:spacing w:after="60"/>
            </w:pPr>
            <w:r>
              <w:rPr>
                <w:sz w:val="18"/>
              </w:rPr>
              <w:t>up to7.3 x; Aggregate throughput ratio</w:t>
            </w:r>
          </w:p>
        </w:tc>
        <w:tc>
          <w:tcPr>
            <w:tcW w:type="dxa" w:w="6180"/>
          </w:tcPr>
          <w:p>
            <w:pPr>
              <w:spacing w:after="60"/>
            </w:pPr>
            <w:r>
              <w:rPr>
                <w:sz w:val="18"/>
              </w:rPr>
              <w:t>V10016GB;A10040GB extension. Two inference clients;Poisson;V100. Baseline: Dedicated high-priority inference. PDF p12 / printed1086; section6.2.3; Figure12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/>
            </w:pPr>
            <w:r>
              <w:rPr>
                <w:sz w:val="18"/>
              </w:rPr>
              <w:t>E030</w:t>
            </w:r>
          </w:p>
        </w:tc>
        <w:tc>
          <w:tcPr>
            <w:tcW w:type="dxa" w:w="2835"/>
          </w:tcPr>
          <w:p>
            <w:pPr>
              <w:spacing w:after="60"/>
            </w:pPr>
            <w:r>
              <w:rPr>
                <w:sz w:val="18"/>
              </w:rPr>
              <w:t>15 percent; High-priority p99 overhead</w:t>
            </w:r>
          </w:p>
        </w:tc>
        <w:tc>
          <w:tcPr>
            <w:tcW w:type="dxa" w:w="6180"/>
          </w:tcPr>
          <w:p>
            <w:pPr>
              <w:spacing w:after="60"/>
            </w:pPr>
            <w:r>
              <w:rPr>
                <w:sz w:val="18"/>
              </w:rPr>
              <w:t>V10016GB;A10040GB extension. Two inference clients;Poisson;V100. Baseline: Dedicated high-priority inference. PDF p12 / printed1086; section6.2.3; Figure12</w:t>
            </w:r>
          </w:p>
        </w:tc>
      </w:tr>
    </w:tbl>
    <w:p>
      <w:r>
        <w:t>7.3x is maximum aggregate throughput;15% is authors’ Poisson high-priority latency summary over collocations,not worst-case/untrusted guarantee.</w:t>
      </w:r>
    </w:p>
    <w:p>
      <w:pPr>
        <w:pStyle w:val="Heading1"/>
        <w:pageBreakBefore/>
      </w:pPr>
      <w:r>
        <w:t>S005 / P023 - Real-time, Work-conserving GPU Scheduling for Concurrent DNN Inference</w:t>
      </w:r>
    </w:p>
    <w:p>
      <w:r>
        <w:t>Version: Author-hosted42page journal typeset copy; publication footerNovember2025; extension statement onp1</w:t>
      </w:r>
    </w:p>
    <w:p>
      <w:r>
        <w:t>Source: https://media.jryang.com/files/reef-tocs25.pdf</w:t>
      </w:r>
    </w:p>
    <w:p>
      <w:r>
        <w:t>DOI/proceedings: 10.1145/3768622</w:t>
      </w:r>
    </w:p>
    <w:p>
      <w:r>
        <w:t>PDF pages: 42. SHA256: 462d0be310b4f92c1230e6e7fc0a8fb6185b885d40230375777e3364418024b8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8844"/>
      </w:tblGrid>
      <w:tr>
        <w:trPr>
          <w:tblHeader/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Criterion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Finding and source anchor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IC1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Journal extension ofP005 explicitly identified; no new study. PDF p1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IC2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Reset preemption and padding implemented on AMD and NVIDIA. PDF pp9,15-23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IC3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TVM,PyTorch,TensorRT DNN/LLM inference workloads. PDF pp23-24,31-33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IC4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Normalized latency/throughput metrics and comparisons inspectable. PDF pp24-25,31-32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IC5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OneMI50 and oneGV100 configurations separately evaluated. PDF p23; section6.2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/>
            </w:pPr>
            <w:r>
              <w:rPr>
                <w:sz w:val="18"/>
              </w:rPr>
              <w:t>IC6</w:t>
            </w:r>
          </w:p>
        </w:tc>
        <w:tc>
          <w:tcPr>
            <w:tcW w:type="dxa" w:w="8844"/>
          </w:tcPr>
          <w:p>
            <w:pPr>
              <w:spacing w:after="60"/>
            </w:pPr>
            <w:r>
              <w:rPr>
                <w:sz w:val="18"/>
              </w:rPr>
              <w:t>Source footer givesNovember2025,within period; distinguish issue versus online dates. PDF pp1-2</w:t>
            </w:r>
          </w:p>
        </w:tc>
      </w:tr>
    </w:tbl>
    <w:p>
      <w:r>
        <w:t>Companion report linked toS005. No extra study-level QA form or new study count is created. Its new NVIDIA/LLM experiments must be extracted as separate report/version strata if used quantitatively.</w:t>
      </w:r>
    </w:p>
    <w:p>
      <w:r>
        <w:t>The first-page extension statement links P023 to P005. Source setup: TVM0.14/Ubuntu20.04/32GB host and full NVIDIA implementation, versus conference TVM0.8/Ubuntu18.04/16GB host and restrictedREEF-N. Do not transplant journal performance into the conferenceAMD outcome rows. Journal Figures28-30 add Triton,Orion and LLM comparisons under distinct conditions.</w:t>
      </w:r>
    </w:p>
    <w:p>
      <w:r>
        <w:br w:type="page"/>
      </w:r>
    </w:p>
    <w:p>
      <w:pPr>
        <w:pStyle w:val="Heading1"/>
      </w:pPr>
      <w:r>
        <w:t>Methodology audit and actions</w:t>
      </w:r>
    </w:p>
    <w:p>
      <w:pPr>
        <w:pStyle w:val="Heading2"/>
      </w:pPr>
      <w:r>
        <w:t>MA01 Protocol preservation (Resolution documented)</w:t>
      </w:r>
    </w:p>
    <w:p>
      <w:r>
        <w:t>Frozen protocol preserved; all later amendments and execution deviations are separate.</w:t>
      </w:r>
    </w:p>
    <w:p>
      <w:r>
        <w:t>Evidence: task1/submitted_protocol.pdf; evidence/protocol_amendments.md</w:t>
      </w:r>
    </w:p>
    <w:p>
      <w:r>
        <w:t>Next: Keep submitted protocol unchanged; source hash verified in integrated validation.</w:t>
      </w:r>
    </w:p>
    <w:p>
      <w:pPr>
        <w:pStyle w:val="Heading2"/>
      </w:pPr>
      <w:r>
        <w:t>MA02 Counting arithmetic (Green)</w:t>
      </w:r>
    </w:p>
    <w:p>
      <w:r>
        <w:t>4189-114=4075;3493+559+21+2=4075;21reports=20studies</w:t>
      </w:r>
    </w:p>
    <w:p>
      <w:r>
        <w:t>Evidence: baseline_PRISMA_Counts.csv; Screening_Log; Duplicate_Removal</w:t>
      </w:r>
    </w:p>
    <w:p>
      <w:r>
        <w:t>Next: Arithmetic verified; this does not validate every screening judgment</w:t>
      </w:r>
    </w:p>
    <w:p>
      <w:pPr>
        <w:pStyle w:val="Heading2"/>
      </w:pPr>
      <w:r>
        <w:t>MA03 Duplicate linkage (Green)</w:t>
      </w:r>
    </w:p>
    <w:p>
      <w:r>
        <w:t>114unique removed IDs;all114canonical targets exist in4075record register</w:t>
      </w:r>
    </w:p>
    <w:p>
      <w:r>
        <w:t>Evidence: baseline_Duplicate_Removal.csv;baseline_Screening_Log.csv</w:t>
      </w:r>
    </w:p>
    <w:p>
      <w:r>
        <w:t>Next: Keep original links;pairwise semantic validation is a separate task</w:t>
      </w:r>
    </w:p>
    <w:p>
      <w:pPr>
        <w:pStyle w:val="Heading2"/>
      </w:pPr>
      <w:r>
        <w:t>MA04 559-record stopping rule (Explicit limitation)</w:t>
      </w:r>
    </w:p>
    <w:p>
      <w:r>
        <w:t>559 retained records were not advanced; their full eligibility is unknown. The 20-study count does not close this branch.</w:t>
      </w:r>
    </w:p>
    <w:p>
      <w:r>
        <w:t>Evidence: baseline_Screening_Log.csv;Method_and_Deviations;rameen/novelty_scope_notes.md</w:t>
      </w:r>
    </w:p>
    <w:p>
      <w:r>
        <w:t>Next: Use Remaining_559_Screening_Queue.csv for two actual votes, abstract retrieval where needed, full-text attempts and IC/EC decisions. Otherwise submit a clearly bounded first draft and retain the deviation; instructor acceptance has not been evidenced.</w:t>
      </w:r>
    </w:p>
    <w:p>
      <w:pPr>
        <w:pStyle w:val="Heading2"/>
      </w:pPr>
      <w:r>
        <w:t>MA05 Abstract coverage (Explicit limitation)</w:t>
      </w:r>
    </w:p>
    <w:p>
      <w:r>
        <w:t>Frozen canonical register: 2933 without abstracts and 1142 with abstracts. Current 559-row queue separately audits recoverable metadata; availability does not prove reading.</w:t>
      </w:r>
    </w:p>
    <w:p>
      <w:r>
        <w:t>Evidence: baseline_Screening_Log.csv;Abstract available; integrated source-review registers / remaining_559_audit.json; integrated source-review registers / remaining_559_audit.json</w:t>
      </w:r>
    </w:p>
    <w:p>
      <w:r>
        <w:t>Next: Use actual source abstracts where recoverable; request abstract/full text for uncertain records; exclude only on a supported IC/EC reason. Title-only decisions remain a limitation. See remaining_559_audit.json.</w:t>
      </w:r>
    </w:p>
    <w:p>
      <w:pPr>
        <w:pStyle w:val="Heading2"/>
      </w:pPr>
      <w:r>
        <w:t>MA06 Independent review (Explicit limitation)</w:t>
      </w:r>
    </w:p>
    <w:p>
      <w:r>
        <w:t>All 200 included-study QA items and 52 outcome rows have source-review entries; separate named human votes are absent.</w:t>
      </w:r>
    </w:p>
    <w:p>
      <w:r>
        <w:t>Evidence: Submittedprotocolsection9;teamworkdivision;reviewregisters; integrated source-review registers / remaining_559_audit.json; integrated source-review registers / remaining_559_audit.json</w:t>
      </w:r>
    </w:p>
    <w:p>
      <w:r>
        <w:t>Next: Use teammate rotation; preserve initial independent judgments, real names/times, disagreements and adjudication. Do not copy prepared appraisals into independent-vote fields.</w:t>
      </w:r>
    </w:p>
    <w:p>
      <w:pPr>
        <w:pStyle w:val="Heading2"/>
      </w:pPr>
      <w:r>
        <w:t>MA07 Shared search provenance (Explicit limitation)</w:t>
      </w:r>
    </w:p>
    <w:p>
      <w:r>
        <w:t>IEEE/Springer shared searches are attributed. Historical exact execution times and complete operator receipts remain unavailable.</w:t>
      </w:r>
    </w:p>
    <w:p>
      <w:r>
        <w:t>Evidence: baseline_Search_Log.csv;IMPORT_PROVENANCE.md</w:t>
      </w:r>
    </w:p>
    <w:p>
      <w:r>
        <w:t>Next: Disclose reuse and missing times; recorded dates do not establish within-day times. No retrospective rerun is claimed.</w:t>
      </w:r>
    </w:p>
    <w:p>
      <w:pPr>
        <w:pStyle w:val="Heading2"/>
      </w:pPr>
      <w:r>
        <w:t>MA08 ACM provenance (Explicit limitation)</w:t>
      </w:r>
    </w:p>
    <w:p>
      <w:r>
        <w:t>ACM numbered files contribute 1582 active occurrences. Two master BibTeX files parse to 1829 entries and are not active additional occurrences. Display1600/claimed1603 versus parsed1829 and exact run mapping remain unresolved.</w:t>
      </w:r>
    </w:p>
    <w:p>
      <w:r>
        <w:t>Evidence: baseline_Search_Log.csv;ACM-MASTER;ACM-NUMBERED-UNMAPPED</w:t>
      </w:r>
    </w:p>
    <w:p>
      <w:r>
        <w:t>Next: Retain count fields separately; do not add master records to PRISMA. Verify raw-file mapping with original collector if available.</w:t>
      </w:r>
    </w:p>
    <w:p>
      <w:pPr>
        <w:pStyle w:val="Heading2"/>
      </w:pPr>
      <w:r>
        <w:t>MA09 ScienceDirect provenance (Explicit limitation)</w:t>
      </w:r>
    </w:p>
    <w:p>
      <w:r>
        <w:t>ScienceDirect active register has1898 occurrences. MPS displayed517 versus registered563 remains unresolved. A historical full-export manifest exists, but its named archive files are absent from this checkout; four standalone samples do not replace the full archive.</w:t>
      </w:r>
    </w:p>
    <w:p>
      <w:r>
        <w:t>Evidence: baseline_Search_Log.csv;Method_and_Deviations</w:t>
      </w:r>
    </w:p>
    <w:p>
      <w:r>
        <w:t>Next: Preserve manifest as historical evidence; do not assert current byte verification or export completeness. Missing archive and field/facet uncertainty remain disclosed.</w:t>
      </w:r>
    </w:p>
    <w:p>
      <w:pPr>
        <w:pStyle w:val="Heading2"/>
      </w:pPr>
      <w:r>
        <w:t>MA10 Search fields and synonyms (Explicit limitation)</w:t>
      </w:r>
    </w:p>
    <w:p>
      <w:r>
        <w:t>Accepted query/field deviations from the submitted protocol are documented. Broad indexed fields and missing run/facet mapping cannot be reconstructed from reading copies.</w:t>
      </w:r>
    </w:p>
    <w:p>
      <w:r>
        <w:t>Evidence: baseline_Search_Log.csv;submittedprotocolsearchstrings</w:t>
      </w:r>
    </w:p>
    <w:p>
      <w:r>
        <w:t>Next: Report actual preserved strings; distinguish planned versus executed searches and supplementary retrieval. No unseen run or missing filter is invented.</w:t>
      </w:r>
    </w:p>
    <w:p>
      <w:pPr>
        <w:pStyle w:val="Heading2"/>
      </w:pPr>
      <w:r>
        <w:t>MA11 Source versions (Explicit limitation)</w:t>
      </w:r>
    </w:p>
    <w:p>
      <w:r>
        <w:t>All20 study copies plus REEF companion are inspected. iGniter final copy is checked; REEF E018-E026 belong to conferenceP005; Tally is pinned to arXivv3. ParvaGPU final-text equivalence remains unverified.</w:t>
      </w:r>
    </w:p>
    <w:p>
      <w:r>
        <w:t>Evidence: eshaal/sources;raazia/README.md; integrated source-review registers / remaining_559_audit.json; integrated source-review registers / remaining_559_audit.json</w:t>
      </w:r>
    </w:p>
    <w:p>
      <w:r>
        <w:t>Next: Retain ParvaGPU manuscript-only quantitative status and IC1 version condition; no false final-version certification.</w:t>
      </w:r>
    </w:p>
    <w:p>
      <w:pPr>
        <w:pStyle w:val="Heading2"/>
      </w:pPr>
      <w:r>
        <w:t>MA12 QA consistency (Resolution documented)</w:t>
      </w:r>
    </w:p>
    <w:p>
      <w:r>
        <w:t>Claim-specific Q9 calibration and applicable-denominator review are applied across20 forms. P003 artifact appendix supports Q10=2. Original scores remain frozen and item-level changes are logged.</w:t>
      </w:r>
    </w:p>
    <w:p>
      <w:r>
        <w:t>Evidence: QA_Source_Review.csv;submittedprotocolsection10; integrated source-review registers / remaining_559_audit.json; integrated source-review registers / remaining_559_audit.json</w:t>
      </w:r>
    </w:p>
    <w:p>
      <w:r>
        <w:t>Next: Use integrated current scores; human calibration/signoff remains a separate pending step. N/A only P001Q7 and P006Q9.</w:t>
      </w:r>
    </w:p>
    <w:p>
      <w:pPr>
        <w:pStyle w:val="Heading2"/>
      </w:pPr>
      <w:r>
        <w:t>MA13 Extraction (Resolution documented)</w:t>
      </w:r>
    </w:p>
    <w:p>
      <w:r>
        <w:t>All52 retained outcomes source-checked across the three packages; corrected anchors, metric meanings and source-version boundaries integrated.</w:t>
      </w:r>
    </w:p>
    <w:p>
      <w:r>
        <w:t>Evidence: Outcome_Source_Review.csv; integrated source-review registers / remaining_559_audit.json; integrated source-review registers / remaining_559_audit.json</w:t>
      </w:r>
    </w:p>
    <w:p>
      <w:r>
        <w:t>Next: Do not treat reporting verification as experiment replication; named independent checks remain pending.</w:t>
      </w:r>
    </w:p>
    <w:p>
      <w:pPr>
        <w:pStyle w:val="Heading2"/>
      </w:pPr>
      <w:r>
        <w:t>MA14 Minimum-study instruction (Resolution documented)</w:t>
      </w:r>
    </w:p>
    <w:p>
      <w:r>
        <w:t>User clarified Sir requires20 studies; docs/guidelines.md states minimum15to20. Corpus has20 unique studies/21reports because REEF conference+journal is one study.</w:t>
      </w:r>
    </w:p>
    <w:p>
      <w:r>
        <w:t>Evidence: TEAM_WORK_DIVISION.md;POST_TASK2_CHECKLIST.md;userinstruction</w:t>
      </w:r>
    </w:p>
    <w:p>
      <w:r>
        <w:t>Next: No count-driven extra studies are required for this draft. If completing the retained queue identifies more eligible studies, include them under the predefined criteria rather than stopping at20.</w:t>
      </w:r>
    </w:p>
    <w:p>
      <w:pPr>
        <w:pStyle w:val="Heading1"/>
      </w:pPr>
      <w:r>
        <w:t>Independent-check return</w:t>
      </w:r>
    </w:p>
    <w:p>
      <w:r>
        <w:t>Rameen independently checks P001–P007 plusP023. Eshaal independently checks Raazia’sP008–P014. Enter the actual reviewer,checked time,initial decision,source anchor and disagreements separately. These prepared review records cannot be copied into human-vote columns as independent signoff.</w:t>
      </w:r>
    </w:p>
    <w:p>
      <w:r>
        <w:t>Checked: 2026-10-22T14:54:10.997021+05:00. Attribution: AI assistant preparing Eshaal assignment at Raazia request. Full texts are excluded from public Git; source hashes and appraisal facts are retained.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