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Raazia Assigned Source Review</w:t>
      </w:r>
    </w:p>
    <w:p>
      <w:r>
        <w:t>Operating Systems CEP Topic 23 | Studies S008 to S014 | 21 October 2026</w:t>
      </w:r>
    </w:p>
    <w:p>
      <w:r>
        <w:t>This deliverable records an AI-assisted source review completed under Raazia Imran Reshamwala’s direction. It contains seven source identity checks, 42 eligibility-criterion assessments, 70 QA appraisals, 13 outcome checks, a correction register and reviewed bibliography. The integrated report and master workbook include the supported corrections.</w:t>
      </w:r>
    </w:p>
    <w:p>
      <w:r>
        <w:t>All 13 retained numerical values were found in the accessed sources. Corrections concern page anchors, software details, runtime-mode distinctions, offered-load interpretation and claim-specific QA rationale. Original scores and records remain in the frozen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1304"/>
        <w:gridCol w:w="1304"/>
        <w:gridCol w:w="1304"/>
      </w:tblGrid>
      <w:tr>
        <w:trPr>
          <w:tblHeader/>
        </w:trP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Study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 QA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 QA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Outcome rows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S008 GSLICE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S009 Serving DNNs like Clockwork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S010 Colocating ML Inference and Training with Fast GPU Memory Handover (SIRIUS)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S011 ParvaGPU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S012 Torpor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S013 StreamBox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S014 Efficient Performance-Aware GPU Sharing with Compatibility and Isolation through Kernel Space Interception (KRYPTON)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r>
        <w:t>QA totals change from 110/140 to 114/140. Clockwork and StreamBox each gain two points because reported configuration and clearly delimited performance/trust evidence satisfy Q4 and Q9. A score is a source appraisal, not a performance measure or a human independent vote.</w:t>
      </w:r>
    </w:p>
    <w:p>
      <w:r>
        <w:t>Version boundary: ParvaGPU values were checked against arXiv2409.14447v1. Conference publication identity is confirmed; equivalence of the numerical manuscript to the final published full text is not established. Global review scope is unchanged: 559 retained records have not received source assessment. These are study-selection limitations, not findings that this seven-study check can erase.</w:t>
      </w:r>
    </w:p>
    <w:p>
      <w:pPr>
        <w:pStyle w:val="Heading1"/>
      </w:pPr>
      <w:r>
        <w:t>Integrated corrections</w:t>
      </w:r>
    </w:p>
    <w:p>
      <w:pPr>
        <w:pStyle w:val="Heading2"/>
      </w:pPr>
      <w:r>
        <w:t>R01 P008 Reading copy</w:t>
      </w:r>
    </w:p>
    <w:p>
      <w:r>
        <w:t>Original: Saved local PDF unreadable</w:t>
      </w:r>
    </w:p>
    <w:p>
      <w:r>
        <w:t>Reviewed treatment: Recovered a readable 15-page academic-mirror copy; kept old bytes separately</w:t>
      </w:r>
    </w:p>
    <w:p>
      <w:r>
        <w:t>Evidence: File parsing and title/DOI checks</w:t>
      </w:r>
    </w:p>
    <w:p>
      <w:pPr>
        <w:pStyle w:val="Heading2"/>
      </w:pPr>
      <w:r>
        <w:t>R02 P009 E033/E034 Evidence anchor</w:t>
      </w:r>
    </w:p>
    <w:p>
      <w:r>
        <w:t>Original: Author-copy page10 inherited</w:t>
      </w:r>
    </w:p>
    <w:p>
      <w:r>
        <w:t>Reviewed treatment: Use accessed USENIX PDF pp10-11, printed451-452</w:t>
      </w:r>
    </w:p>
    <w:p>
      <w:r>
        <w:t>Evidence: Figure5 and section6.1</w:t>
      </w:r>
    </w:p>
    <w:p>
      <w:pPr>
        <w:pStyle w:val="Heading2"/>
      </w:pPr>
      <w:r>
        <w:t>R03 P009 Runtime extraction</w:t>
      </w:r>
    </w:p>
    <w:p>
      <w:r>
        <w:t>Original: Software versions not assessed</w:t>
      </w:r>
    </w:p>
    <w:p>
      <w:r>
        <w:t>Reviewed treatment: TVMv0.7 reported; preserve missing OS/driver distinctions</w:t>
      </w:r>
    </w:p>
    <w:p>
      <w:r>
        <w:t>Evidence: PDF pp4,7; Table1; section5</w:t>
      </w:r>
    </w:p>
    <w:p>
      <w:pPr>
        <w:pStyle w:val="Heading2"/>
      </w:pPr>
      <w:r>
        <w:t>R04 P009 Q3 QA rationale</w:t>
      </w:r>
    </w:p>
    <w:p>
      <w:r>
        <w:t>Original: Repetition count unclear</w:t>
      </w:r>
    </w:p>
    <w:p>
      <w:r>
        <w:t>Reviewed treatment: Scaling experiment has three repetitions; retained local Figure5 repetitions unspecified</w:t>
      </w:r>
    </w:p>
    <w:p>
      <w:r>
        <w:t>Evidence: PDF p14 section6.6; pp10-11 section6.1</w:t>
      </w:r>
    </w:p>
    <w:p>
      <w:pPr>
        <w:pStyle w:val="Heading2"/>
      </w:pPr>
      <w:r>
        <w:t>R05 P009 Q4/Q9 QA reappraisal</w:t>
      </w:r>
    </w:p>
    <w:p>
      <w:r>
        <w:t>Original: 1/2 for both</w:t>
      </w:r>
    </w:p>
    <w:p>
      <w:r>
        <w:t>Reviewed treatment: 2/2 for both: hardware/compiler/workload documented; performance isolation evaluated within explicit boundary</w:t>
      </w:r>
    </w:p>
    <w:p>
      <w:r>
        <w:t>Evidence: Submitted rubric Table8; source anchors in QA review</w:t>
      </w:r>
    </w:p>
    <w:p>
      <w:pPr>
        <w:pStyle w:val="Heading2"/>
      </w:pPr>
      <w:r>
        <w:t>R06 P013 Q4/Q9 QA reappraisal</w:t>
      </w:r>
    </w:p>
    <w:p>
      <w:r>
        <w:t>Original: 1/2 for both</w:t>
      </w:r>
    </w:p>
    <w:p>
      <w:r>
        <w:t>Reviewed treatment: 2/2 for both: hardware/framework/workload documented; trust assumptions and scope explicitly delimited</w:t>
      </w:r>
    </w:p>
    <w:p>
      <w:r>
        <w:t>Evidence: Submitted rubric Table8; source anchors in QA review</w:t>
      </w:r>
    </w:p>
    <w:p>
      <w:pPr>
        <w:pStyle w:val="Heading2"/>
      </w:pPr>
      <w:r>
        <w:t>R07 P012 Isolation/fault extraction</w:t>
      </w:r>
    </w:p>
    <w:p>
      <w:r>
        <w:t>Original: Not assessed in retained extract</w:t>
      </w:r>
    </w:p>
    <w:p>
      <w:r>
        <w:t>Reviewed treatment: Section4.5 describes two runtime modes and recovery; section7 uses sharing mode, section8 isolation mode; direct fault-test evidence not established</w:t>
      </w:r>
    </w:p>
    <w:p>
      <w:r>
        <w:t>Evidence: PDF pp7,9; sections4.5,7-8</w:t>
      </w:r>
    </w:p>
    <w:p>
      <w:pPr>
        <w:pStyle w:val="Heading2"/>
      </w:pPr>
      <w:r>
        <w:t>R08 P014 E042 Offered-load context</w:t>
      </w:r>
    </w:p>
    <w:p>
      <w:r>
        <w:t>Original: Poisson rate half maximum in shared test</w:t>
      </w:r>
    </w:p>
    <w:p>
      <w:r>
        <w:t>Reviewed treatment: Initial rate half solo maximum; shared test halves it again for50% allocation</w:t>
      </w:r>
    </w:p>
    <w:p>
      <w:r>
        <w:t>Evidence: PDF pp12-13 section5.5</w:t>
      </w:r>
    </w:p>
    <w:p>
      <w:pPr>
        <w:pStyle w:val="Heading2"/>
      </w:pPr>
      <w:r>
        <w:t>R09 P009/P012/P014 Q10 QA rationale</w:t>
      </w:r>
    </w:p>
    <w:p>
      <w:r>
        <w:t>Original: Artifact/reproduction wording used inconsistently</w:t>
      </w:r>
    </w:p>
    <w:p>
      <w:r>
        <w:t>Reviewed treatment: Appraise source replication information; do not penalize a paper merely because this review did not rerun it</w:t>
      </w:r>
    </w:p>
    <w:p>
      <w:r>
        <w:t>Evidence: Protocol Q10; revised QA rationales</w:t>
      </w:r>
    </w:p>
    <w:p>
      <w:pPr>
        <w:pStyle w:val="Heading2"/>
      </w:pPr>
      <w:r>
        <w:t>R10 P008-P014 Bibliography</w:t>
      </w:r>
    </w:p>
    <w:p>
      <w:r>
        <w:t>Original: Generic misc entries and abbreviated authors</w:t>
      </w:r>
    </w:p>
    <w:p>
      <w:r>
        <w:t>Reviewed treatment: Create full-author conference entries; label ParvaGPU accessed manuscript separately</w:t>
      </w:r>
    </w:p>
    <w:p>
      <w:r>
        <w:t>Evidence: Accessed PDF title pages and SC24/author record</w:t>
      </w:r>
    </w:p>
    <w:p>
      <w:pPr>
        <w:pStyle w:val="Heading2"/>
      </w:pPr>
      <w:r>
        <w:t>R11 P011 Version record</w:t>
      </w:r>
    </w:p>
    <w:p>
      <w:r>
        <w:t>Original: Published/preprint relationship uncertain</w:t>
      </w:r>
    </w:p>
    <w:p>
      <w:r>
        <w:t>Reviewed treatment: Publication identity confirmed; numerical check remains explicitly scoped to arXivv1</w:t>
      </w:r>
    </w:p>
    <w:p>
      <w:r>
        <w:t>Evidence: SC24 official record and accessed arXivv1</w:t>
      </w:r>
    </w:p>
    <w:p>
      <w:pPr>
        <w:pStyle w:val="Heading2"/>
      </w:pPr>
      <w:r>
        <w:t>R12 Review attribution Reviewer identity</w:t>
      </w:r>
    </w:p>
    <w:p>
      <w:r>
        <w:t>Original: User requested assistant to do assigned work</w:t>
      </w:r>
    </w:p>
    <w:p>
      <w:r>
        <w:t>Reviewed treatment: Record AI assistant under Raazia direction; independent human vote left blank</w:t>
      </w:r>
    </w:p>
    <w:p>
      <w:r>
        <w:t>Evidence: Actual review method</w:t>
      </w:r>
    </w:p>
    <w:p>
      <w:r>
        <w:br w:type="page"/>
      </w:r>
    </w:p>
    <w:p>
      <w:pPr>
        <w:pStyle w:val="Heading1"/>
      </w:pPr>
      <w:r>
        <w:t>S008 GSLICE: Controlled Spatial Sharing of GPUs for a Scalable Inference Platform</w:t>
      </w:r>
    </w:p>
    <w:p>
      <w:r>
        <w:t>Report P008 | 2020 | SoCC 2020</w:t>
      </w:r>
    </w:p>
    <w:p>
      <w:r>
        <w:t>DOI or proceedings: 10.1145/3419111.3421284</w:t>
      </w:r>
    </w:p>
    <w:p>
      <w:r>
        <w:t>Source: https://www.cse.iitb.ac.in/~puru/courses/spring2024-25/downloads/gslice.pdf</w:t>
      </w:r>
    </w:p>
    <w:p>
      <w:r>
        <w:t>Version checked: Conference paper; title and author identity matched in accessed PDF</w:t>
      </w:r>
    </w:p>
    <w:p>
      <w:r>
        <w:t>PDF pages: 15 | SHA256: f8e67a94189a3db224886768bd197e020f30a26572caf7f88cbb28efd35631c9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 by accessed conference copy. Conference title/authors/year matched in full text. Anchor: PDF title/cover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MPS allocation among concurrent inference functions Anchor: PDF pp4-8; section3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PDF p9; section4.2; Figure10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GSLICE PDF p9; printed p500; Table3; GSLICE PDF p10; printed p501; Table4 and section4.3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PDF p9; section4.2; Figure10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2020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Inference sharing objective explicit. PDF p1; printed p492; abstract/introduction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MPS allocation and adaptive batching described. PDF pp4-8; section3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Confidence intervals shown; repeated-run count not specified for retained results. PDF p9; printed p500; section4.1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V100 testbed, kernel, frameworks and concurrent models specified. PDF pp8-9; section4 setup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TensorRT comparison matches GPU-ready batch execution and states excluded transport costs. PDF p10; printed p501; section4.3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GUE defined as an efficacy metric; table values are not busy percentages. PDF p3; printed p494; PDF p9 Table3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Median latency and SLO shown; request-tail quantile not established. PDF p10; section4.4; Figures12a-12b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Two-to-four-function combinations evaluated. PDF p9; section4.2; Figure10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Performance boundary evaluated under allocated GPU shares; no adversarial guarantee inferred. PDF pp5-7,10-11; sections3.2,4.5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Implementation and sensitivity described; full reproduction package not established in accessed copy. PDF pp8-13; sections4-6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E031 GPU utilization efficacy GUE: 94.04 composite score.</w:t>
      </w:r>
    </w:p>
    <w:p>
      <w:r>
        <w:t>Baseline: Default MPS GUE38.82. Workload: Alexnet+ResNet50;25ms target. Hardware: One V10016GB.</w:t>
      </w:r>
    </w:p>
    <w:p>
      <w:r>
        <w:t>Interpretation: Not percent GPU utilization Anchor: GSLICE PDF p9; printed p500; Table3.</w:t>
      </w:r>
    </w:p>
    <w:p>
      <w:r>
        <w:t>E032 Signed latency improvement: -7.52 percent.</w:t>
      </w:r>
    </w:p>
    <w:p>
      <w:r>
        <w:t>Baseline: TensorRT server19.02. Workload: ResNet50;batch1;GPU-ready batch execution. Hardware: One V10016GB.</w:t>
      </w:r>
    </w:p>
    <w:p>
      <w:r>
        <w:t>Interpretation: Negative means worse latency; excludes transport overhead; single-model comparison Anchor: GSLICE PDF p10; printed p501; Table4 and section4.3.</w:t>
      </w:r>
    </w:p>
    <w:p>
      <w:r>
        <w:br w:type="page"/>
      </w:r>
    </w:p>
    <w:p>
      <w:pPr>
        <w:pStyle w:val="Heading1"/>
      </w:pPr>
      <w:r>
        <w:t>S009 Serving DNNs like Clockwork: Performance Predictability from the Bottom Up</w:t>
      </w:r>
    </w:p>
    <w:p>
      <w:r>
        <w:t>Report P009 | 2020 | USENIX OSDI 2020</w:t>
      </w:r>
    </w:p>
    <w:p>
      <w:r>
        <w:t>DOI or proceedings: USENIX proceedings (no DOI assigned)</w:t>
      </w:r>
    </w:p>
    <w:p>
      <w:r>
        <w:t>Source: https://www.usenix.org/system/files/osdi20-gujarati.pdf</w:t>
      </w:r>
    </w:p>
    <w:p>
      <w:r>
        <w:t>Version checked: Conference paper; title and author identity matched in accessed PDF</w:t>
      </w:r>
    </w:p>
    <w:p>
      <w:r>
        <w:t>PDF pages: 21 | SHA256: 31e12ad02b25dfc0296bbaa577c4dd46cee8bf3ae4e4db51aaa5d557a794abfb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 by accessed conference copy. Conference title/authors/year matched in full text. Anchor: PDF title/cover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Temporal scheduling of multiple inference models on one GPU Anchor: PDF pp6-10; sections4-5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PDF pp10-12; sections6.1-6.3; Figures5-7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USENIX PDF pp10-11; printed pp451-452; Figure5 and section6.1; USENIX PDF pp10-11; printed pp451-452; Figure5 and section6.1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PDF pp10-12; sections6.1-6.3; Figures5-7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2020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Predictable multi-model inference objective and target behavior explicit. PDF p2; printed p443; section1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Controller scheduling, worker actions and managed model runtime described. PDF pp6-10; sections4-5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Section6.6 reports three scaling repetitions; repeated-run count for retained Figure5 is not specified. PDF pp10-11,14; sections6.1,6.6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V100 hardware, TVM v0.7 compiler, model set and client configuration are reported. PDF pp4,7,10; Table1; sections2,6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INFaaS uses different EC2 machines; authors restrict that contrast to qualitative interpretation. PDF p10; printed p451; section6.1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Goodput counts successful requests within their deadline and excludes late requests. PDF p11; printed p452; section6.1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SLO range, closed-loop load, latency CDF and batch scheduling explanation are explicit. PDF pp10-11; Figure5; section6.1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Concurrent model demand and a protected minor workload tested. PDF pp10-12; sections6.1-6.3; Figures5-7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Performance-isolation boundary is measured; dedicated-worker assumptions and security exclusions are explicit. PDF pp11-12,14-15; sections6.2,7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Runtime, scheduling, model details and limitations support informed implementation appraisal; no local reproduction claimed. PDF pp7-10,14-15; sections5,7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E033 Clockwork goodput: approximately800 requests/second.</w:t>
      </w:r>
    </w:p>
    <w:p>
      <w:r>
        <w:t>Baseline: INFaaS on nonidentical EC2 setup. Workload: 15 ResNet50 instances;16 clients/model;500ms SLO. Hardware: One V10032GB in section6.1.</w:t>
      </w:r>
    </w:p>
    <w:p>
      <w:r>
        <w:t>Interpretation: Within-SLO successes; comparator qualitative; not total throughput Anchor: USENIX PDF pp10-11; printed pp451-452; Figure5 and section6.1.</w:t>
      </w:r>
    </w:p>
    <w:p>
      <w:r>
        <w:t>E034 Clockwork request latency: approximately300 milliseconds.</w:t>
      </w:r>
    </w:p>
    <w:p>
      <w:r>
        <w:t>Baseline: No comparative ratio. Workload: 15 ResNet50 instances;16 clients/model;500ms SLO. Hardware: One V10032GB in section6.1.</w:t>
      </w:r>
    </w:p>
    <w:p>
      <w:r>
        <w:t>Interpretation: Batch16 scheduling explanation; not a p99 value Anchor: USENIX PDF pp10-11; printed pp451-452; Figure5 and section6.1.</w:t>
      </w:r>
    </w:p>
    <w:p>
      <w:r>
        <w:br w:type="page"/>
      </w:r>
    </w:p>
    <w:p>
      <w:pPr>
        <w:pStyle w:val="Heading1"/>
      </w:pPr>
      <w:r>
        <w:t>S010 Colocating ML Inference and Training with Fast GPU Memory Handover (SIRIUS)</w:t>
      </w:r>
    </w:p>
    <w:p>
      <w:r>
        <w:t>Report P010 | 2025 | USENIX ATC2025, pp1657-1675</w:t>
      </w:r>
    </w:p>
    <w:p>
      <w:r>
        <w:t>DOI or proceedings: USENIX proceedings (no DOI assigned)</w:t>
      </w:r>
    </w:p>
    <w:p>
      <w:r>
        <w:t>Source: https://www.usenix.org/system/files/atc25-wang-jiali.pdf</w:t>
      </w:r>
    </w:p>
    <w:p>
      <w:r>
        <w:t>Version checked: Conference paper; title and author identity matched in accessed PDF</w:t>
      </w:r>
    </w:p>
    <w:p>
      <w:r>
        <w:t>PDF pages: 20 | SHA256: a479c6a6719d7577e36c31c1ee216a6ca8f6cadb5b4b09b1ff73ee6f6befaca0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 by accessed conference copy. Conference title/authors/year matched in full text. Anchor: PDF title/cover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Single-GPU inference/training co-location with separable inference P99 Anchor: PDF pp5-10; sections3-5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PDF p11; Figure10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USENIX PDF p11; printed p1666; Figure10 discussion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PDF p11; Figure10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2025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Inference-priority co-location objective and training progress goal explicit. PDF p2; printed p1657; abstract/introduction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VMM pool, handover, memory mapping and SM allocation described. PDF pp5-10; sections3-5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Trace distributions and 300-second window specified; repeated-run uncertainty not specified for Figure10. PDF pp10-11; section6; Figure10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V100/A100 cases, CPU/RAM, software versions and model/batch table supplied. PDF pp10-11,14; Table3; sections6,6.6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TaskSwitch is an adapted implementation; equivalence to unmodified PipeSwitch is not established. PDF p10; comparing targets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Training samples/second and inference SLO compliance are defined separately. PDF p11; metrics; Figure10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P99, arrivals, duration and four-times-solo SLO definition stated. PDF p11; section6.1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Inference plus Swin-T training co-location evaluated on a single GPU. PDF p11; Figure10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Handover correctness and priority boundary described; direct fault-injection validation not established. PDF pp6-10; sections4-5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Artifact appendix reports availability, functionality and reproduction badges with artifact DOI. PDF p20; artifact appendix; DOI10.5281/zenodo.15581800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E035 Average P99 inference latency improvement factor, as reported: 12.6 x.</w:t>
      </w:r>
    </w:p>
    <w:p>
      <w:r>
        <w:t>Baseline: TaskSwitch (authors' adapted temporal-switch baseline). Workload: section6.1 single-V100 DNN inference+Swin-T; Light/Heavy/Burst/Skewed/MAF traces;300s. Hardware: single NVIDIA Tesla V100 16GB in section6.1; four-V100 host; separate section6.6 single A100 80GB LLM experiment.</w:t>
      </w:r>
    </w:p>
    <w:p>
      <w:r>
        <w:t>Interpretation: Author-reported average across tested workloads; not a uniform per-model speedup, and not a comparison to unmodified PipeSwitch. Anchor: USENIX PDF p11; printed p1666; Figure10 discussion.</w:t>
      </w:r>
    </w:p>
    <w:p>
      <w:r>
        <w:br w:type="page"/>
      </w:r>
    </w:p>
    <w:p>
      <w:pPr>
        <w:pStyle w:val="Heading1"/>
      </w:pPr>
      <w:r>
        <w:t>S011 ParvaGPU: Efficient Spatial GPU Sharing for Large-Scale DNN Inference in Cloud Environments</w:t>
      </w:r>
    </w:p>
    <w:p>
      <w:r>
        <w:t>Report P011 | 2024 | SC2024 identity; extracted text is arXiv2409.14447v1</w:t>
      </w:r>
    </w:p>
    <w:p>
      <w:r>
        <w:t>DOI or proceedings: 10.1109/SC41406.2024.00048</w:t>
      </w:r>
    </w:p>
    <w:p>
      <w:r>
        <w:t>Source: https://arxiv.org/pdf/2409.14447</w:t>
      </w:r>
    </w:p>
    <w:p>
      <w:r>
        <w:t>Version checked: arXiv2409.14447v1; SC24 publication identity confirmed from conference/author records; final text equivalence not established</w:t>
      </w:r>
    </w:p>
    <w:p>
      <w:r>
        <w:t>PDF pages: 12 | SHA256: fb48e7b3e15cdedd1e9abec9b69764a9e18531fe3346e63d92d445bdf72c8f50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Final-version condition open. SC24/author records confirm peer-reviewed publication, but numerical source is arXivv1 and final-text equivalence is not established. Anchor: SC24 official record; author publication page; arXivv1 title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MPS processes within a MIG instance Anchor: arXiv v1 PDF pp4-8; sectionIII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arXiv v1 PDF pp4-5; Figures3-4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arXiv v1 PDF p5; sectionIII-B; Figures3-4 on p4; arXiv v1 PDF p5; sectionIII-B; Figures3-4 on p4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arXiv v1 PDF pp4-5; Figures3-4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2024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SLO-constrained inference resource objective explicit. arXiv v1 PDF pp1-2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MIG/MPS profiling, segment configuration and allocation algorithms described. arXiv v1 PDF pp4-8; sectionIII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Profiler and six scenarios specified; repeated-run uncertainty not established. arXiv v1 PDF pp5,8-10; sectionsIII-C,IV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A100, Ubuntu and CUDA reported; printed PyTorch1.14.0 string is an unresolved environment ambiguity. arXiv v1 PDF p8; sectionIV-A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Local process-count contrast interpretable; fleet baseline variants and manuscript scope constrain comparison. arXiv v1 PDF pp5,8; sectionsIII-B,IV-A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Local throughput values and metric units given. arXiv v1 PDF pp4-5; Figure3; sectionIII-B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Local latency values given without a named tail quantile. arXiv v1 PDF pp4-5; Figure4; sectionIII-B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One-to-three MPS processes measured inside a MIG segment. arXiv v1 PDF pp4-5; Figures3-4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MIG/MPS boundary described; no dedicated fault or adversarial experiment established in reviewed manuscript. arXiv v1 PDF pp2-4,8-10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Algorithms and reconfiguration limitation described; accessed manuscript has no verified final-version equivalence. arXiv v1 PDF pp5-10; sectionIII-F; source/version record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E036 Reported throughput: 446 requests/s.</w:t>
      </w:r>
    </w:p>
    <w:p>
      <w:r>
        <w:t>Baseline: same configuration with1 process (354requests/s). Workload: InceptionV3,1-GPC MIG instance,batch4;3 MPS processes. Hardware: A10080GB; Amazon p4de.24xlarge hosts with8 GPUs; extracted profiler point concerns one MIG segment.</w:t>
      </w:r>
    </w:p>
    <w:p>
      <w:r>
        <w:t>Interpretation: One local configuration, not fleet savings. Source is arXivv1; final published version not verified. Anchor: arXiv v1 PDF p5; sectionIII-B; Figures3-4 on p4.</w:t>
      </w:r>
    </w:p>
    <w:p>
      <w:r>
        <w:t>E037 Reported inference latency; quantile unspecified: 27 ms.</w:t>
      </w:r>
    </w:p>
    <w:p>
      <w:r>
        <w:t>Baseline: same configuration with1 process (11ms). Workload: InceptionV3,1-GPC MIG instance,batch4;3 MPS processes. Hardware: A10080GB; Amazon p4de.24xlarge hosts with8 GPUs; extracted profiler point concerns one MIG segment.</w:t>
      </w:r>
    </w:p>
    <w:p>
      <w:r>
        <w:t>Interpretation: Quantile/arrival model not established for this profiler point; do not label p99. Value is specific to the accessed author manuscript. Anchor: arXiv v1 PDF p5; sectionIII-B; Figures3-4 on p4.</w:t>
      </w:r>
    </w:p>
    <w:p>
      <w:r>
        <w:br w:type="page"/>
      </w:r>
    </w:p>
    <w:p>
      <w:pPr>
        <w:pStyle w:val="Heading1"/>
      </w:pPr>
      <w:r>
        <w:t>S012 Torpor: GPU-Enabled Serverless Computing for Low-Latency, Resource-Efficient Inference</w:t>
      </w:r>
    </w:p>
    <w:p>
      <w:r>
        <w:t>Report P012 | 2025 | USENIX ATC2025 pp597-612</w:t>
      </w:r>
    </w:p>
    <w:p>
      <w:r>
        <w:t>DOI or proceedings: USENIX proceedings (no DOI assigned)</w:t>
      </w:r>
    </w:p>
    <w:p>
      <w:r>
        <w:t>Source: https://www.usenix.org/system/files/atc25-yu.pdf</w:t>
      </w:r>
    </w:p>
    <w:p>
      <w:r>
        <w:t>Version checked: Conference paper; title and author identity matched in accessed PDF</w:t>
      </w:r>
    </w:p>
    <w:p>
      <w:r>
        <w:t>PDF pages: 17 | SHA256: f23e994fea5b089e01ecb7d7d03b371ca5d74a64f4c3a2aa9386a146eb2e5958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 by accessed conference copy. Conference title/authors/year matched in full text. Anchor: PDF title/cover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Many low-rate inference functions temporally share one GPU Anchor: PDF pp5-9; sections4-6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PDF pp10-11; Figure8; section7.2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USENIX PDF pp10-11; printed pp605-606; Figure8 and section7.2; USENIX PDF pp10-11; printed pp605-606; default P98 metrics and section7.2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PDF pp10-11; Figure8; section7.2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2025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Low-frequency serverless inference density and latency objectives explicit. PDF p2; printed p597; section1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Remoting, swapping, memory manager, scheduler and two runtime modes described. PDF pp5-9; sections4-6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Trace, rates and warm-up specified; repeated-run uncertainty not specified for retained Figure8. PDF pp9-11; section7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Worker and model configuration supplied; exact OS/driver/framework version matrix not specified in setup. PDF p9; printed p604; settings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Native and adapted INFless-KA baselines described; CPU execution paths and adaptations affect equality. PDF pp10-11; sections7.1-7.3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Normalized single-GPU throughput and GPU busy-time definition supplied. PDF pp10-11; metrics; Figure8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Default P98, per-function rates and deadlines stated. PDF pp10-11; metrics; section7.2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Many low-frequency functions share one GPU; node-level results identified separately. PDF pp10-11; Figure8; section7.2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Runtime-sharing and runtime-isolation modes plus recovery design stated; dedicated fault-injection evaluation not established. PDF p7; section4.5; PDF p9 evaluation mode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Implementation and mode trade-offs explained; complete public replication recipe not established in paper. PDF pp7-9,13; sections4.5,6,8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E038 Reported single-GPU throughput factor: &gt;10 x.</w:t>
      </w:r>
    </w:p>
    <w:p>
      <w:r>
        <w:t>Baseline: Native early binding at same offered function rate. Workload: multiple ResNet152 functions on one V10032GB;10requests/minute/function. Hardware: single V10032GB in local Figure8; evaluation worker has4 V10032GB GPUs.</w:t>
      </w:r>
    </w:p>
    <w:p>
      <w:r>
        <w:t>Interpretation: Lower bound reported by authors, not an exact10x; function count varies to saturate memory. No fleet cost claim. Anchor: USENIX PDF pp10-11; printed pp605-606; Figure8 and section7.2.</w:t>
      </w:r>
    </w:p>
    <w:p>
      <w:r>
        <w:t>E039 Reported P98 latency upper bound: &lt;50 ms.</w:t>
      </w:r>
    </w:p>
    <w:p>
      <w:r>
        <w:t>Baseline: Native under matched request-rate setting. Workload: same single-GPU low-rate ResNet152 test,10-80requests/minute/function. Hardware: single V10032GB in local Figure8; evaluation worker has4 V10032GB GPUs.</w:t>
      </w:r>
    </w:p>
    <w:p>
      <w:r>
        <w:t>Interpretation: Bound from text, not a digitized point; default98th percentile from section7 metrics. Applies to this workload. Anchor: USENIX PDF pp10-11; printed pp605-606; default P98 metrics and section7.2.</w:t>
      </w:r>
    </w:p>
    <w:p>
      <w:r>
        <w:br w:type="page"/>
      </w:r>
    </w:p>
    <w:p>
      <w:pPr>
        <w:pStyle w:val="Heading1"/>
      </w:pPr>
      <w:r>
        <w:t>S013 StreamBox: A Lightweight GPU SandBox for Serverless Inference Workflow</w:t>
      </w:r>
    </w:p>
    <w:p>
      <w:r>
        <w:t>Report P013 | 2024 | USENIX ATC2024 pp59-73</w:t>
      </w:r>
    </w:p>
    <w:p>
      <w:r>
        <w:t>DOI or proceedings: USENIX proceedings (no DOI assigned)</w:t>
      </w:r>
    </w:p>
    <w:p>
      <w:r>
        <w:t>Source: https://www.usenix.org/system/files/atc24-wu-hao.pdf</w:t>
      </w:r>
    </w:p>
    <w:p>
      <w:r>
        <w:t>Version checked: Conference paper; title and author identity matched in accessed PDF</w:t>
      </w:r>
    </w:p>
    <w:p>
      <w:r>
        <w:t>PDF pages: 16 | SHA256: d8de46489c9256a44d867b6945e909ce4fce24d7e579351c7e4247bddcfaa255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 by accessed conference copy. Conference title/authors/year matched in full text. Anchor: PDF title/cover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Streams and runtime/API sharing across inference workflows Anchor: PDF pp5-10; sections3-8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PDF p13; section9.4; Figure19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USENIX PDF p11; printed p68; section9.1; Figure13; USENIX PDF p13; printed p70; section9.3; Figure18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PDF p13; section9.4; Figure19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2024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Workflow runtime-redundancy and spatial-sharing objective explicit. PDF p2; printed p59; section1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API proxy, PTB transformation, stream sharing and memory pool described. PDF pp5-10; sections3-8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Trace types, ablations and workloads stated; repeated-run uncertainty not specified for Figure13. PDF pp10-13; section9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V100 hardware, CPU/RAM, framework versions, CUDA version and workflow descriptions reported. PDF p10; printed p67; setup; Table2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Warm-up and common optimizations disclosed; adapted baselines and batch/concurrency choices constrain causal attribution. PDF pp10-11; comparing targets; Figure13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Throughput, memory metrics and comparator-specific factors explicitly reported. PDF p11; printed p68; Figures12-13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Traffic SLO and CDF supplied; exact scalar request-tail quantile not supplied for retained throughput result. PDF p11; Figure14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Separate three- and six-user single-GPU tests supplied. PDF p13; section9.4; Figure19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Mutual trust within workflow is explicit; separate proxies for users are distinguished from untested strong security. PDF pp5-6,13; sections3-4,9.4,10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Implementation, preparation costs and multi-user limitations sufficiently detailed for informed appraisal. PDF pp6-10,13; sections4-9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E040 Author-reported average throughput factor: 6.7 x.</w:t>
      </w:r>
    </w:p>
    <w:p>
      <w:r>
        <w:t>Baseline: INFless with documented warm-up/pipelined loading/model sharing. Workload: three workflow types,PyTorch/TensorFlow,Azure-derived invocation patterns; evaluated V100 setup. Hardware: V10016GB,80CUs; host has4 GPUs; single-GPU multi-user test in section9.4.</w:t>
      </w:r>
    </w:p>
    <w:p>
      <w:r>
        <w:t>Interpretation: Aggregate within-paper result across tested workflows; not universal or a matched cross-paper speedup. Batch/concurrency optimizations contribute. Anchor: USENIX PDF p11; printed p68; section9.1; Figure13.</w:t>
      </w:r>
    </w:p>
    <w:p>
      <w:r>
        <w:t>E041 Reported API-forwarding overhead range: 3-5 microseconds.</w:t>
      </w:r>
    </w:p>
    <w:p>
      <w:r>
        <w:t>Baseline: direct API path; instrumentation overhead measurement. Workload: GPU API forwarding with48concurrent functions on one GPU. Hardware: V10016GB,80CUs; host has4 GPUs; single-GPU multi-user test in section9.4.</w:t>
      </w:r>
    </w:p>
    <w:p>
      <w:r>
        <w:t>Interpretation: Per-API overhead, not end-to-end inference latency; many APIs asynchronous. Anchor: USENIX PDF p13; printed p70; section9.3; Figure18.</w:t>
      </w:r>
    </w:p>
    <w:p>
      <w:r>
        <w:br w:type="page"/>
      </w:r>
    </w:p>
    <w:p>
      <w:pPr>
        <w:pStyle w:val="Heading1"/>
      </w:pPr>
      <w:r>
        <w:t>S014 Efficient Performance-Aware GPU Sharing with Compatibility and Isolation through Kernel Space Interception (KRYPTON)</w:t>
      </w:r>
    </w:p>
    <w:p>
      <w:r>
        <w:t>Report P014 | 2025 | USENIX ATC2025 pp1003-1019</w:t>
      </w:r>
    </w:p>
    <w:p>
      <w:r>
        <w:t>DOI or proceedings: USENIX proceedings (no DOI assigned)</w:t>
      </w:r>
    </w:p>
    <w:p>
      <w:r>
        <w:t>Source: https://www.usenix.org/system/files/atc25-zhang-shulai.pdf</w:t>
      </w:r>
    </w:p>
    <w:p>
      <w:r>
        <w:t>Version checked: Conference paper; title and author identity matched in accessed PDF</w:t>
      </w:r>
    </w:p>
    <w:p>
      <w:r>
        <w:t>PDF pages: 18 | SHA256: 5b5db1111ea8aa979d383e9480bbf931ee4e9194f96f7bf17daa61ea21b64264</w:t>
      </w:r>
    </w:p>
    <w:p>
      <w:pPr>
        <w:pStyle w:val="Heading2"/>
      </w:pPr>
      <w:r>
        <w:t>Eligibility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710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Finding and basis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 by accessed conference copy. Conference title/authors/year matched in full text. Anchor: PDF title/cover page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IC2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Kernel interception and temporal/MIG sharing with separate inference measurements Anchor: PDF pp5-10; sections3-4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IC3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Inference workload is explicit; training/rendering outcomes are kept separate where present. Anchor: PDF p13; sections5.5-5.6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IC4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Retained outcome values and methods are inspectable in the accessed source. Anchor: USENIX PDF pp12-13; printed pp1013-1014; section5.5; Figure17; USENIX PDF p13; printed p1014; section5.7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IC5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Extracted evidence concerns co-tenancy or control on one physical GPU; fleet-only outcomes not substituted. Anchor: PDF p13; sections5.5-5.6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IC6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Supported. 2025 is within the submitted2020-2026 window. Anchor: Conference title page / source identity</w:t>
            </w:r>
          </w:p>
        </w:tc>
      </w:tr>
    </w:tbl>
    <w:p>
      <w:pPr>
        <w:pStyle w:val="Heading2"/>
      </w:pPr>
      <w:r>
        <w:t>Quality appraisal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964"/>
        <w:gridCol w:w="6236"/>
      </w:tblGrid>
      <w:tr>
        <w:trPr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Reviewed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20"/>
              </w:rPr>
              <w:t>Rationale and source anchor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Compatibility, isolation and performance-control objectives explicit. PDF p2; printed p1003; section1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Kernel interception, token control and MIG orchestration explained. PDF pp5-10; sections3-4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Setup and workloads detailed; repeated-run uncertainty not specified for retained QoS result. PDF pp10-13; section5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OS, kernel, driver, runtimes, GPUs and workloads explicitly tabulated. PDF p10; printed p1011; Tables1-2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Q5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Isolation-capable baselines and MIG adaptations described; policy and allocation differences limit equivalence. PDF pp10-11; section5.1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Q6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Throughput targets are solo-normalized and QoS violation is a request fraction. PDF pp10,12-13; sections5.1,5.4-5.6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Q7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Solo-P99 threshold, Poisson load, subsequent rate halving and token sizes stated. PDF pp12-13; section5.5; Figure17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Q8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Co-running inference relative-error and QoS experiments supplied. PDF p13; sections5.5-5.6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Q9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Baseline fault propagation is tested; design/security argument does not directly establish universal KRYPTON containment. PDF p4 Figure3; PDF p14 section7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Q10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b w:val="0"/>
                <w:sz w:val="20"/>
              </w:rPr>
              <w:t>Implementation and MIG limitation detailed; complete end-to-end replication package not established. PDF pp10,14; sections4,7</w:t>
            </w:r>
          </w:p>
        </w:tc>
      </w:tr>
    </w:tbl>
    <w:p>
      <w:pPr>
        <w:pStyle w:val="Heading2"/>
      </w:pPr>
      <w:r>
        <w:t>Verified reported outcomes</w:t>
      </w:r>
    </w:p>
    <w:p>
      <w:r>
        <w:t>E042 Reported average QoS violation rate: 1.23 percent of requests.</w:t>
      </w:r>
    </w:p>
    <w:p>
      <w:r>
        <w:t>Baseline: original soloP99 threshold (1%baseline violations by definition). Workload: Transformer-XL inference; batch8/16/32. Original rate is half solo maximum; shared test halves that rate again and assigns 50% time; tokens5-80ms.. Hardware: A10040GB for local quota/QoS tests; twoRTX4090 used for separate distributed-training test.</w:t>
      </w:r>
    </w:p>
    <w:p>
      <w:r>
        <w:t>Interpretation: Average across tested configurations; no claim that worst-case violation is1.23%. Threshold-relative metric, not latency in milliseconds. Anchor: USENIX PDF pp12-13; printed pp1013-1014; section5.5; Figure17.</w:t>
      </w:r>
    </w:p>
    <w:p>
      <w:r>
        <w:t>E043 Reported kernel module host-memory footprint: 4.8 MB.</w:t>
      </w:r>
    </w:p>
    <w:p>
      <w:r>
        <w:t>Baseline: no module; additional host memory cost. Workload: kernel-space GPU sharing module on evaluated Linux host. Hardware: A10040GB for local quota/QoS tests; twoRTX4090 used for separate distributed-training test.</w:t>
      </w:r>
    </w:p>
    <w:p>
      <w:r>
        <w:t>Interpretation: Host memory, not GPU VRAM; separate monitoring thread also required. Anchor: USENIX PDF p13; printed p1014; section5.7.</w:t>
      </w:r>
    </w:p>
    <w:p>
      <w:r>
        <w:t>Review attribution: AI assistant under Raazia direction. Checked UTC: 2026-10-21T09:43:49.697614+00:00. Source-check records do not assert a second independent human review or experimental reproduction.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