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NED University of Engineering and Technology</w:t>
      </w:r>
      <w:r>
        <w:br/>
      </w:r>
      <w:r>
        <w:t xml:space="preserve">Department of Software Engineering</w:t>
      </w:r>
    </w:p>
    <w:p>
      <w:pPr>
        <w:pStyle w:val="Title"/>
      </w:pPr>
      <w:r>
        <w:rPr>
          <w:bCs/>
          <w:b/>
        </w:rPr>
        <w:t xml:space="preserve">GPU Sharing for Multi-Tenant Inference</w:t>
      </w:r>
    </w:p>
    <w:p>
      <w:pPr>
        <w:pStyle w:val="BodyText"/>
      </w:pPr>
      <w:r>
        <w:t xml:space="preserve">A Bounded Systematic Evidence Synthesis of Performance, Isolation and Engineering Trade-offs</w:t>
      </w:r>
    </w:p>
    <w:p>
      <w:pPr>
        <w:pStyle w:val="BodyText"/>
      </w:pPr>
      <w:r>
        <w:t xml:space="preserve">Operating Systems CEP – Topic 23</w:t>
      </w:r>
      <w:r>
        <w:br/>
      </w:r>
      <w:r>
        <w:t xml:space="preserve">Task 3: First Complete Draft</w:t>
      </w:r>
    </w:p>
    <w:p>
      <w:pPr>
        <w:pStyle w:val="BodyText"/>
      </w:pPr>
      <w:r>
        <w:t xml:space="preserve">Eshaal Faisal (SE-24008)</w:t>
      </w:r>
      <w:r>
        <w:br/>
      </w:r>
      <w:r>
        <w:t xml:space="preserve">Raazia Imran Reshamwala (SE-24009)</w:t>
      </w:r>
      <w:r>
        <w:br/>
      </w:r>
      <w:r>
        <w:t xml:space="preserve">Rameen Siddiqui (SE-24016)</w:t>
      </w:r>
      <w:r>
        <w:t xml:space="preserve"> </w:t>
      </w:r>
      <w:r>
        <w:t xml:space="preserve">October 2026</w:t>
      </w:r>
      <w:r>
        <w:br/>
      </w:r>
      <w:r>
        <w:t xml:space="preserve">Based on the supplied Task 2 corpus: 21 report versions, 20 unique studies.</w:t>
      </w:r>
      <w:r>
        <w:br/>
      </w:r>
      <w:r>
        <w:t xml:space="preserve">The bounded selection and remaining verification work are explicitly reported.</w:t>
      </w:r>
    </w:p>
    <w:bookmarkStart w:id="20" w:name="abstract"/>
    <w:p>
      <w:pPr>
        <w:pStyle w:val="Heading1"/>
      </w:pPr>
      <w:r>
        <w:t xml:space="preserve">Abstract</w:t>
      </w:r>
    </w:p>
    <w:p>
      <w:pPr>
        <w:pStyle w:val="FirstParagraph"/>
      </w:pPr>
      <w:r>
        <w:t xml:space="preserve">GPU sharing for multi-tenant inference requires a choice among resource efficiency, request latency, isolation and implementation cost. This bounded review synthesizes 20 studies represented by 21 reports using the supplied search, screening, appraisal and extraction records. The register contains 4,189 occurrences and 4,075 canonical records after 114 duplicate links. It records 3,493 screening exclusions, 559 retained records not advanced under the stopping rule, and 23 source-assessed reports, of which two are excluded. The analysis classifies temporal scheduling, software spatial sharing, hardware partitions, runtime/API mediation and hybrid controls. It uses 200 appraisal items, 52 reported observations and two transparent calculations. The evidence supports conditional selection: increased concurrency can improve throughput while increasing latency; foreground protection can reduce background progress; and higher model density can introduce transfer, compatibility or trust costs. No pooled effect or universal winning mechanism is supported. Recommendations are linked to source conditions and remain limited by bounded selection, title-only screening, a single assessment pass and source-version uncertainty.</w:t>
      </w:r>
    </w:p>
    <w:bookmarkEnd w:id="20"/>
    <w:bookmarkStart w:id="21" w:name="contents"/>
    <w:p>
      <w:pPr>
        <w:pStyle w:val="Heading1"/>
      </w:pPr>
      <w:r>
        <w:t xml:space="preserve">Contents</w:t>
      </w:r>
    </w:p>
    <w:p>
      <w:pPr>
        <w:pStyle w:val="FirstParagraph"/>
      </w:pPr>
      <w:r>
        <w:t xml:space="preserve">See the Word navigation pane for the complete section hierarchy.</w:t>
      </w:r>
    </w:p>
    <w:bookmarkEnd w:id="21"/>
    <w:bookmarkStart w:id="25" w:name="introduction"/>
    <w:p>
      <w:pPr>
        <w:pStyle w:val="Heading1"/>
      </w:pPr>
      <w:r>
        <w:t xml:space="preserve">Introduction</w:t>
      </w:r>
    </w:p>
    <w:bookmarkStart w:id="22" w:name="background-and-engineering-problem"/>
    <w:p>
      <w:pPr>
        <w:pStyle w:val="Heading2"/>
      </w:pPr>
      <w:r>
        <w:t xml:space="preserve">Background and engineering problem</w:t>
      </w:r>
    </w:p>
    <w:p>
      <w:pPr>
        <w:pStyle w:val="FirstParagraph"/>
      </w:pPr>
      <w:r>
        <w:t xml:space="preserve">GPU sharing for inference is an operating-system resource-management problem: several services compete for finite execution capacity, device memory and access to a runtime that may not expose the control required by a service-level objective. Increasing concurrent execution can improve aggregate work completed while worsening the response of an individual service. Conversely, reserving the entire accelerator for one model can simplify interference management but leaves less opportunity to use spare capacity. The engineering question is therefore conditional: which mechanism should be selected for a particular workload, latency objective, memory requirement and isolation boundary?</w:t>
      </w:r>
    </w:p>
    <w:p>
      <w:pPr>
        <w:pStyle w:val="BodyText"/>
      </w:pPr>
      <w:r>
        <w:t xml:space="preserve">The evidence makes this tension concrete. The ParvaGPU manuscript reports a local configuration in which throughput increases from 354 to 446 requests/s as the number of MPS processes rises from one to three, while reported latency increases from 11 to 27 ms. These outcomes move in opposite desirable directions. The latency quantile is unspecified, so the example cannot establish a P99 service guarantee. XSched instead reports a foreground P99 ratio of 1.07 relative to standalone execution, compared with 1.53 for native Triton in the recorded configuration. These are different engineering objectives, not numbers on one ranking scale [1, 2].</w:t>
      </w:r>
    </w:p>
    <w:bookmarkEnd w:id="22"/>
    <w:bookmarkStart w:id="23" w:name="scope-and-contribution"/>
    <w:p>
      <w:pPr>
        <w:pStyle w:val="Heading2"/>
      </w:pPr>
      <w:r>
        <w:t xml:space="preserve">Scope and contribution</w:t>
      </w:r>
    </w:p>
    <w:p>
      <w:pPr>
        <w:pStyle w:val="FirstParagraph"/>
      </w:pPr>
      <w:r>
        <w:t xml:space="preserve">The unit of technical interpretation is concurrent inference on one physical GPU. A multi-GPU or cluster paper contributes only where a local sharing result can be separated from fleet scheduling. Mixed inference/training papers contribute inference outcomes and the associated background-work cost. Training throughput is not relabeled as inference throughput. Non-GPU accelerator results in otherwise relevant papers are outside the primary comparison.</w:t>
      </w:r>
    </w:p>
    <w:p>
      <w:pPr>
        <w:pStyle w:val="BodyText"/>
      </w:pPr>
      <w:r>
        <w:t xml:space="preserve">This first draft synthesizes the supplied bounded corpus of 20 studies represented by 21 reports. Its contribution is a decision-oriented comparison that joins mechanisms, evaluation conditions, reported outcomes, implementation costs and limitations. Existing surveys already examine multi-tenant GPU inference, accelerator-sharing efficiency/fairness/security, and GPU-datacenter scheduling [3, 4, 5]. The present taxonomy is therefore an organizational tool, not a first-survey claim. Its narrower emphasis is local GPU outcome traceability, comparability, source-version boundaries and conditional engineering decisions, including relevant 2025 systems. The survey audit records accessed versions and unavailable contextual leads; it does not establish exhaustive novelty. It distinguishes performance interference, resource partitioning, memory protection and fault containment. It also retains adverse outcomes rather than selecting only favorable headline speedups.</w:t>
      </w:r>
    </w:p>
    <w:p>
      <w:pPr>
        <w:pStyle w:val="BodyText"/>
      </w:pPr>
      <w:r>
        <w:t xml:space="preserve">The review is not an exhaustive census of the search results. The supplied record contains 559 retained records that were not advanced to source assessment. The first draft therefore supports candidate selection under observed conditions, while leaving the wider coverage question open. This boundary is part of the research method and must remain visible in the abstract, selection accounting and recommendations.</w:t>
      </w:r>
    </w:p>
    <w:bookmarkEnd w:id="23"/>
    <w:bookmarkStart w:id="24" w:name="objectives"/>
    <w:p>
      <w:pPr>
        <w:pStyle w:val="Heading2"/>
      </w:pPr>
      <w:r>
        <w:t xml:space="preserve">Objectives</w:t>
      </w:r>
    </w:p>
    <w:p>
      <w:pPr>
        <w:pStyle w:val="FirstParagraph"/>
      </w:pPr>
      <w:r>
        <w:t xml:space="preserve">The objectives are to classify the available mechanisms by their actual control boundaries; determine which outcomes are comparable; explain the conditions behind benefits and regressions; and derive recommendations that identify both expected benefit and sacrifice. The review does not seek a universal winning system. It seeks an auditable reason for choosing a candidate under stated constraints.</w:t>
      </w:r>
    </w:p>
    <w:bookmarkEnd w:id="24"/>
    <w:bookmarkEnd w:id="25"/>
    <w:bookmarkStart w:id="26" w:name="research-questions"/>
    <w:p>
      <w:pPr>
        <w:pStyle w:val="Heading1"/>
      </w:pPr>
      <w:r>
        <w:t xml:space="preserve">Research questions</w:t>
      </w:r>
    </w:p>
    <w:p>
      <w:pPr>
        <w:pStyle w:val="FirstParagraph"/>
      </w:pPr>
      <w:r>
        <w:t xml:space="preserve">The following research questions reproduce the submitted Task 1 protocol (Table 3).</w:t>
      </w:r>
    </w:p>
    <w:p>
      <w:pPr>
        <w:pStyle w:val="DefinitionTerm"/>
      </w:pPr>
      <w:r>
        <w:t xml:space="preserve">RQ1</w:t>
      </w:r>
    </w:p>
    <w:p>
      <w:pPr>
        <w:pStyle w:val="Definition"/>
      </w:pPr>
      <w:r>
        <w:t xml:space="preserve">What time-slicing, MPS, MIG and API remoting mechanisms are evaluated for concurrent inference on one GPU, and how do sharing granularity, layer and isolation boundary classify them?</w:t>
      </w:r>
    </w:p>
    <w:p>
      <w:pPr>
        <w:pStyle w:val="DefinitionTerm"/>
      </w:pPr>
      <w:r>
        <w:t xml:space="preserve">RQ2</w:t>
      </w:r>
    </w:p>
    <w:p>
      <w:pPr>
        <w:pStyle w:val="Definition"/>
      </w:pPr>
      <w:r>
        <w:t xml:space="preserve">How do studies measure utilization, throughput, density, average/tail latency, predictability and interference, and how comparable are their experimental methods?</w:t>
      </w:r>
    </w:p>
    <w:p>
      <w:pPr>
        <w:pStyle w:val="DefinitionTerm"/>
      </w:pPr>
      <w:r>
        <w:t xml:space="preserve">RQ3</w:t>
      </w:r>
    </w:p>
    <w:p>
      <w:pPr>
        <w:pStyle w:val="Definition"/>
      </w:pPr>
      <w:r>
        <w:t xml:space="preserve">Under what GPU, workload, batch, tenant mix and configuration conditions are changes in utilization, throughput, density and latency reported?</w:t>
      </w:r>
    </w:p>
    <w:p>
      <w:pPr>
        <w:pStyle w:val="DefinitionTerm"/>
      </w:pPr>
      <w:r>
        <w:t xml:space="preserve">RQ4</w:t>
      </w:r>
    </w:p>
    <w:p>
      <w:pPr>
        <w:pStyle w:val="Definition"/>
      </w:pPr>
      <w:r>
        <w:t xml:space="preserve">What resource and fault isolation properties, trade-offs, implementation costs and conflicting results are reported, and what limits the evidence?</w:t>
      </w:r>
    </w:p>
    <w:p>
      <w:pPr>
        <w:pStyle w:val="DefinitionTerm"/>
      </w:pPr>
      <w:r>
        <w:t xml:space="preserve">RQ5</w:t>
      </w:r>
    </w:p>
    <w:p>
      <w:pPr>
        <w:pStyle w:val="Definition"/>
      </w:pPr>
      <w:r>
        <w:t xml:space="preserve">Which approach or combination is supported for specified inference-serving conditions and priorities, with what confidence and alternatives?</w:t>
      </w:r>
    </w:p>
    <w:bookmarkEnd w:id="26"/>
    <w:bookmarkStart w:id="33" w:name="research-methodology"/>
    <w:p>
      <w:pPr>
        <w:pStyle w:val="Heading1"/>
      </w:pPr>
      <w:r>
        <w:t xml:space="preserve">Research methodology</w:t>
      </w:r>
    </w:p>
    <w:bookmarkStart w:id="27" w:name="protocol-and-implemented-method"/>
    <w:p>
      <w:pPr>
        <w:pStyle w:val="Heading2"/>
      </w:pPr>
      <w:r>
        <w:t xml:space="preserve">Protocol and implemented method</w:t>
      </w:r>
    </w:p>
    <w:p>
      <w:pPr>
        <w:pStyle w:val="FirstParagraph"/>
      </w:pPr>
      <w:r>
        <w:t xml:space="preserve">The submitted Task 1 protocol is preserved unchanged in the repository. It specifies independent screening and appraisal, stable record/report/study identifiers, page-level extraction and a condition-aware narrative synthesis. This draft follows its conceptual comparison rules while explicitly reporting deviations in execution. PRISMA supplies the reporting framework, while the search audit preserves the executed queries rather than replacing them with planned expressions [6, 7, 8].</w:t>
      </w:r>
    </w:p>
    <w:p>
      <w:pPr>
        <w:pStyle w:val="BodyText"/>
      </w:pPr>
      <w:r>
        <w:t xml:space="preserve">The supplied Task 2 workbook is the source of the current corpus and historical decisions. GitHub’s preceding status described an earlier 15-form assessment. Importing the newer workbook does not mean those older registers were silently rewritten. Task 3 stores the uploaded baseline separately and keeps the inherited research history available.</w:t>
      </w:r>
    </w:p>
    <w:p>
      <w:pPr>
        <w:pStyle w:val="BodyText"/>
      </w:pPr>
      <w:r>
        <w:t xml:space="preserve">The implemented review used a single consolidated AI-assisted assessment under team direction. The uploaded materials refer to team checking, but contain no named independent item-level votes or signed verification record. This draft therefore does not claim completion of the protocol’s independent second review or report inter-rater agreement. Activity records preserve preparation provenance and actual checkpoint times. Historical batch or workbook-build times are not evidence of when a person screened a particular record.</w:t>
      </w:r>
    </w:p>
    <w:bookmarkEnd w:id="27"/>
    <w:bookmarkStart w:id="28" w:name="Xb699fcfb90d87695fade552e7076ef189f2d447"/>
    <w:p>
      <w:pPr>
        <w:pStyle w:val="Heading2"/>
      </w:pPr>
      <w:r>
        <w:t xml:space="preserve">Integrated source review of all included studies</w:t>
      </w:r>
    </w:p>
    <w:p>
      <w:pPr>
        <w:pStyle w:val="FirstParagraph"/>
      </w:pPr>
      <w:r>
        <w:t xml:space="preserve">The source-review packages cover all 20 included studies and the REEF companion report: 70 appraisal items and 30 outcomes for Eshaal’s allocation, 70 appraisal items and 13 outcomes for Raazia’s, and 60 appraisal items and nine outcomes for Rameen’s. All 200 appraisal items, 126 included-report inclusion-criterion checks and 52 retained outcomes have source-anchored review entries. The original baseline forms are preserved separately. The 12 inherited criterion checks for the two excluded reports are not recertified by this included-study review.</w:t>
      </w:r>
    </w:p>
    <w:p>
      <w:pPr>
        <w:pStyle w:val="BodyText"/>
      </w:pPr>
      <w:r>
        <w:t xml:space="preserve">Corrections include GPU-specific VastPipe context; final iGniter anchors; gpulets’ model-pair statistic; REEF conference/journal boundaries; Clockwork’s TVM v0.7 environment; Torpor’s evaluation/deployment distinction; KRYPTON’s two-stage arrival-rate setup; XSched’s Section 8 anchor; InferFair’s goodput and slowdown-fairness definitions; ArkGPU’s adverse result; Dyna-P’s local sensitivity experiment; KRISP’s AMD emulation; and Tally’s total normalized system throughput. The supplied InferFair copy closes the last missing included-study source.</w:t>
      </w:r>
    </w:p>
    <w:p>
      <w:pPr>
        <w:pStyle w:val="BodyText"/>
      </w:pPr>
      <w:r>
        <w:t xml:space="preserve">A common claim-specific Q9 appraisal distinguishes directly tested performance protection from untested security/fault guarantees. The gpulets artifact appendix also supports a higher reporting/reproducibility score without claiming local reproduction. Current scores sum to 338/396 applicable points; this aggregate describes reporting appraisal and must not be interpreted as an effect size or certainty rating. Original, source-reviewed and independent human fields remain separate. ParvaGPU numerical evidence is still specific to arXiv v1; final-text equivalence is not established. This integration does not supply independent human votes.</w:t>
      </w:r>
    </w:p>
    <w:bookmarkEnd w:id="28"/>
    <w:bookmarkStart w:id="29" w:name="databases-search-fields-and-period"/>
    <w:p>
      <w:pPr>
        <w:pStyle w:val="Heading2"/>
      </w:pPr>
      <w:r>
        <w:t xml:space="preserve">Databases, search fields and period</w:t>
      </w:r>
    </w:p>
    <w:p>
      <w:pPr>
        <w:pStyle w:val="FirstParagraph"/>
      </w:pPr>
      <w:r>
        <w:t xml:space="preserve">The active occurrence register represents ACM Digital Library, IEEE Xplore, Springer Nature Link and ScienceDirect, with supplementary named-paper lookups recorded separately. Their relevance is complementary: systems conferences, parallel/distributed systems research and journal literature provide different routes to sharing mechanisms. However, representation in an imported register is not equivalent to verified complete coverage of every planned database run.</w:t>
      </w:r>
    </w:p>
    <w:p>
      <w:pPr>
        <w:pStyle w:val="BodyText"/>
      </w:pPr>
      <w:r>
        <w:t xml:space="preserve">The main publication window is 2020 through the date of each executed search in October 2026. IEEE and Springer entries record 11 October; ACM and ScienceDirect entries record 14 October. Later retrieval of a paper does not change an earlier search cutoff. The older journal survey used as an organizational benchmark is contextual literature, not an additional included primary study.</w:t>
      </w:r>
    </w:p>
    <w:p>
      <w:pPr>
        <w:pStyle w:val="BodyText"/>
      </w:pPr>
      <w:r>
        <w:t xml:space="preserve">The executed expressions generally combine GPU terms, inference/model-serving terms and mechanism terms. Some interfaces use broad indexed fields rather than title/abstract/keywords. Broad fields can retrieve papers in which sharing terminology occurs only in references or background. Conversely, restricted inference expressions can miss papers described only as LLM serving. The exact retained expressions, fields and filters are reproduced in Appendix A; the workbook holds filenames and provenance.</w:t>
      </w:r>
    </w:p>
    <w:p>
      <w:pPr>
        <w:pStyle w:val="BodyText"/>
      </w:pPr>
      <w:r>
        <w:t xml:space="preserve">The historical ACM master record contains displayed, claimed and parsed totals of 1,600, 1,603 and 1,829. The ScienceDirect MPS record retains 517 displayed against 563 registered. These differences are not corrected by inventing a missing export or changing a count to match another artifact. The active consolidated occurrence totals and their original discrepancies are different fields.</w:t>
      </w:r>
    </w:p>
    <w:bookmarkEnd w:id="29"/>
    <w:bookmarkStart w:id="30" w:name="eligibility-and-study-identity"/>
    <w:p>
      <w:pPr>
        <w:pStyle w:val="Heading2"/>
      </w:pPr>
      <w:r>
        <w:t xml:space="preserve">Eligibility and study identity</w:t>
      </w:r>
    </w:p>
    <w:p>
      <w:pPr>
        <w:pStyle w:val="FirstParagraph"/>
      </w:pPr>
      <w:r>
        <w:t xml:space="preserve">All inclusion criteria must be met: an English peer-reviewed primary report; evaluated concurrent sharing on one physical GPU; inference outcomes, separable where training is also present; interpretable outcomes and configuration; sufficient local technical evidence; and the specified publication period or justified older exception. A paper’s title or prestigious venue alone does not establish eligibility.</w:t>
      </w:r>
    </w:p>
    <w:p>
      <w:pPr>
        <w:pStyle w:val="BodyText"/>
      </w:pPr>
      <w:r>
        <w:t xml:space="preserve">Decisive exclusion categories are non-primary/non-peer-reviewed material, no evaluable inference-sharing mechanism, hardware-only work without evaluated systems sharing, aggregate-only multi-GPU evidence, non-GPU scope, insufficient assessed technical detail, and period/language mismatch. The supplied source assessment excludes TGS and HiveD because the extracted evaluation concerns training rather than eligible inference-sharing outcomes. These exclusions are kept outside the included-paper catalogue.</w:t>
      </w:r>
    </w:p>
    <w:p>
      <w:pPr>
        <w:pStyle w:val="BodyText"/>
      </w:pPr>
      <w:r>
        <w:t xml:space="preserve">Records, reports and studies are distinct entities. A repeated database occurrence is linked during deduplication. A report version remains identifiable even when it belongs to the same underlying study as another report. REEF’s conference report P005 and journal extension P023 map to S005; the journal’s first page explicitly states the extension relationship [9, 10]. They cannot supply two independent replications. Other manuscript copies retain their version labels rather than automatically inheriting final-publication page numbers.</w:t>
      </w:r>
    </w:p>
    <w:bookmarkEnd w:id="30"/>
    <w:bookmarkStart w:id="31" w:name="appraisal-and-extraction"/>
    <w:p>
      <w:pPr>
        <w:pStyle w:val="Heading2"/>
      </w:pPr>
      <w:r>
        <w:t xml:space="preserve">Appraisal and extraction</w:t>
      </w:r>
    </w:p>
    <w:p>
      <w:pPr>
        <w:pStyle w:val="FirstParagraph"/>
      </w:pPr>
      <w:r>
        <w:t xml:space="preserve">The Q1–Q10 rubric scores 0, 1 or 2 for objective clarity, mechanism description, experimental transparency, hardware/workload description, baseline fairness, utilization/throughput evidence, latency measurement, multi-tenant interference, isolation evaluation and replication/limitations. Justified not-applicable items reduce the applicable denominator. Scores are reporting and internal-validity appraisals, not journal-prestige scores or automatic exclusion criteria.</w:t>
      </w:r>
    </w:p>
    <w:p>
      <w:pPr>
        <w:pStyle w:val="BodyText"/>
      </w:pPr>
      <w:r>
        <w:t xml:space="preserve">There are 200 appraisal items for 20 study-level forms. After the source-based denominator review, two items are N/A: P001 Q7 and P006 Q9. XSched Q9 is applicable to its directly evaluated performance protection. The frozen baseline retains its original three N/A items. The normalized score is the recorded sum divided by the applicable maximum. The workbook recalculates these sums from the item rows and checks them against the study table. A companion report does not create an additional independent study-level appraisal.</w:t>
      </w:r>
    </w:p>
    <w:p>
      <w:pPr>
        <w:pStyle w:val="BodyText"/>
      </w:pPr>
      <w:r>
        <w:t xml:space="preserve">Extraction preserves mechanism, environment, workload, tenants, load/SLO, baseline, result, isolation dimensions, overhead, limitations, source and anchor. The 52 outcome rows and two calculations are not 54 studies. Missing values remain missing or explicitly not established. A throughput ratio is not converted into utilization percentage, a model-pair distribution is not treated as a request-latency percentile, and a reported maximum is not recast as an average.</w:t>
      </w:r>
    </w:p>
    <w:bookmarkEnd w:id="31"/>
    <w:bookmarkStart w:id="32" w:name="synthesis-and-robustness-rules"/>
    <w:p>
      <w:pPr>
        <w:pStyle w:val="Heading2"/>
      </w:pPr>
      <w:r>
        <w:t xml:space="preserve">Synthesis and robustness rules</w:t>
      </w:r>
    </w:p>
    <w:p>
      <w:pPr>
        <w:pStyle w:val="FirstParagraph"/>
      </w:pPr>
      <w:r>
        <w:t xml:space="preserve">The synthesis is narrative and comparative. A numerical contrast is interpreted within the source experiment unless GPU, model, batch, load, concurrency, metric and baseline are sufficiently aligned across studies. No pooled speedup or weighted cross-study average is calculated. A result is first evaluated for relevance to the decision, then for comparability and appraisal limitations.</w:t>
      </w:r>
    </w:p>
    <w:p>
      <w:pPr>
        <w:pStyle w:val="BodyText"/>
      </w:pPr>
      <w:r>
        <w:t xml:space="preserve">The protocol’s below-60% sensitivity view removes no current study because all recorded normalized scores are at least 70%. Consequently, an unchanged answer under this cutoff is mechanically expected. It does not demonstrate robustness to publication bias, title-only screening, a different stopping rule or correlated single-reviewer error. Claim-level anchors and version checks remain necessary even for high-scoring studies.</w:t>
      </w:r>
    </w:p>
    <w:bookmarkEnd w:id="32"/>
    <w:bookmarkEnd w:id="33"/>
    <w:bookmarkStart w:id="37" w:name="prisma-study-selection-and-corpus"/>
    <w:p>
      <w:pPr>
        <w:pStyle w:val="Heading1"/>
      </w:pPr>
      <w:r>
        <w:t xml:space="preserve">PRISMA study selection and corpus</w:t>
      </w:r>
    </w:p>
    <w:p>
      <w:pPr>
        <w:pStyle w:val="FirstParagraph"/>
      </w:pPr>
      <w:r>
        <w:t xml:space="preserve">The supplied logs reconcile arithmetically as 4,189 occurrences minus 114 duplicate links equals 4,075 canonical records. Their record-decision partition is 3,493 exclusions, 559 retained but not advanced, 21 included report versions and two source-assessed exclusions. Thus 582 records remain after screening, while only 23 report versions enter the bounded source-assessment set.</w:t>
      </w:r>
    </w:p>
    <w:p>
      <w:pPr>
        <w:pStyle w:val="BodyText"/>
      </w:pPr>
      <w:r>
        <w:t xml:space="preserve">The source-assessment partition is 23 reports equals 21 included plus two excluded. The included reports map to 20 studies. The supplied historical flow records zero reports not retrieved within that selected assessment set. This is a historical statement in the baseline, not a claim that all PDFs are downloadable in the current environment. Task 3 retrieval status is separately logged and must not be used to overwrite historical PRISMA events.</w:t>
      </w:r>
    </w:p>
    <w:p>
      <w:pPr>
        <w:pStyle w:val="BodyText"/>
      </w:pPr>
      <w:r>
        <w:t xml:space="preserve">The 559-record branch is especially consequential. These records are not technical exclusions and are not failed full-text retrievals: their reports were not sought under the stopping rule. Moving them into either category would misrepresent the actual method. The bounded scope requires explicit acceptance before describing the work as the final CEP review.</w:t>
      </w:r>
    </w:p>
    <w:p>
      <w:pPr>
        <w:pStyle w:val="BodyText"/>
      </w:pPr>
      <w:r>
        <w:t xml:space="preserve">Of the 4,075 canonical records, 2,933 lack abstract text in the export and 1,142 have it. The recorded decisions for the former rely on title/type metadata. This limits confidence in screening recall even though every record has a decision field. A complete spreadsheet row does not guarantee a complete eligibility assessment. A separate 559-record work queue was matched by DOI/title against the original occurrence register and available metadata enrichment. Abstract text was recoverable for 235 of those records; 25 additional baseline rows are marked abstract-available but their abstract bytes were not recovered in this checkout, and 299 are marked unavailable. These are access states, not new screening decisions. The queue retains blank independent votes, criterion/reason fields and actual-time fields. Missing abstract text alone is not a scientific exclusion criterion.</w:t>
      </w:r>
    </w:p>
    <w:p>
      <w:pPr>
        <w:pStyle w:val="BodyText"/>
      </w:pPr>
      <w:r>
        <w:t xml:space="preserve">The clarified minimum is 20 unique primary studies, which the current corpus meets. The guideline’s numerical target does not authorize stopping the predefined selection process at 20. Closing the wider review requires assessing retained candidates using the protocol, seeking full text when metadata are insufficient, recording real access failures and applying the established criteria. Newly eligible studies must be included even if the set grows beyond 20. A bounded first draft can be delivered now with this deviation visible; no instructor acceptance of that deviation has been evidenced.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Stage</w:t>
            </w:r>
          </w:p>
        </w:tc>
        <w:tc>
          <w:tcPr>
            <w:shd w:fill="E8EDF2"/>
          </w:tcPr>
          <w:p>
            <w:pPr>
              <w:pStyle w:val="Compact"/>
              <w:keepNext w:val="0"/>
              <w:spacing w:after="80"/>
              <w:jc w:val="left"/>
            </w:pPr>
            <w:r>
              <w:rPr>
                <w:bCs/>
                <w:b/>
                <w:sz w:val="24"/>
              </w:rPr>
              <w:t xml:space="preserve">Count</w:t>
            </w:r>
          </w:p>
        </w:tc>
      </w:tr>
      <w:tr>
        <w:tc>
          <w:tcPr/>
          <w:p>
            <w:pPr>
              <w:pStyle w:val="Compact"/>
              <w:keepNext w:val="0"/>
              <w:spacing w:after="80"/>
              <w:jc w:val="left"/>
            </w:pPr>
            <w:r>
              <w:rPr>
                <w:sz w:val="24"/>
              </w:rPr>
              <w:t xml:space="preserve">Records identified</w:t>
            </w:r>
          </w:p>
        </w:tc>
        <w:tc>
          <w:tcPr/>
          <w:p>
            <w:pPr>
              <w:pStyle w:val="Compact"/>
              <w:keepNext w:val="0"/>
              <w:spacing w:after="80"/>
              <w:jc w:val="left"/>
            </w:pPr>
            <w:r>
              <w:rPr>
                <w:sz w:val="24"/>
              </w:rPr>
              <w:t xml:space="preserve">4189</w:t>
            </w:r>
          </w:p>
        </w:tc>
      </w:tr>
      <w:tr>
        <w:tc>
          <w:tcPr/>
          <w:p>
            <w:pPr>
              <w:pStyle w:val="Compact"/>
              <w:keepNext w:val="0"/>
              <w:spacing w:after="80"/>
              <w:jc w:val="left"/>
            </w:pPr>
            <w:r>
              <w:rPr>
                <w:sz w:val="24"/>
              </w:rPr>
              <w:t xml:space="preserve">Duplicate links applied</w:t>
            </w:r>
          </w:p>
        </w:tc>
        <w:tc>
          <w:tcPr/>
          <w:p>
            <w:pPr>
              <w:pStyle w:val="Compact"/>
              <w:keepNext w:val="0"/>
              <w:spacing w:after="80"/>
              <w:jc w:val="left"/>
            </w:pPr>
            <w:r>
              <w:rPr>
                <w:sz w:val="24"/>
              </w:rPr>
              <w:t xml:space="preserve">114</w:t>
            </w:r>
          </w:p>
        </w:tc>
      </w:tr>
      <w:tr>
        <w:tc>
          <w:tcPr/>
          <w:p>
            <w:pPr>
              <w:pStyle w:val="Compact"/>
              <w:keepNext w:val="0"/>
              <w:spacing w:after="80"/>
              <w:jc w:val="left"/>
            </w:pPr>
            <w:r>
              <w:rPr>
                <w:sz w:val="24"/>
              </w:rPr>
              <w:t xml:space="preserve">Canonical records screened</w:t>
            </w:r>
          </w:p>
        </w:tc>
        <w:tc>
          <w:tcPr/>
          <w:p>
            <w:pPr>
              <w:pStyle w:val="Compact"/>
              <w:keepNext w:val="0"/>
              <w:spacing w:after="80"/>
              <w:jc w:val="left"/>
            </w:pPr>
            <w:r>
              <w:rPr>
                <w:sz w:val="24"/>
              </w:rPr>
              <w:t xml:space="preserve">4075</w:t>
            </w:r>
          </w:p>
        </w:tc>
      </w:tr>
      <w:tr>
        <w:tc>
          <w:tcPr/>
          <w:p>
            <w:pPr>
              <w:pStyle w:val="Compact"/>
              <w:keepNext w:val="0"/>
              <w:spacing w:after="80"/>
              <w:jc w:val="left"/>
            </w:pPr>
            <w:r>
              <w:rPr>
                <w:sz w:val="24"/>
              </w:rPr>
              <w:t xml:space="preserve">Excluded at record screening</w:t>
            </w:r>
          </w:p>
        </w:tc>
        <w:tc>
          <w:tcPr/>
          <w:p>
            <w:pPr>
              <w:pStyle w:val="Compact"/>
              <w:keepNext w:val="0"/>
              <w:spacing w:after="80"/>
              <w:jc w:val="left"/>
            </w:pPr>
            <w:r>
              <w:rPr>
                <w:sz w:val="24"/>
              </w:rPr>
              <w:t xml:space="preserve">3493</w:t>
            </w:r>
          </w:p>
        </w:tc>
      </w:tr>
      <w:tr>
        <w:tc>
          <w:tcPr/>
          <w:p>
            <w:pPr>
              <w:pStyle w:val="Compact"/>
              <w:keepNext w:val="0"/>
              <w:spacing w:after="80"/>
              <w:jc w:val="left"/>
            </w:pPr>
            <w:r>
              <w:rPr>
                <w:sz w:val="24"/>
              </w:rPr>
              <w:t xml:space="preserve">Retained after screening</w:t>
            </w:r>
          </w:p>
        </w:tc>
        <w:tc>
          <w:tcPr/>
          <w:p>
            <w:pPr>
              <w:pStyle w:val="Compact"/>
              <w:keepNext w:val="0"/>
              <w:spacing w:after="80"/>
              <w:jc w:val="left"/>
            </w:pPr>
            <w:r>
              <w:rPr>
                <w:sz w:val="24"/>
              </w:rPr>
              <w:t xml:space="preserve">582</w:t>
            </w:r>
          </w:p>
        </w:tc>
      </w:tr>
      <w:tr>
        <w:tc>
          <w:tcPr/>
          <w:p>
            <w:pPr>
              <w:pStyle w:val="Compact"/>
              <w:keepNext w:val="0"/>
              <w:spacing w:after="80"/>
              <w:jc w:val="left"/>
            </w:pPr>
            <w:r>
              <w:rPr>
                <w:sz w:val="24"/>
              </w:rPr>
              <w:t xml:space="preserve">Not advanced under stopping rule</w:t>
            </w:r>
          </w:p>
        </w:tc>
        <w:tc>
          <w:tcPr/>
          <w:p>
            <w:pPr>
              <w:pStyle w:val="Compact"/>
              <w:keepNext w:val="0"/>
              <w:spacing w:after="80"/>
              <w:jc w:val="left"/>
            </w:pPr>
            <w:r>
              <w:rPr>
                <w:sz w:val="24"/>
              </w:rPr>
              <w:t xml:space="preserve">559</w:t>
            </w:r>
          </w:p>
        </w:tc>
      </w:tr>
      <w:tr>
        <w:tc>
          <w:tcPr/>
          <w:p>
            <w:pPr>
              <w:pStyle w:val="Compact"/>
              <w:keepNext w:val="0"/>
              <w:spacing w:after="80"/>
              <w:jc w:val="left"/>
            </w:pPr>
            <w:r>
              <w:rPr>
                <w:sz w:val="24"/>
              </w:rPr>
              <w:t xml:space="preserve">Report versions assessed</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Excluded after source assessment</w:t>
            </w:r>
          </w:p>
        </w:tc>
        <w:tc>
          <w:tcPr/>
          <w:p>
            <w:pPr>
              <w:pStyle w:val="Compact"/>
              <w:keepNext w:val="0"/>
              <w:spacing w:after="80"/>
              <w:jc w:val="left"/>
            </w:pPr>
            <w:r>
              <w:rPr>
                <w:sz w:val="24"/>
              </w:rPr>
              <w:t xml:space="preserve">2</w:t>
            </w:r>
          </w:p>
        </w:tc>
      </w:tr>
      <w:tr>
        <w:tc>
          <w:tcPr/>
          <w:p>
            <w:pPr>
              <w:pStyle w:val="Compact"/>
              <w:keepNext w:val="0"/>
              <w:spacing w:after="80"/>
              <w:jc w:val="left"/>
            </w:pPr>
            <w:r>
              <w:rPr>
                <w:sz w:val="24"/>
              </w:rPr>
              <w:t xml:space="preserve">Included report versions</w:t>
            </w:r>
          </w:p>
        </w:tc>
        <w:tc>
          <w:tcPr/>
          <w:p>
            <w:pPr>
              <w:pStyle w:val="Compact"/>
              <w:keepNext w:val="0"/>
              <w:spacing w:after="80"/>
              <w:jc w:val="left"/>
            </w:pPr>
            <w:r>
              <w:rPr>
                <w:sz w:val="24"/>
              </w:rPr>
              <w:t xml:space="preserve">21</w:t>
            </w:r>
          </w:p>
        </w:tc>
      </w:tr>
      <w:tr>
        <w:tc>
          <w:tcPr/>
          <w:p>
            <w:pPr>
              <w:pStyle w:val="Compact"/>
              <w:keepNext w:val="0"/>
              <w:spacing w:after="80"/>
              <w:jc w:val="left"/>
            </w:pPr>
            <w:r>
              <w:rPr>
                <w:sz w:val="24"/>
              </w:rPr>
              <w:t xml:space="preserve">Included unique studies</w:t>
            </w:r>
          </w:p>
        </w:tc>
        <w:tc>
          <w:tcPr/>
          <w:p>
            <w:pPr>
              <w:pStyle w:val="Compact"/>
              <w:keepNext w:val="0"/>
              <w:spacing w:after="80"/>
              <w:jc w:val="left"/>
            </w:pPr>
            <w:r>
              <w:rPr>
                <w:sz w:val="24"/>
              </w:rPr>
              <w:t xml:space="preserve">20</w:t>
            </w:r>
          </w:p>
        </w:tc>
      </w:tr>
    </w:tbl>
    <w:p>
      <w:pPr>
        <w:pStyle w:val="CaptionedFigure"/>
      </w:pPr>
      <w:r>
        <w:drawing>
          <wp:inline>
            <wp:extent cx="5334000" cy="6238793"/>
            <wp:effectExtent b="0" l="0" r="0" t="0"/>
            <wp:docPr descr="" title="" id="35" name="Picture"/>
            <a:graphic>
              <a:graphicData uri="http://schemas.openxmlformats.org/drawingml/2006/picture">
                <pic:pic>
                  <pic:nvPicPr>
                    <pic:cNvPr descr="/workspace/scratch/8d52181bc639/os-cep/task3/baseline/PRISMA_2020_FLOW_DIAGRAM.png" id="36" name="Picture"/>
                    <pic:cNvPicPr>
                      <a:picLocks noChangeArrowheads="1" noChangeAspect="1"/>
                    </pic:cNvPicPr>
                  </pic:nvPicPr>
                  <pic:blipFill>
                    <a:blip r:embed="rId34"/>
                    <a:stretch>
                      <a:fillRect/>
                    </a:stretch>
                  </pic:blipFill>
                  <pic:spPr bwMode="auto">
                    <a:xfrm>
                      <a:off x="0" y="0"/>
                      <a:ext cx="5334000" cy="6238793"/>
                    </a:xfrm>
                    <a:prstGeom prst="rect">
                      <a:avLst/>
                    </a:prstGeom>
                    <a:noFill/>
                    <a:ln w="9525">
                      <a:noFill/>
                      <a:headEnd/>
                      <a:tailEnd/>
                    </a:ln>
                  </pic:spPr>
                </pic:pic>
              </a:graphicData>
            </a:graphic>
          </wp:inline>
        </w:drawing>
      </w:r>
    </w:p>
    <w:p>
      <w:pPr>
        <w:pStyle w:val="ImageCaption"/>
      </w:pPr>
      <w:r>
        <w:t xml:space="preserve">Supplied bounded-review selection flow, preserved from Task 2. Current PDF download attempts are a separate activity.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Study / report</w:t>
            </w:r>
          </w:p>
        </w:tc>
        <w:tc>
          <w:tcPr>
            <w:shd w:fill="E8EDF2"/>
          </w:tcPr>
          <w:p>
            <w:pPr>
              <w:pStyle w:val="Compact"/>
              <w:keepNext w:val="0"/>
              <w:spacing w:after="80"/>
              <w:jc w:val="left"/>
            </w:pPr>
            <w:r>
              <w:rPr>
                <w:bCs/>
                <w:b/>
                <w:sz w:val="24"/>
              </w:rPr>
              <w:t xml:space="preserve">System / source identity</w:t>
            </w:r>
          </w:p>
        </w:tc>
        <w:tc>
          <w:tcPr>
            <w:shd w:fill="E8EDF2"/>
          </w:tcPr>
          <w:p>
            <w:pPr>
              <w:pStyle w:val="Compact"/>
              <w:keepNext w:val="0"/>
              <w:spacing w:after="80"/>
              <w:jc w:val="left"/>
            </w:pPr>
            <w:r>
              <w:rPr>
                <w:bCs/>
                <w:b/>
                <w:sz w:val="24"/>
              </w:rPr>
              <w:t xml:space="preserve">QA</w:t>
            </w:r>
          </w:p>
        </w:tc>
      </w:tr>
      <w:tr>
        <w:tc>
          <w:tcPr/>
          <w:p>
            <w:pPr>
              <w:pStyle w:val="Compact"/>
              <w:keepNext w:val="0"/>
              <w:spacing w:after="80"/>
              <w:jc w:val="left"/>
            </w:pPr>
            <w:r>
              <w:rPr>
                <w:sz w:val="24"/>
              </w:rPr>
              <w:t xml:space="preserve">S001 / P001</w:t>
            </w:r>
          </w:p>
        </w:tc>
        <w:tc>
          <w:tcPr/>
          <w:p>
            <w:pPr>
              <w:pStyle w:val="Compact"/>
              <w:keepNext w:val="0"/>
              <w:spacing w:after="80"/>
              <w:jc w:val="left"/>
            </w:pPr>
            <w:r>
              <w:rPr>
                <w:sz w:val="24"/>
              </w:rPr>
              <w:t xml:space="preserve">VastPipe (2025)</w:t>
            </w:r>
          </w:p>
        </w:tc>
        <w:tc>
          <w:tcPr/>
          <w:p>
            <w:pPr>
              <w:pStyle w:val="Compact"/>
              <w:keepNext w:val="0"/>
              <w:spacing w:after="80"/>
              <w:jc w:val="left"/>
            </w:pPr>
            <w:r>
              <w:rPr>
                <w:sz w:val="24"/>
              </w:rPr>
              <w:t xml:space="preserve">13</w:t>
            </w:r>
            <w:r>
              <w:rPr>
                <w:sz w:val="24"/>
              </w:rPr>
              <w:t xml:space="preserve">/18</w:t>
            </w:r>
          </w:p>
        </w:tc>
      </w:tr>
      <w:tr>
        <w:tc>
          <w:tcPr/>
          <w:p>
            <w:pPr>
              <w:pStyle w:val="Compact"/>
              <w:keepNext w:val="0"/>
              <w:spacing w:after="80"/>
              <w:jc w:val="left"/>
            </w:pPr>
            <w:r>
              <w:rPr>
                <w:sz w:val="24"/>
              </w:rPr>
              <w:t xml:space="preserve">S002 / P002</w:t>
            </w:r>
          </w:p>
        </w:tc>
        <w:tc>
          <w:tcPr/>
          <w:p>
            <w:pPr>
              <w:pStyle w:val="Compact"/>
              <w:keepNext w:val="0"/>
              <w:spacing w:after="80"/>
              <w:jc w:val="left"/>
            </w:pPr>
            <w:r>
              <w:rPr>
                <w:sz w:val="24"/>
              </w:rPr>
              <w:t xml:space="preserve">iGniter (2023)</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S003 / P003</w:t>
            </w:r>
          </w:p>
        </w:tc>
        <w:tc>
          <w:tcPr/>
          <w:p>
            <w:pPr>
              <w:pStyle w:val="Compact"/>
              <w:keepNext w:val="0"/>
              <w:spacing w:after="80"/>
              <w:jc w:val="left"/>
            </w:pPr>
            <w:r>
              <w:rPr>
                <w:sz w:val="24"/>
              </w:rPr>
              <w:t xml:space="preserve">gpulets (2022)</w:t>
            </w:r>
          </w:p>
        </w:tc>
        <w:tc>
          <w:tcPr/>
          <w:p>
            <w:pPr>
              <w:pStyle w:val="Compact"/>
              <w:keepNext w:val="0"/>
              <w:spacing w:after="80"/>
              <w:jc w:val="left"/>
            </w:pPr>
            <w:r>
              <w:rPr>
                <w:sz w:val="24"/>
              </w:rPr>
              <w:t xml:space="preserve">20</w:t>
            </w:r>
            <w:r>
              <w:rPr>
                <w:sz w:val="24"/>
              </w:rPr>
              <w:t xml:space="preserve">/20</w:t>
            </w:r>
          </w:p>
        </w:tc>
      </w:tr>
      <w:tr>
        <w:tc>
          <w:tcPr/>
          <w:p>
            <w:pPr>
              <w:pStyle w:val="Compact"/>
              <w:keepNext w:val="0"/>
              <w:spacing w:after="80"/>
              <w:jc w:val="left"/>
            </w:pPr>
            <w:r>
              <w:rPr>
                <w:sz w:val="24"/>
              </w:rPr>
              <w:t xml:space="preserve">S004 / P004</w:t>
            </w:r>
          </w:p>
        </w:tc>
        <w:tc>
          <w:tcPr/>
          <w:p>
            <w:pPr>
              <w:pStyle w:val="Compact"/>
              <w:keepNext w:val="0"/>
              <w:spacing w:after="80"/>
              <w:jc w:val="left"/>
            </w:pPr>
            <w:r>
              <w:rPr>
                <w:sz w:val="24"/>
              </w:rPr>
              <w:t xml:space="preserve">PipeSwitch (2020)</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S005 / P005</w:t>
            </w:r>
          </w:p>
        </w:tc>
        <w:tc>
          <w:tcPr/>
          <w:p>
            <w:pPr>
              <w:pStyle w:val="Compact"/>
              <w:keepNext w:val="0"/>
              <w:spacing w:after="80"/>
              <w:jc w:val="left"/>
            </w:pPr>
            <w:r>
              <w:rPr>
                <w:sz w:val="24"/>
              </w:rPr>
              <w:t xml:space="preserve">REEF conference (2022)</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S006 / P006</w:t>
            </w:r>
          </w:p>
        </w:tc>
        <w:tc>
          <w:tcPr/>
          <w:p>
            <w:pPr>
              <w:pStyle w:val="Compact"/>
              <w:keepNext w:val="0"/>
              <w:spacing w:after="80"/>
              <w:jc w:val="left"/>
            </w:pPr>
            <w:r>
              <w:rPr>
                <w:sz w:val="24"/>
              </w:rPr>
              <w:t xml:space="preserve">Paella: Low-latency Model Serving with Software-defined GPU Scheduling (2023)</w:t>
            </w:r>
          </w:p>
        </w:tc>
        <w:tc>
          <w:tcPr/>
          <w:p>
            <w:pPr>
              <w:pStyle w:val="Compact"/>
              <w:keepNext w:val="0"/>
              <w:spacing w:after="80"/>
              <w:jc w:val="left"/>
            </w:pPr>
            <w:r>
              <w:rPr>
                <w:sz w:val="24"/>
              </w:rPr>
              <w:t xml:space="preserve">16</w:t>
            </w:r>
            <w:r>
              <w:rPr>
                <w:sz w:val="24"/>
              </w:rPr>
              <w:t xml:space="preserve">/18</w:t>
            </w:r>
          </w:p>
        </w:tc>
      </w:tr>
      <w:tr>
        <w:tc>
          <w:tcPr/>
          <w:p>
            <w:pPr>
              <w:pStyle w:val="Compact"/>
              <w:keepNext w:val="0"/>
              <w:spacing w:after="80"/>
              <w:jc w:val="left"/>
            </w:pPr>
            <w:r>
              <w:rPr>
                <w:sz w:val="24"/>
              </w:rPr>
              <w:t xml:space="preserve">S007 / P007</w:t>
            </w:r>
          </w:p>
        </w:tc>
        <w:tc>
          <w:tcPr/>
          <w:p>
            <w:pPr>
              <w:pStyle w:val="Compact"/>
              <w:keepNext w:val="0"/>
              <w:spacing w:after="80"/>
              <w:jc w:val="left"/>
            </w:pPr>
            <w:r>
              <w:rPr>
                <w:sz w:val="24"/>
              </w:rPr>
              <w:t xml:space="preserve">Orion: Interference-aware, Fine-grained GPU Sharing for ML Applications (2024)</w:t>
            </w:r>
          </w:p>
        </w:tc>
        <w:tc>
          <w:tcPr/>
          <w:p>
            <w:pPr>
              <w:pStyle w:val="Compact"/>
              <w:keepNext w:val="0"/>
              <w:spacing w:after="80"/>
              <w:jc w:val="left"/>
            </w:pPr>
            <w:r>
              <w:rPr>
                <w:sz w:val="24"/>
              </w:rPr>
              <w:t xml:space="preserve">19</w:t>
            </w:r>
            <w:r>
              <w:rPr>
                <w:sz w:val="24"/>
              </w:rPr>
              <w:t xml:space="preserve">/20</w:t>
            </w:r>
          </w:p>
        </w:tc>
      </w:tr>
      <w:tr>
        <w:tc>
          <w:tcPr/>
          <w:p>
            <w:pPr>
              <w:pStyle w:val="Compact"/>
              <w:keepNext w:val="0"/>
              <w:spacing w:after="80"/>
              <w:jc w:val="left"/>
            </w:pPr>
            <w:r>
              <w:rPr>
                <w:sz w:val="24"/>
              </w:rPr>
              <w:t xml:space="preserve">S008 / P008</w:t>
            </w:r>
          </w:p>
        </w:tc>
        <w:tc>
          <w:tcPr/>
          <w:p>
            <w:pPr>
              <w:pStyle w:val="Compact"/>
              <w:keepNext w:val="0"/>
              <w:spacing w:after="80"/>
              <w:jc w:val="left"/>
            </w:pPr>
            <w:r>
              <w:rPr>
                <w:sz w:val="24"/>
              </w:rPr>
              <w:t xml:space="preserve">GSLICE: Controlled Spatial Sharing of GPUs for a Scalable Inference Platform (2020)</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S009 / P009</w:t>
            </w:r>
          </w:p>
        </w:tc>
        <w:tc>
          <w:tcPr/>
          <w:p>
            <w:pPr>
              <w:pStyle w:val="Compact"/>
              <w:keepNext w:val="0"/>
              <w:spacing w:after="80"/>
              <w:jc w:val="left"/>
            </w:pPr>
            <w:r>
              <w:rPr>
                <w:sz w:val="24"/>
              </w:rPr>
              <w:t xml:space="preserve">Serving DNNs like Clockwork: Performance Predictability from the Bottom Up (2020)</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S010 / P010</w:t>
            </w:r>
          </w:p>
        </w:tc>
        <w:tc>
          <w:tcPr/>
          <w:p>
            <w:pPr>
              <w:pStyle w:val="Compact"/>
              <w:keepNext w:val="0"/>
              <w:spacing w:after="80"/>
              <w:jc w:val="left"/>
            </w:pPr>
            <w:r>
              <w:rPr>
                <w:sz w:val="24"/>
              </w:rPr>
              <w:t xml:space="preserve">Colocating ML Inference and Training with Fast GPU Memory Handover (SIRIUS)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S011 / P011</w:t>
            </w:r>
          </w:p>
        </w:tc>
        <w:tc>
          <w:tcPr/>
          <w:p>
            <w:pPr>
              <w:pStyle w:val="Compact"/>
              <w:keepNext w:val="0"/>
              <w:spacing w:after="80"/>
              <w:jc w:val="left"/>
            </w:pPr>
            <w:r>
              <w:rPr>
                <w:sz w:val="24"/>
              </w:rPr>
              <w:t xml:space="preserve">ParvaGPU: Efficient Spatial GPU Sharing for Large-Scale DNN Inference in Cloud Environments (2024)</w:t>
            </w:r>
          </w:p>
        </w:tc>
        <w:tc>
          <w:tcPr/>
          <w:p>
            <w:pPr>
              <w:pStyle w:val="Compact"/>
              <w:keepNext w:val="0"/>
              <w:spacing w:after="80"/>
              <w:jc w:val="left"/>
            </w:pPr>
            <w:r>
              <w:rPr>
                <w:sz w:val="24"/>
              </w:rPr>
              <w:t xml:space="preserve">14</w:t>
            </w:r>
            <w:r>
              <w:rPr>
                <w:sz w:val="24"/>
              </w:rPr>
              <w:t xml:space="preserve">/20</w:t>
            </w:r>
          </w:p>
        </w:tc>
      </w:tr>
      <w:tr>
        <w:tc>
          <w:tcPr/>
          <w:p>
            <w:pPr>
              <w:pStyle w:val="Compact"/>
              <w:keepNext w:val="0"/>
              <w:spacing w:after="80"/>
              <w:jc w:val="left"/>
            </w:pPr>
            <w:r>
              <w:rPr>
                <w:sz w:val="24"/>
              </w:rPr>
              <w:t xml:space="preserve">S012 / P012</w:t>
            </w:r>
          </w:p>
        </w:tc>
        <w:tc>
          <w:tcPr/>
          <w:p>
            <w:pPr>
              <w:pStyle w:val="Compact"/>
              <w:keepNext w:val="0"/>
              <w:spacing w:after="80"/>
              <w:jc w:val="left"/>
            </w:pPr>
            <w:r>
              <w:rPr>
                <w:sz w:val="24"/>
              </w:rPr>
              <w:t xml:space="preserve">Torpor: GPU-Enabled Serverless Computing for Low-Latency, Resource-Efficient Inference (2025)</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S013 / P013</w:t>
            </w:r>
          </w:p>
        </w:tc>
        <w:tc>
          <w:tcPr/>
          <w:p>
            <w:pPr>
              <w:pStyle w:val="Compact"/>
              <w:keepNext w:val="0"/>
              <w:spacing w:after="80"/>
              <w:jc w:val="left"/>
            </w:pPr>
            <w:r>
              <w:rPr>
                <w:sz w:val="24"/>
              </w:rPr>
              <w:t xml:space="preserve">StreamBox: A Lightweight GPU SandBox for Serverless Inference Workflow (2024)</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S014 / P014</w:t>
            </w:r>
          </w:p>
        </w:tc>
        <w:tc>
          <w:tcPr/>
          <w:p>
            <w:pPr>
              <w:pStyle w:val="Compact"/>
              <w:keepNext w:val="0"/>
              <w:spacing w:after="80"/>
              <w:jc w:val="left"/>
            </w:pPr>
            <w:r>
              <w:rPr>
                <w:sz w:val="24"/>
              </w:rPr>
              <w:t xml:space="preserve">Efficient Performance-Aware GPU Sharing with Compatibility and Isolation through Kernel Space Interception (KRYPTON) (2025)</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S015 / P015</w:t>
            </w:r>
          </w:p>
        </w:tc>
        <w:tc>
          <w:tcPr/>
          <w:p>
            <w:pPr>
              <w:pStyle w:val="Compact"/>
              <w:keepNext w:val="0"/>
              <w:spacing w:after="80"/>
              <w:jc w:val="left"/>
            </w:pPr>
            <w:r>
              <w:rPr>
                <w:sz w:val="24"/>
              </w:rPr>
              <w:t xml:space="preserve">XSched: Preemptive Scheduling for Diverse XPUs (2025)</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S016 / P018</w:t>
            </w:r>
          </w:p>
        </w:tc>
        <w:tc>
          <w:tcPr/>
          <w:p>
            <w:pPr>
              <w:pStyle w:val="Compact"/>
              <w:keepNext w:val="0"/>
              <w:spacing w:after="80"/>
              <w:jc w:val="left"/>
            </w:pPr>
            <w:r>
              <w:rPr>
                <w:sz w:val="24"/>
              </w:rPr>
              <w:t xml:space="preserve">InferFair: Towards QoS-aware scheduling for performance isolation guarantee in heterogeneous model serving systems (2024)</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S017 / P019</w:t>
            </w:r>
          </w:p>
        </w:tc>
        <w:tc>
          <w:tcPr/>
          <w:p>
            <w:pPr>
              <w:pStyle w:val="Compact"/>
              <w:keepNext w:val="0"/>
              <w:spacing w:after="80"/>
              <w:jc w:val="left"/>
            </w:pPr>
            <w:r>
              <w:rPr>
                <w:sz w:val="24"/>
              </w:rPr>
              <w:t xml:space="preserve">ArkGPU: enabling applications’ high-goodput co-location execution on multitasking GPUs (2023)</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S018 / P020</w:t>
            </w:r>
          </w:p>
        </w:tc>
        <w:tc>
          <w:tcPr/>
          <w:p>
            <w:pPr>
              <w:pStyle w:val="Compact"/>
              <w:keepNext w:val="0"/>
              <w:spacing w:after="80"/>
              <w:jc w:val="left"/>
            </w:pPr>
            <w:r>
              <w:rPr>
                <w:sz w:val="24"/>
              </w:rPr>
              <w:t xml:space="preserve">Dyna-P: placement-aware dynamic partitioning for lightweight applications with modern GPUs (2025)</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S019 / P021</w:t>
            </w:r>
          </w:p>
        </w:tc>
        <w:tc>
          <w:tcPr/>
          <w:p>
            <w:pPr>
              <w:pStyle w:val="Compact"/>
              <w:keepNext w:val="0"/>
              <w:spacing w:after="80"/>
              <w:jc w:val="left"/>
            </w:pPr>
            <w:r>
              <w:rPr>
                <w:sz w:val="24"/>
              </w:rPr>
              <w:t xml:space="preserve">KRISP: Enabling Kernel-wise RIght-sizing for Spatial Partitioned GPU Inference Servers (2023)</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S020 / P022</w:t>
            </w:r>
          </w:p>
        </w:tc>
        <w:tc>
          <w:tcPr/>
          <w:p>
            <w:pPr>
              <w:pStyle w:val="Compact"/>
              <w:keepNext w:val="0"/>
              <w:spacing w:after="80"/>
              <w:jc w:val="left"/>
            </w:pPr>
            <w:r>
              <w:rPr>
                <w:sz w:val="24"/>
              </w:rPr>
              <w:t xml:space="preserve">Tally: Non-Intrusive Performance Isolation for Concurrent Deep Learning Workloads (2025)</w:t>
            </w:r>
          </w:p>
        </w:tc>
        <w:tc>
          <w:tcPr/>
          <w:p>
            <w:pPr>
              <w:pStyle w:val="Compact"/>
              <w:keepNext w:val="0"/>
              <w:spacing w:after="80"/>
              <w:jc w:val="left"/>
            </w:pPr>
            <w:r>
              <w:rPr>
                <w:sz w:val="24"/>
              </w:rPr>
              <w:t xml:space="preserve">19</w:t>
            </w:r>
            <w:r>
              <w:rPr>
                <w:sz w:val="24"/>
              </w:rPr>
              <w:t xml:space="preserve">/20</w:t>
            </w:r>
          </w:p>
        </w:tc>
      </w:tr>
    </w:tbl>
    <w:bookmarkEnd w:id="37"/>
    <w:bookmarkStart w:id="41" w:name="taxonomy-of-existing-approaches"/>
    <w:p>
      <w:pPr>
        <w:pStyle w:val="Heading1"/>
      </w:pPr>
      <w:r>
        <w:t xml:space="preserve">Taxonomy of existing approaches</w:t>
      </w:r>
    </w:p>
    <w:p>
      <w:pPr>
        <w:pStyle w:val="FirstParagraph"/>
      </w:pPr>
      <w:r>
        <w:t xml:space="preserve">A useful taxonomy separates the resource being controlled from the software layer implementing the policy. The same system may appear in more than one category. A MIG-based system can also use MPS; an API interceptor can enforce temporal scheduling; and memory handover can support mixed-workload co-location. Treating these as mutually exclusive labels would hide the source of the observed behavior.</w:t>
      </w:r>
    </w:p>
    <w:bookmarkStart w:id="38" w:name="temporal-and-priority-control"/>
    <w:p>
      <w:pPr>
        <w:pStyle w:val="Heading2"/>
      </w:pPr>
      <w:r>
        <w:t xml:space="preserve">Temporal and priority control</w:t>
      </w:r>
    </w:p>
    <w:p>
      <w:pPr>
        <w:pStyle w:val="FirstParagraph"/>
      </w:pPr>
      <w:r>
        <w:t xml:space="preserve">Temporal mechanisms decide which work runs and when another tenant can make progress. PipeSwitch emphasizes switching and model state, Clockwork emphasizes predictable execution and admission, while REEF, Paella, Orion and XSched expose different scheduling/preemption boundaries. Their integration costs and latency meanings differ. PipeSwitch’s additional switching-related latency is not interchangeable with XSched’s foreground P99 ratio or Paella’s reported P99 reduction [11, 9, 12, 13, 14, 2].</w:t>
      </w:r>
    </w:p>
    <w:bookmarkEnd w:id="38"/>
    <w:bookmarkStart w:id="39" w:name="spatial-allocation-and-partitions"/>
    <w:p>
      <w:pPr>
        <w:pStyle w:val="Heading2"/>
      </w:pPr>
      <w:r>
        <w:t xml:space="preserve">Spatial allocation and partitions</w:t>
      </w:r>
    </w:p>
    <w:p>
      <w:pPr>
        <w:pStyle w:val="FirstParagraph"/>
      </w:pPr>
      <w:r>
        <w:t xml:space="preserve">MPS-based allocation and software right-sizing regulate concurrent access to execution resources. VastPipe, iGniter, gpulets and GSLICE provide different allocation, profiling and feedback approaches. KRISP contributes AMD-oriented kernel right-sizing evidence and should not be relabeled as a measurement of NVIDIA MPS. Partition-aware designs, including ParvaGPU and Dyna-P, additionally make placement, profile size or reconfiguration relevant [15, 16, 17, 18, 1, 19, 20].</w:t>
      </w:r>
    </w:p>
    <w:p>
      <w:pPr>
        <w:pStyle w:val="BodyText"/>
      </w:pPr>
      <w:r>
        <w:t xml:space="preserve">A spatial allocation is only one part of a service guarantee. The model must fit memory, the workload must remain within the profiled regime and the selected resource shares must satisfy its timing requirements. Hardware allocation boundaries do not by themselves establish all possible security or fault guarantees in the reviewed experiments.</w:t>
      </w:r>
    </w:p>
    <w:bookmarkEnd w:id="39"/>
    <w:bookmarkStart w:id="40" w:name="api-runtime-and-memory-mediation"/>
    <w:p>
      <w:pPr>
        <w:pStyle w:val="Heading2"/>
      </w:pPr>
      <w:r>
        <w:t xml:space="preserve">API, runtime and memory mediation</w:t>
      </w:r>
    </w:p>
    <w:p>
      <w:pPr>
        <w:pStyle w:val="FirstParagraph"/>
      </w:pPr>
      <w:r>
        <w:t xml:space="preserve">Torpor, StreamBox, KRYPTON, ArkGPU and Tally intervene at different points between the application and accelerator. Their common advantage is control over resource use without necessarily changing the model’s high-level purpose. Their differences include intercepted interfaces, compatibility, runtime sharing, host work and the degree to which tenants share memory or trust assumptions. SIRIUS contributes a specific memory-handover mechanism for co-located inference and training [21, 22, 23, 24, 25, 26].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Family / reports</w:t>
            </w:r>
          </w:p>
        </w:tc>
        <w:tc>
          <w:tcPr>
            <w:shd w:fill="E8EDF2"/>
          </w:tcPr>
          <w:p>
            <w:pPr>
              <w:pStyle w:val="Compact"/>
              <w:keepNext w:val="0"/>
              <w:spacing w:after="80"/>
              <w:jc w:val="left"/>
            </w:pPr>
            <w:r>
              <w:rPr>
                <w:bCs/>
                <w:b/>
                <w:sz w:val="24"/>
              </w:rPr>
              <w:t xml:space="preserve">Control and condition</w:t>
            </w:r>
          </w:p>
        </w:tc>
        <w:tc>
          <w:tcPr>
            <w:shd w:fill="E8EDF2"/>
          </w:tcPr>
          <w:p>
            <w:pPr>
              <w:pStyle w:val="Compact"/>
              <w:keepNext w:val="0"/>
              <w:spacing w:after="80"/>
              <w:jc w:val="left"/>
            </w:pPr>
            <w:r>
              <w:rPr>
                <w:bCs/>
                <w:b/>
                <w:sz w:val="24"/>
              </w:rPr>
              <w:t xml:space="preserve">Cost</w:t>
            </w:r>
          </w:p>
        </w:tc>
      </w:tr>
      <w:tr>
        <w:tc>
          <w:tcPr/>
          <w:p>
            <w:pPr>
              <w:pStyle w:val="Compact"/>
              <w:keepNext w:val="0"/>
              <w:spacing w:after="80"/>
              <w:jc w:val="left"/>
            </w:pPr>
            <w:r>
              <w:rPr>
                <w:sz w:val="24"/>
              </w:rPr>
              <w:t xml:space="preserve">Temporal / priority; P004 P005 P006 P007 P009 P015 P022</w:t>
            </w:r>
          </w:p>
        </w:tc>
        <w:tc>
          <w:tcPr/>
          <w:p>
            <w:pPr>
              <w:pStyle w:val="Compact"/>
              <w:keepNext w:val="0"/>
              <w:spacing w:after="80"/>
              <w:jc w:val="left"/>
            </w:pPr>
            <w:r>
              <w:rPr>
                <w:sz w:val="24"/>
              </w:rPr>
              <w:t xml:space="preserve">Request, model, kernel or launch order. A suitable interception/preemption boundary exists</w:t>
            </w:r>
          </w:p>
        </w:tc>
        <w:tc>
          <w:tcPr/>
          <w:p>
            <w:pPr>
              <w:pStyle w:val="Compact"/>
              <w:keepNext w:val="0"/>
              <w:spacing w:after="80"/>
              <w:jc w:val="left"/>
            </w:pPr>
            <w:r>
              <w:rPr>
                <w:sz w:val="24"/>
              </w:rPr>
              <w:t xml:space="preserve">Switch cost, profiling and background slowdown</w:t>
            </w:r>
          </w:p>
        </w:tc>
      </w:tr>
      <w:tr>
        <w:tc>
          <w:tcPr/>
          <w:p>
            <w:pPr>
              <w:pStyle w:val="Compact"/>
              <w:keepNext w:val="0"/>
              <w:spacing w:after="80"/>
              <w:jc w:val="left"/>
            </w:pPr>
            <w:r>
              <w:rPr>
                <w:sz w:val="24"/>
              </w:rPr>
              <w:t xml:space="preserve">Software spatial sharing; P001 P002 P003 P008 P021</w:t>
            </w:r>
          </w:p>
        </w:tc>
        <w:tc>
          <w:tcPr/>
          <w:p>
            <w:pPr>
              <w:pStyle w:val="Compact"/>
              <w:keepNext w:val="0"/>
              <w:spacing w:after="80"/>
              <w:jc w:val="left"/>
            </w:pPr>
            <w:r>
              <w:rPr>
                <w:sz w:val="24"/>
              </w:rPr>
              <w:t xml:space="preserve">MPS quota or AMD CU-mask control. Concurrent jobs fit memory and selected compute allocation</w:t>
            </w:r>
          </w:p>
        </w:tc>
        <w:tc>
          <w:tcPr/>
          <w:p>
            <w:pPr>
              <w:pStyle w:val="Compact"/>
              <w:keepNext w:val="0"/>
              <w:spacing w:after="80"/>
              <w:jc w:val="left"/>
            </w:pPr>
            <w:r>
              <w:rPr>
                <w:sz w:val="24"/>
              </w:rPr>
              <w:t xml:space="preserve">Residual interference; quotas are not proof of security</w:t>
            </w:r>
          </w:p>
        </w:tc>
      </w:tr>
      <w:tr>
        <w:tc>
          <w:tcPr/>
          <w:p>
            <w:pPr>
              <w:pStyle w:val="Compact"/>
              <w:keepNext w:val="0"/>
              <w:spacing w:after="80"/>
              <w:jc w:val="left"/>
            </w:pPr>
            <w:r>
              <w:rPr>
                <w:sz w:val="24"/>
              </w:rPr>
              <w:t xml:space="preserve">Hardware partition and hybrid; P011 P014 P020</w:t>
            </w:r>
          </w:p>
        </w:tc>
        <w:tc>
          <w:tcPr/>
          <w:p>
            <w:pPr>
              <w:pStyle w:val="Compact"/>
              <w:keepNext w:val="0"/>
              <w:spacing w:after="80"/>
              <w:jc w:val="left"/>
            </w:pPr>
            <w:r>
              <w:rPr>
                <w:sz w:val="24"/>
              </w:rPr>
              <w:t xml:space="preserve">MIG profiles plus temporal/MPS policy. Supported partition profiles fit model memory</w:t>
            </w:r>
          </w:p>
        </w:tc>
        <w:tc>
          <w:tcPr/>
          <w:p>
            <w:pPr>
              <w:pStyle w:val="Compact"/>
              <w:keepNext w:val="0"/>
              <w:spacing w:after="80"/>
              <w:jc w:val="left"/>
            </w:pPr>
            <w:r>
              <w:rPr>
                <w:sz w:val="24"/>
              </w:rPr>
              <w:t xml:space="preserve">Fragmentation, placement and reconfiguration cost</w:t>
            </w:r>
          </w:p>
        </w:tc>
      </w:tr>
      <w:tr>
        <w:tc>
          <w:tcPr/>
          <w:p>
            <w:pPr>
              <w:pStyle w:val="Compact"/>
              <w:keepNext w:val="0"/>
              <w:spacing w:after="80"/>
              <w:jc w:val="left"/>
            </w:pPr>
            <w:r>
              <w:rPr>
                <w:sz w:val="24"/>
              </w:rPr>
              <w:t xml:space="preserve">API / runtime mediation; P006 P012 P013 P014 P019 P022</w:t>
            </w:r>
          </w:p>
        </w:tc>
        <w:tc>
          <w:tcPr/>
          <w:p>
            <w:pPr>
              <w:pStyle w:val="Compact"/>
              <w:keepNext w:val="0"/>
              <w:spacing w:after="80"/>
              <w:jc w:val="left"/>
            </w:pPr>
            <w:r>
              <w:rPr>
                <w:sz w:val="24"/>
              </w:rPr>
              <w:t xml:space="preserve">User API, shared runtime or kernel interface. Required APIs and integration hooks are supported</w:t>
            </w:r>
          </w:p>
        </w:tc>
        <w:tc>
          <w:tcPr/>
          <w:p>
            <w:pPr>
              <w:pStyle w:val="Compact"/>
              <w:keepNext w:val="0"/>
              <w:spacing w:after="80"/>
              <w:jc w:val="left"/>
            </w:pPr>
            <w:r>
              <w:rPr>
                <w:sz w:val="24"/>
              </w:rPr>
              <w:t xml:space="preserve">Compatibility, CPU/transfer cost and trust boundary</w:t>
            </w:r>
          </w:p>
        </w:tc>
      </w:tr>
      <w:tr>
        <w:tc>
          <w:tcPr/>
          <w:p>
            <w:pPr>
              <w:pStyle w:val="Compact"/>
              <w:keepNext w:val="0"/>
              <w:spacing w:after="80"/>
              <w:jc w:val="left"/>
            </w:pPr>
            <w:r>
              <w:rPr>
                <w:sz w:val="24"/>
              </w:rPr>
              <w:t xml:space="preserve">Memory handover; P010</w:t>
            </w:r>
          </w:p>
        </w:tc>
        <w:tc>
          <w:tcPr/>
          <w:p>
            <w:pPr>
              <w:pStyle w:val="Compact"/>
              <w:keepNext w:val="0"/>
              <w:spacing w:after="80"/>
              <w:jc w:val="left"/>
            </w:pPr>
            <w:r>
              <w:rPr>
                <w:sz w:val="24"/>
              </w:rPr>
              <w:t xml:space="preserve">Inference/training memory ownership. Training can yield memory without breaking inference</w:t>
            </w:r>
          </w:p>
        </w:tc>
        <w:tc>
          <w:tcPr/>
          <w:p>
            <w:pPr>
              <w:pStyle w:val="Compact"/>
              <w:keepNext w:val="0"/>
              <w:spacing w:after="80"/>
              <w:jc w:val="left"/>
            </w:pPr>
            <w:r>
              <w:rPr>
                <w:sz w:val="24"/>
              </w:rPr>
              <w:t xml:space="preserve">Reclamation and integration overhead</w:t>
            </w:r>
          </w:p>
        </w:tc>
      </w:tr>
      <w:tr>
        <w:tc>
          <w:tcPr/>
          <w:p>
            <w:pPr>
              <w:pStyle w:val="Compact"/>
              <w:keepNext w:val="0"/>
              <w:spacing w:after="80"/>
              <w:jc w:val="left"/>
            </w:pPr>
            <w:r>
              <w:rPr>
                <w:sz w:val="24"/>
              </w:rPr>
              <w:t xml:space="preserve">Fairness policy; P018</w:t>
            </w:r>
          </w:p>
        </w:tc>
        <w:tc>
          <w:tcPr/>
          <w:p>
            <w:pPr>
              <w:pStyle w:val="Compact"/>
              <w:keepNext w:val="0"/>
              <w:spacing w:after="80"/>
              <w:jc w:val="left"/>
            </w:pPr>
            <w:r>
              <w:rPr>
                <w:sz w:val="24"/>
              </w:rPr>
              <w:t xml:space="preserve">Relative model slowdown and SLO goodput. Comparable per-model service objectives</w:t>
            </w:r>
          </w:p>
        </w:tc>
        <w:tc>
          <w:tcPr/>
          <w:p>
            <w:pPr>
              <w:pStyle w:val="Compact"/>
              <w:keepNext w:val="0"/>
              <w:spacing w:after="80"/>
              <w:jc w:val="left"/>
            </w:pPr>
            <w:r>
              <w:rPr>
                <w:sz w:val="24"/>
              </w:rPr>
              <w:t xml:space="preserve">Not equivalent to request-tail or hostile-tenant isolation</w:t>
            </w:r>
          </w:p>
        </w:tc>
      </w:tr>
    </w:tbl>
    <w:bookmarkEnd w:id="40"/>
    <w:bookmarkEnd w:id="41"/>
    <w:bookmarkStart w:id="47" w:name="X34ff89ad48090fd6318e0bee914a519d9f95154"/>
    <w:p>
      <w:pPr>
        <w:pStyle w:val="Heading1"/>
      </w:pPr>
      <w:r>
        <w:t xml:space="preserve">Results and evidence synthesis by research question</w:t>
      </w:r>
    </w:p>
    <w:bookmarkStart w:id="42" w:name="rq1-mechanisms-and-control-boundaries"/>
    <w:p>
      <w:pPr>
        <w:pStyle w:val="Heading2"/>
      </w:pPr>
      <w:r>
        <w:t xml:space="preserve">RQ1: mechanisms and control boundaries</w:t>
      </w:r>
    </w:p>
    <w:p>
      <w:pPr>
        <w:pStyle w:val="FirstParagraph"/>
      </w:pPr>
      <w:r>
        <w:t xml:space="preserve">The corpus supports a layered answer rather than a product list. Temporal control manages ordering and interruption; software spatial control manages concurrent allocation; hardware partitioning constrains resource placement; and API/runtime mediation supplies an enforcement layer. Fairness-aware policy adds a decision objective across these mechanisms. InferFair, for example, is best understood through relative slowdown and useful service, not as a new hardware partition primitive [27].</w:t>
      </w:r>
    </w:p>
    <w:p>
      <w:pPr>
        <w:pStyle w:val="BodyText"/>
      </w:pPr>
      <w:r>
        <w:t xml:space="preserve">This taxonomy explains why naming MPS, MIG or remoting is insufficient for engineering selection. A deployment also needs a policy, a mechanism for enforcing it and an explicit boundary of protection. The corpus demonstrates several combinations, but its bounded selection does not support a claim that one category is most prevalent in the entire literature.</w:t>
      </w:r>
    </w:p>
    <w:bookmarkEnd w:id="42"/>
    <w:bookmarkStart w:id="43" w:name="rq2-measurements-and-comparability"/>
    <w:p>
      <w:pPr>
        <w:pStyle w:val="Heading2"/>
      </w:pPr>
      <w:r>
        <w:t xml:space="preserve">RQ2: measurements and comparability</w:t>
      </w:r>
    </w:p>
    <w:p>
      <w:pPr>
        <w:pStyle w:val="FirstParagraph"/>
      </w:pPr>
      <w:r>
        <w:t xml:space="preserve">The outcome register includes requests/s, normalized throughput, goodput, P99/P98 latency, unspecified latency, SLO-violation rate, API overhead, host memory and a composite utilization-efficacy score. These measure different properties. Goodput counts work that meets a service objective, while aggregate throughput may include best-effort work that does not protect the foreground service. A numerical increase in the latter cannot establish improvement in the former.</w:t>
      </w:r>
    </w:p>
    <w:p>
      <w:pPr>
        <w:pStyle w:val="BodyText"/>
      </w:pPr>
      <w:r>
        <w:t xml:space="preserve">GSLICE’s GUE value of 94.04 is a composite score, not 94.04% GPU utilization. Its negative signed latency improvement is retained as an unfavorable observation. The gpulets threshold covering 90% of tested model pairs concerns a distribution across pairs, not the 90th percentile of requests. These distinctions prevent apparently precise but invalid conclusions [17, 18].</w:t>
      </w:r>
    </w:p>
    <w:p>
      <w:pPr>
        <w:pStyle w:val="BodyText"/>
      </w:pPr>
      <w:r>
        <w:t xml:space="preserve">The reported iGniter prediction-error range of 1.53–5.02% assesses prediction accuracy, not a latency speedup. Clockwork’s approximately 800 requests/s is goodput in a particular evaluation, and the supplied extraction notes a nonidentical comparator setup. Both observations are useful, but neither supports a direct ranking against a throughput ratio measured on another platform [16, 14].</w:t>
      </w:r>
    </w:p>
    <w:bookmarkEnd w:id="43"/>
    <w:bookmarkStart w:id="44" w:name="rq3-conditions-affecting-results"/>
    <w:p>
      <w:pPr>
        <w:pStyle w:val="Heading2"/>
      </w:pPr>
      <w:r>
        <w:t xml:space="preserve">RQ3: conditions affecting results</w:t>
      </w:r>
    </w:p>
    <w:p>
      <w:pPr>
        <w:pStyle w:val="FirstParagraph"/>
      </w:pPr>
      <w:r>
        <w:t xml:space="preserve">Three conditions recur in the evidence. First, concurrency and resource shares affect both completed work and waiting time. The local ParvaGPU contrast shows a throughput benefit accompanied by increased latency. Second, model state and memory transfer can dominate. Torpor’s late binding is attractive for low-rate functions, but its density result does not establish that frequent transfers of large models meet the same latency objective. Third, the workload’s priority structure determines which sacrifice is acceptable [1, 22].</w:t>
      </w:r>
    </w:p>
    <w:p>
      <w:pPr>
        <w:pStyle w:val="BodyText"/>
      </w:pPr>
      <w:r>
        <w:t xml:space="preserve">For a foreground-priority service, XSched’s 1.07x standalone P99 is relevant because it directly expresses foreground interference in the evaluated setup. Orion’s up-to-7.3x aggregate-throughput result describes total work and must be read with its foreground-latency condition. These results can support different decisions without contradicting each other [13, 2].</w:t>
      </w:r>
    </w:p>
    <w:p>
      <w:pPr>
        <w:pStyle w:val="BodyText"/>
      </w:pPr>
      <w:r>
        <w:t xml:space="preserve">Mixed-workload evidence requires an additional separation. SIRIUS reports an average P99 inference improvement factor of 12.6 against the authors’ adapted TaskSwitch baseline. It is not a uniform per-model gain or a direct comparison against unmodified PipeSwitch. ArkGPU’s recorded inference/training pairs meet a twice-solo P99 target, while a low-contention setting can lose about 5% QPS. The unfavorable condition belongs in the synthesis because it changes when the mechanism is worthwhile [21, 25].</w:t>
      </w:r>
    </w:p>
    <w:bookmarkEnd w:id="44"/>
    <w:bookmarkStart w:id="45" w:name="rq4-isolation-and-implementation-cost"/>
    <w:p>
      <w:pPr>
        <w:pStyle w:val="Heading2"/>
      </w:pPr>
      <w:r>
        <w:t xml:space="preserve">RQ4: isolation and implementation cost</w:t>
      </w:r>
    </w:p>
    <w:p>
      <w:pPr>
        <w:pStyle w:val="FirstParagraph"/>
      </w:pPr>
      <w:r>
        <w:t xml:space="preserve">Performance isolation asks whether another workload changes service behavior. Resource isolation asks what capacity is allocated or separated. Memory protection and fault containment concern different failure or adversarial models. A scheduler that limits slowdown is not thereby a complete hostile-tenant security boundary. The extraction cards preserve these dimensions separately, and untested boundaries remain unestablished.</w:t>
      </w:r>
    </w:p>
    <w:p>
      <w:pPr>
        <w:pStyle w:val="BodyText"/>
      </w:pPr>
      <w:r>
        <w:t xml:space="preserve">Implementation costs also operate at different levels. API mediation can add host-side work or per-call delay. Model swapping adds transfer and memory pressure. Kernel-space interception introduces compatibility and maintenance requirements. Temporal granularity changes the trade-off between scheduling work and waiting time. The KRYPTON extraction reports an average QoS violation rate of 1.23% relative to a solo P99 threshold, which is a threshold-relative request fraction rather than a latency in milliseconds. Its original Poisson rate is half the solo maximum; the shared test halves that rate again while assigning 50% time [24].</w:t>
      </w:r>
    </w:p>
    <w:bookmarkEnd w:id="45"/>
    <w:bookmarkStart w:id="46" w:name="rq5-conditional-selection"/>
    <w:p>
      <w:pPr>
        <w:pStyle w:val="Heading2"/>
      </w:pPr>
      <w:r>
        <w:t xml:space="preserve">RQ5: conditional selection</w:t>
      </w:r>
    </w:p>
    <w:p>
      <w:pPr>
        <w:pStyle w:val="FirstParagraph"/>
      </w:pPr>
      <w:r>
        <w:t xml:space="preserve">The evidence supports a sequence of decisions. Specify the service objective and trust boundary first. Eliminate mechanisms incompatible with hardware, model memory or required integration. Compare the remaining candidates under the relevant arrival process, batch and co-tenant mix. Measure both protected service and work sacrificed. If the available studies do not cover the required boundary, the appropriate conclusion is insufficient evidence for that guarantee, not an assumed benefit.</w:t>
      </w:r>
    </w:p>
    <w:p>
      <w:pPr>
        <w:pStyle w:val="BodyText"/>
      </w:pPr>
      <w:r>
        <w:t xml:space="preserve">The recommendation matrix in Section 10 connects each scenario to report IDs, expected benefits, costs and alternatives. These are evidence-supported candidates for evaluation, not claims that the reviewed implementation can be deployed unchanged in every environment.</w:t>
      </w:r>
    </w:p>
    <w:bookmarkEnd w:id="46"/>
    <w:bookmarkEnd w:id="47"/>
    <w:bookmarkStart w:id="48" w:name="comparative-analysis"/>
    <w:p>
      <w:pPr>
        <w:pStyle w:val="Heading1"/>
      </w:pPr>
      <w:r>
        <w:t xml:space="preserve">Comparative analysis</w:t>
      </w:r>
    </w:p>
    <w:p>
      <w:pPr>
        <w:pStyle w:val="FirstParagraph"/>
      </w:pPr>
      <w:r>
        <w:t xml:space="preserve">The comparison distinguishes direct within-source contrasts from unmatched cross-study observations. The strongest numerical statements are tied to their original comparator. Even these require attention to whether the result is an average, maximum, lower bound or threshold-relative statistic. An improvement described as</w:t>
      </w:r>
      <w:r>
        <w:t xml:space="preserve"> </w:t>
      </w:r>
      <w:r>
        <w:t xml:space="preserve">“</w:t>
      </w:r>
      <w:r>
        <w:t xml:space="preserve">up to</w:t>
      </w:r>
      <w:r>
        <w:t xml:space="preserve">”</w:t>
      </w:r>
      <w:r>
        <w:t xml:space="preserve"> </w:t>
      </w:r>
      <w:r>
        <w:t xml:space="preserve">is not the expected result for an arbitrary deployment.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Evidence / class</w:t>
            </w:r>
          </w:p>
        </w:tc>
        <w:tc>
          <w:tcPr>
            <w:shd w:fill="E8EDF2"/>
          </w:tcPr>
          <w:p>
            <w:pPr>
              <w:pStyle w:val="Compact"/>
              <w:keepNext w:val="0"/>
              <w:spacing w:after="80"/>
              <w:jc w:val="left"/>
            </w:pPr>
            <w:r>
              <w:rPr>
                <w:bCs/>
                <w:b/>
                <w:sz w:val="24"/>
              </w:rPr>
              <w:t xml:space="preserve">Observation</w:t>
            </w:r>
          </w:p>
        </w:tc>
        <w:tc>
          <w:tcPr>
            <w:shd w:fill="E8EDF2"/>
          </w:tcPr>
          <w:p>
            <w:pPr>
              <w:pStyle w:val="Compact"/>
              <w:keepNext w:val="0"/>
              <w:spacing w:after="80"/>
              <w:jc w:val="left"/>
            </w:pPr>
            <w:r>
              <w:rPr>
                <w:bCs/>
                <w:b/>
                <w:sz w:val="24"/>
              </w:rPr>
              <w:t xml:space="preserve">Interpretation and missing control</w:t>
            </w:r>
          </w:p>
        </w:tc>
      </w:tr>
      <w:tr>
        <w:tc>
          <w:tcPr/>
          <w:p>
            <w:pPr>
              <w:pStyle w:val="Compact"/>
              <w:keepNext w:val="0"/>
              <w:spacing w:after="80"/>
              <w:jc w:val="left"/>
            </w:pPr>
            <w:r>
              <w:rPr>
                <w:sz w:val="24"/>
              </w:rPr>
              <w:t xml:space="preserve">CMP01 P011 E036 E037 C001 C002. Within-source trade-off</w:t>
            </w:r>
          </w:p>
        </w:tc>
        <w:tc>
          <w:tcPr/>
          <w:p>
            <w:pPr>
              <w:pStyle w:val="Compact"/>
              <w:keepNext w:val="0"/>
              <w:spacing w:after="80"/>
              <w:jc w:val="left"/>
            </w:pPr>
            <w:r>
              <w:rPr>
                <w:sz w:val="24"/>
              </w:rPr>
              <w:t xml:space="preserve">354</w:t>
            </w:r>
            <w:r>
              <w:rPr>
                <w:sz w:val="24"/>
              </w:rPr>
              <w:t xml:space="preserve"> </w:t>
            </w:r>
            <w:r>
              <w:rPr>
                <w:sz w:val="24"/>
              </w:rPr>
              <w:t xml:space="preserve">to 446 requests/s; 11 to 27 ms</w:t>
            </w:r>
          </w:p>
        </w:tc>
        <w:tc>
          <w:tcPr/>
          <w:p>
            <w:pPr>
              <w:pStyle w:val="Compact"/>
              <w:keepNext w:val="0"/>
              <w:spacing w:after="80"/>
              <w:jc w:val="left"/>
            </w:pPr>
            <w:r>
              <w:rPr>
                <w:sz w:val="24"/>
              </w:rPr>
              <w:t xml:space="preserve">25.99</w:t>
            </w:r>
            <w:r>
              <w:rPr>
                <w:sz w:val="24"/>
              </w:rPr>
              <w:t xml:space="preserve">% throughput increase accompanies 2.4545x latency. Missing: Latency quantile; final version equivalence</w:t>
            </w:r>
          </w:p>
        </w:tc>
      </w:tr>
      <w:tr>
        <w:tc>
          <w:tcPr/>
          <w:p>
            <w:pPr>
              <w:pStyle w:val="Compact"/>
              <w:keepNext w:val="0"/>
              <w:spacing w:after="80"/>
              <w:jc w:val="left"/>
            </w:pPr>
            <w:r>
              <w:rPr>
                <w:sz w:val="24"/>
              </w:rPr>
              <w:t xml:space="preserve">CMP02 P001 E001; P011 E036. Unmatched cross-study</w:t>
            </w:r>
          </w:p>
        </w:tc>
        <w:tc>
          <w:tcPr/>
          <w:p>
            <w:pPr>
              <w:pStyle w:val="Compact"/>
              <w:keepNext w:val="0"/>
              <w:spacing w:after="80"/>
              <w:jc w:val="left"/>
            </w:pPr>
            <w:r>
              <w:rPr>
                <w:sz w:val="24"/>
              </w:rPr>
              <w:t xml:space="preserve">2.7</w:t>
            </w:r>
            <w:r>
              <w:rPr>
                <w:sz w:val="24"/>
              </w:rPr>
              <w:t xml:space="preserve">x versus 25.99% increase</w:t>
            </w:r>
          </w:p>
        </w:tc>
        <w:tc>
          <w:tcPr/>
          <w:p>
            <w:pPr>
              <w:pStyle w:val="Compact"/>
              <w:keepNext w:val="0"/>
              <w:spacing w:after="80"/>
              <w:jc w:val="left"/>
            </w:pPr>
            <w:r>
              <w:rPr>
                <w:sz w:val="24"/>
              </w:rPr>
              <w:t xml:space="preserve">Different baseline and GPU/model context prevent ranking. Missing: Matched workload, batch and resource budget</w:t>
            </w:r>
          </w:p>
        </w:tc>
      </w:tr>
      <w:tr>
        <w:tc>
          <w:tcPr/>
          <w:p>
            <w:pPr>
              <w:pStyle w:val="Compact"/>
              <w:keepNext w:val="0"/>
              <w:spacing w:after="80"/>
              <w:jc w:val="left"/>
            </w:pPr>
            <w:r>
              <w:rPr>
                <w:sz w:val="24"/>
              </w:rPr>
              <w:t xml:space="preserve">CMP03 P007 E029 E030; P015 E044. Different objectives</w:t>
            </w:r>
          </w:p>
        </w:tc>
        <w:tc>
          <w:tcPr/>
          <w:p>
            <w:pPr>
              <w:pStyle w:val="Compact"/>
              <w:keepNext w:val="0"/>
              <w:spacing w:after="80"/>
              <w:jc w:val="left"/>
            </w:pPr>
            <w:r>
              <w:rPr>
                <w:sz w:val="24"/>
              </w:rPr>
              <w:t xml:space="preserve">Up to 7.3x aggregate work versus 1.07x foreground P99</w:t>
            </w:r>
          </w:p>
        </w:tc>
        <w:tc>
          <w:tcPr/>
          <w:p>
            <w:pPr>
              <w:pStyle w:val="Compact"/>
              <w:keepNext w:val="0"/>
              <w:spacing w:after="80"/>
              <w:jc w:val="left"/>
            </w:pPr>
            <w:r>
              <w:rPr>
                <w:sz w:val="24"/>
              </w:rPr>
              <w:t xml:space="preserve">Foreground delay and total completed work must be assessed together. Missing: Common model mix and background progress metric</w:t>
            </w:r>
          </w:p>
        </w:tc>
      </w:tr>
      <w:tr>
        <w:tc>
          <w:tcPr/>
          <w:p>
            <w:pPr>
              <w:pStyle w:val="Compact"/>
              <w:keepNext w:val="0"/>
              <w:spacing w:after="80"/>
              <w:jc w:val="left"/>
            </w:pPr>
            <w:r>
              <w:rPr>
                <w:sz w:val="24"/>
              </w:rPr>
              <w:t xml:space="preserve">CMP04 P008 E031 E032. Within-source metric tension</w:t>
            </w:r>
          </w:p>
        </w:tc>
        <w:tc>
          <w:tcPr/>
          <w:p>
            <w:pPr>
              <w:pStyle w:val="Compact"/>
              <w:keepNext w:val="0"/>
              <w:spacing w:after="80"/>
              <w:jc w:val="left"/>
            </w:pPr>
            <w:r>
              <w:rPr>
                <w:sz w:val="24"/>
              </w:rPr>
              <w:t xml:space="preserve">GUE 94.04 and negative signed latency improvement</w:t>
            </w:r>
          </w:p>
        </w:tc>
        <w:tc>
          <w:tcPr/>
          <w:p>
            <w:pPr>
              <w:pStyle w:val="Compact"/>
              <w:keepNext w:val="0"/>
              <w:spacing w:after="80"/>
              <w:jc w:val="left"/>
            </w:pPr>
            <w:r>
              <w:rPr>
                <w:sz w:val="24"/>
              </w:rPr>
              <w:t xml:space="preserve">Composite efficacy is not utilization percent; preserve adverse latency. Missing: Metric definitions and baseline stratum</w:t>
            </w:r>
          </w:p>
        </w:tc>
      </w:tr>
      <w:tr>
        <w:tc>
          <w:tcPr/>
          <w:p>
            <w:pPr>
              <w:pStyle w:val="Compact"/>
              <w:keepNext w:val="0"/>
              <w:spacing w:after="80"/>
              <w:jc w:val="left"/>
            </w:pPr>
            <w:r>
              <w:rPr>
                <w:sz w:val="24"/>
              </w:rPr>
              <w:t xml:space="preserve">CMP05 P012 E038 E039. Condition-dependent trade-off</w:t>
            </w:r>
          </w:p>
        </w:tc>
        <w:tc>
          <w:tcPr/>
          <w:p>
            <w:pPr>
              <w:pStyle w:val="Compact"/>
              <w:keepNext w:val="0"/>
              <w:spacing w:after="80"/>
              <w:jc w:val="left"/>
            </w:pPr>
            <w:r>
              <w:rPr>
                <w:sz w:val="24"/>
              </w:rPr>
              <w:t xml:space="preserve">Density benefit with model-transfer sensitivity</w:t>
            </w:r>
          </w:p>
        </w:tc>
        <w:tc>
          <w:tcPr/>
          <w:p>
            <w:pPr>
              <w:pStyle w:val="Compact"/>
              <w:keepNext w:val="0"/>
              <w:spacing w:after="80"/>
              <w:jc w:val="left"/>
            </w:pPr>
            <w:r>
              <w:rPr>
                <w:sz w:val="24"/>
              </w:rPr>
              <w:t xml:space="preserve">Late binding suits low-rate functions only if transfer fits SLO. Missing: Heavy-model transfer and host CPU budget</w:t>
            </w:r>
          </w:p>
        </w:tc>
      </w:tr>
      <w:tr>
        <w:tc>
          <w:tcPr/>
          <w:p>
            <w:pPr>
              <w:pStyle w:val="Compact"/>
              <w:keepNext w:val="0"/>
              <w:spacing w:after="80"/>
              <w:jc w:val="left"/>
            </w:pPr>
            <w:r>
              <w:rPr>
                <w:sz w:val="24"/>
              </w:rPr>
              <w:t xml:space="preserve">CMP06 P019 E048 E049; P022 E052. Different experiments, consistent cost</w:t>
            </w:r>
          </w:p>
        </w:tc>
        <w:tc>
          <w:tcPr/>
          <w:p>
            <w:pPr>
              <w:pStyle w:val="Compact"/>
              <w:keepNext w:val="0"/>
              <w:spacing w:after="80"/>
              <w:jc w:val="left"/>
            </w:pPr>
            <w:r>
              <w:rPr>
                <w:sz w:val="24"/>
              </w:rPr>
              <w:t xml:space="preserve">ArkGPU approximately 5%low-contention QPS regression; Tally total normalized throughput1.19 versusTGS1.65</w:t>
            </w:r>
          </w:p>
        </w:tc>
        <w:tc>
          <w:tcPr/>
          <w:p>
            <w:pPr>
              <w:pStyle w:val="Compact"/>
              <w:keepNext w:val="0"/>
              <w:spacing w:after="80"/>
              <w:jc w:val="left"/>
            </w:pPr>
            <w:r>
              <w:rPr>
                <w:sz w:val="24"/>
              </w:rPr>
              <w:t xml:space="preserve">Foreground protection can carry aggregate or co-tenant costs; Tally outcome is total system throughput.. Missing: Matched slowdown definitions</w:t>
            </w:r>
          </w:p>
        </w:tc>
      </w:tr>
      <w:tr>
        <w:tc>
          <w:tcPr/>
          <w:p>
            <w:pPr>
              <w:pStyle w:val="Compact"/>
              <w:keepNext w:val="0"/>
              <w:spacing w:after="80"/>
              <w:jc w:val="left"/>
            </w:pPr>
            <w:r>
              <w:rPr>
                <w:sz w:val="24"/>
              </w:rPr>
              <w:t xml:space="preserve">CMP07 P005 P023. Companion study, not replication</w:t>
            </w:r>
          </w:p>
        </w:tc>
        <w:tc>
          <w:tcPr/>
          <w:p>
            <w:pPr>
              <w:pStyle w:val="Compact"/>
              <w:keepNext w:val="0"/>
              <w:spacing w:after="80"/>
              <w:jc w:val="left"/>
            </w:pPr>
            <w:r>
              <w:rPr>
                <w:sz w:val="24"/>
              </w:rPr>
              <w:t xml:space="preserve">REEF engines and report versions differ</w:t>
            </w:r>
          </w:p>
        </w:tc>
        <w:tc>
          <w:tcPr/>
          <w:p>
            <w:pPr>
              <w:pStyle w:val="Compact"/>
              <w:keepNext w:val="0"/>
              <w:spacing w:after="80"/>
              <w:jc w:val="left"/>
            </w:pPr>
            <w:r>
              <w:rPr>
                <w:sz w:val="24"/>
              </w:rPr>
              <w:t xml:space="preserve">Retain source-version strata; do not double-count corroboration. Missing: No current combined numerical rows: E018-E026 explicitly assigned to conferenceP005; journal experiments remain separate.</w:t>
            </w:r>
          </w:p>
        </w:tc>
      </w:tr>
      <w:tr>
        <w:tc>
          <w:tcPr/>
          <w:p>
            <w:pPr>
              <w:pStyle w:val="Compact"/>
              <w:keepNext w:val="0"/>
              <w:spacing w:after="80"/>
              <w:jc w:val="left"/>
            </w:pPr>
            <w:r>
              <w:rPr>
                <w:sz w:val="24"/>
              </w:rPr>
              <w:t xml:space="preserve">CMP08 P018 E046 E047; P020 E050. Different metrics</w:t>
            </w:r>
          </w:p>
        </w:tc>
        <w:tc>
          <w:tcPr/>
          <w:p>
            <w:pPr>
              <w:pStyle w:val="Compact"/>
              <w:keepNext w:val="0"/>
              <w:spacing w:after="80"/>
              <w:jc w:val="left"/>
            </w:pPr>
            <w:r>
              <w:rPr>
                <w:sz w:val="24"/>
              </w:rPr>
              <w:t xml:space="preserve">Goodput/fairness versus makespan</w:t>
            </w:r>
          </w:p>
        </w:tc>
        <w:tc>
          <w:tcPr/>
          <w:p>
            <w:pPr>
              <w:pStyle w:val="Compact"/>
              <w:keepNext w:val="0"/>
              <w:spacing w:after="80"/>
              <w:jc w:val="left"/>
            </w:pPr>
            <w:r>
              <w:rPr>
                <w:sz w:val="24"/>
              </w:rPr>
              <w:t xml:space="preserve">Job-level efficiency cannot establish request-tail service. Missing: Request arrival process and latency distribution</w:t>
            </w:r>
          </w:p>
        </w:tc>
      </w:tr>
    </w:tbl>
    <w:p>
      <w:pPr>
        <w:pStyle w:val="BodyText"/>
      </w:pPr>
      <w:r>
        <w:t xml:space="preserve">The evidence table in Appendix C retains all 52 supplied observations. The comparative matrix is deliberately smaller because its role is to explain a decision, not duplicate the extraction register. A claim can be traced from a recommendation to a report, then to an outcome ID and its page/figure anchor. Where a comparison remains unmatched, the matrix names the missing control rather than calculating a misleading combined effect.</w:t>
      </w:r>
    </w:p>
    <w:bookmarkEnd w:id="48"/>
    <w:bookmarkStart w:id="53" w:name="engineering-trade-off-analysis"/>
    <w:p>
      <w:pPr>
        <w:pStyle w:val="Heading1"/>
      </w:pPr>
      <w:r>
        <w:t xml:space="preserve">Engineering trade-off analysis</w:t>
      </w:r>
    </w:p>
    <w:bookmarkStart w:id="49" w:name="utilization-versus-latency"/>
    <w:p>
      <w:pPr>
        <w:pStyle w:val="Heading2"/>
      </w:pPr>
      <w:r>
        <w:t xml:space="preserve">Utilization versus latency</w:t>
      </w:r>
    </w:p>
    <w:p>
      <w:pPr>
        <w:pStyle w:val="FirstParagraph"/>
      </w:pPr>
      <w:r>
        <w:t xml:space="preserve">Additional concurrency is beneficial only while useful service increases under the required latency objective. The ParvaGPU example changes throughput by</w:t>
      </w:r>
    </w:p>
    <w:p>
      <w:pPr>
        <w:pStyle w:val="BodyText"/>
      </w:pPr>
      <m:oMathPara>
        <m:oMathParaPr>
          <m:jc m:val="center"/>
        </m:oMathParaPr>
        <m:oMath>
          <m:d>
            <m:dPr>
              <m:begChr m:val="("/>
              <m:endChr m:val=")"/>
              <m:sepChr m:val=""/>
              <m:grow/>
            </m:dPr>
            <m:e>
              <m:r>
                <m:t>446</m:t>
              </m:r>
              <m:r>
                <m:rPr>
                  <m:sty m:val="p"/>
                </m:rPr>
                <m:t>/</m:t>
              </m:r>
              <m:r>
                <m:t>354</m:t>
              </m:r>
              <m:r>
                <m:rPr>
                  <m:sty m:val="p"/>
                </m:rPr>
                <m:t>−</m:t>
              </m:r>
              <m:r>
                <m:t>1</m:t>
              </m:r>
            </m:e>
          </m:d>
          <m:r>
            <m:rPr>
              <m:sty m:val="p"/>
            </m:rPr>
            <m:t>×</m:t>
          </m:r>
          <m:r>
            <m:t>100</m:t>
          </m:r>
          <m:r>
            <m:rPr>
              <m:sty m:val="p"/>
            </m:rPr>
            <m:t>=</m:t>
          </m:r>
          <m:r>
            <m:t>25.99</m:t>
          </m:r>
          <m:r>
            <m:rPr>
              <m:sty m:val="p"/>
            </m:rPr>
            <m:t>%</m:t>
          </m:r>
          <m:r>
            <m:rPr>
              <m:sty m:val="p"/>
            </m:rPr>
            <m:t>,</m:t>
          </m:r>
        </m:oMath>
      </m:oMathPara>
    </w:p>
    <w:p>
      <w:pPr>
        <w:pStyle w:val="FirstParagraph"/>
      </w:pPr>
      <w:r>
        <w:t xml:space="preserve">while latency changes by</w:t>
      </w:r>
    </w:p>
    <w:p>
      <w:pPr>
        <w:pStyle w:val="BodyText"/>
      </w:pPr>
      <m:oMathPara>
        <m:oMathParaPr>
          <m:jc m:val="center"/>
        </m:oMathParaPr>
        <m:oMath>
          <m:r>
            <m:t>27</m:t>
          </m:r>
          <m:r>
            <m:rPr>
              <m:sty m:val="p"/>
            </m:rPr>
            <m:t>/</m:t>
          </m:r>
          <m:r>
            <m:t>11</m:t>
          </m:r>
          <m:r>
            <m:rPr>
              <m:sty m:val="p"/>
            </m:rPr>
            <m:t>=</m:t>
          </m:r>
          <m:r>
            <m:t>2.4545</m:t>
          </m:r>
          <m:r>
            <m:rPr>
              <m:sty m:val="p"/>
            </m:rPr>
            <m:t>.</m:t>
          </m:r>
        </m:oMath>
      </m:oMathPara>
    </w:p>
    <w:p>
      <w:pPr>
        <w:pStyle w:val="FirstParagraph"/>
      </w:pPr>
      <w:r>
        <w:t xml:space="preserve">These are calculations from recorded inputs, not newly measured outcomes. A service with a tight delay budget might reject this configuration despite its higher throughput. Another service might accept it if the increased latency remains within its own budget. Because the source quantile is unspecified, neither interpretation establishes P99 compliance [1].</w:t>
      </w:r>
    </w:p>
    <w:bookmarkEnd w:id="49"/>
    <w:bookmarkStart w:id="50" w:name="X59d7b593366a4a1dc9a55f538e7ff995fc8eb50"/>
    <w:p>
      <w:pPr>
        <w:pStyle w:val="Heading2"/>
      </w:pPr>
      <w:r>
        <w:t xml:space="preserve">Foreground protection versus background progress</w:t>
      </w:r>
    </w:p>
    <w:p>
      <w:pPr>
        <w:pStyle w:val="FirstParagraph"/>
      </w:pPr>
      <w:r>
        <w:t xml:space="preserve">Priority is an allocation choice. Tally’s supplied contrast records normalized total system throughput of 1.19 versus 1.65 for TGS at the 10% idle-time setting. This does not make foreground protection ineffective; it identifies the work sacrificed. Similarly, an aggregate-throughput gain must not hide deterioration in the protected request class. The engineering evaluation should report foreground latency and background progress together [26].</w:t>
      </w:r>
    </w:p>
    <w:bookmarkEnd w:id="50"/>
    <w:bookmarkStart w:id="51" w:name="Xf2d5879848a307db18e7c78cf460395ae891ae5"/>
    <w:p>
      <w:pPr>
        <w:pStyle w:val="Heading2"/>
      </w:pPr>
      <w:r>
        <w:t xml:space="preserve">Memory density versus transfer and trust costs</w:t>
      </w:r>
    </w:p>
    <w:p>
      <w:pPr>
        <w:pStyle w:val="FirstParagraph"/>
      </w:pPr>
      <w:r>
        <w:t xml:space="preserve">Shared runtimes and late binding can allow more functions or models to use limited GPU memory. StreamBox’s workflow-oriented sharing and Torpor’s binding decisions address this problem from different directions. Their density gains cannot be separated from concurrency, model-loading and trust assumptions. When large models are invoked frequently, transfer demand can undermine the benefit of keeping fewer models resident. When functions require stronger separation, a shared runtime may not provide the required boundary. Torpor explicitly distinguishes runtime-sharing evaluation from runtime-isolation deployment, and describes restart/migration recovery; these design claims are not direct fault-injection results [22, 23].</w:t>
      </w:r>
    </w:p>
    <w:bookmarkEnd w:id="51"/>
    <w:bookmarkStart w:id="52" w:name="partition-control-versus-flexibility"/>
    <w:p>
      <w:pPr>
        <w:pStyle w:val="Heading2"/>
      </w:pPr>
      <w:r>
        <w:t xml:space="preserve">Partition control versus flexibility</w:t>
      </w:r>
    </w:p>
    <w:p>
      <w:pPr>
        <w:pStyle w:val="FirstParagraph"/>
      </w:pPr>
      <w:r>
        <w:t xml:space="preserve">Hardware profiles constrain placement and memory fit. Software policies can improve use of a chosen profile, but fine-grained application demand need not align with fixed partitions. Dyna-P’s recorded sensitivity to prediction perturbation concerns makespan, while online serving additionally needs evidence about individual request delays. The review therefore treats placement efficiency as relevant but insufficient evidence for latency-sensitive request serving [19].</w:t>
      </w:r>
    </w:p>
    <w:bookmarkEnd w:id="52"/>
    <w:bookmarkEnd w:id="53"/>
    <w:bookmarkStart w:id="57" w:name="discussion-and-conflicting-evidence"/>
    <w:p>
      <w:pPr>
        <w:pStyle w:val="Heading1"/>
      </w:pPr>
      <w:r>
        <w:t xml:space="preserve">Discussion and conflicting evidence</w:t>
      </w:r>
    </w:p>
    <w:bookmarkStart w:id="54" w:name="Xa7c0d88cf791e97765b7d3ebd152b637eb47f3b"/>
    <w:p>
      <w:pPr>
        <w:pStyle w:val="Heading2"/>
      </w:pPr>
      <w:r>
        <w:t xml:space="preserve">Apparent conflicts versus controlled disagreements</w:t>
      </w:r>
    </w:p>
    <w:p>
      <w:pPr>
        <w:pStyle w:val="FirstParagraph"/>
      </w:pPr>
      <w:r>
        <w:t xml:space="preserve">A valid conflicting-evidence analysis first asks whether two studies measure the same quantity under comparable conditions. VastPipe’s 2.7x throughput contrast and the calculated 25.99% ParvaGPU increase have different baselines and workloads. Their unequal magnitudes do not show disagreement. Likewise, Orion’s aggregate throughput, SIRIUS’s average P99 improvement and XSched’s normalized foreground P99 do not compete on a common scale [15, 13, 21, 1, 2].</w:t>
      </w:r>
    </w:p>
    <w:p>
      <w:pPr>
        <w:pStyle w:val="BodyText"/>
      </w:pPr>
      <w:r>
        <w:t xml:space="preserve">More useful tensions occur inside an experiment: improved throughput accompanied by higher latency, or protection of foreground work accompanied by lower background progress. The negative GSLICE latency contrast and ArkGPU’s low-contention regression show conditions in which a favorable overall mechanism narrative is incomplete. These observations constrain applicability rather than being dismissed as exceptions [18, 25].</w:t>
      </w:r>
    </w:p>
    <w:bookmarkEnd w:id="54"/>
    <w:bookmarkStart w:id="55" w:name="version-and-engine-effects"/>
    <w:p>
      <w:pPr>
        <w:pStyle w:val="Heading2"/>
      </w:pPr>
      <w:r>
        <w:t xml:space="preserve">Version and engine effects</w:t>
      </w:r>
    </w:p>
    <w:p>
      <w:pPr>
        <w:pStyle w:val="FirstParagraph"/>
      </w:pPr>
      <w:r>
        <w:t xml:space="preserve">The REEF journal extension adds implementation and evaluation beyond the conference report. The supplied extraction already distinguishes PyTorch and TensorRT conditions in its discussion. Combining all favorable points into one synthetic result would obscure both the engine difference and the report-version difference. All nine retained REEF rows E018–E026 are now explicitly assigned to the conference P005 and its AMD evaluation stratum. P023 supplies companion context; its expanded NVIDIA and LLM experiments are separate and are not transplanted into those rows [9, 10].</w:t>
      </w:r>
    </w:p>
    <w:bookmarkEnd w:id="55"/>
    <w:bookmarkStart w:id="56" w:name="strength-of-the-engineering-argument"/>
    <w:p>
      <w:pPr>
        <w:pStyle w:val="Heading2"/>
      </w:pPr>
      <w:r>
        <w:t xml:space="preserve">Strength of the engineering argument</w:t>
      </w:r>
    </w:p>
    <w:p>
      <w:pPr>
        <w:pStyle w:val="FirstParagraph"/>
      </w:pPr>
      <w:r>
        <w:t xml:space="preserve">The repeated pattern is that resource sharing works through a mechanism-specific constraint: interruption cost, quota fit, memory residency, partition placement or compatibility. This pattern supports conditional design reasoning. It does not establish identical effect sizes or a common security guarantee across systems. The draft’s recommendations remain narrower than a claim of deployment readiness.</w:t>
      </w:r>
    </w:p>
    <w:bookmarkEnd w:id="56"/>
    <w:bookmarkEnd w:id="57"/>
    <w:bookmarkStart w:id="64" w:name="X64e5a3d1ef7a0e036b467251d2063d475bac81e"/>
    <w:p>
      <w:pPr>
        <w:pStyle w:val="Heading1"/>
      </w:pPr>
      <w:r>
        <w:t xml:space="preserve">Evidence-based engineering recommendations</w:t>
      </w:r>
    </w:p>
    <w:bookmarkStart w:id="58" w:name="X381b8123f60c7a37589087fa651eb6ed1874e0c"/>
    <w:p>
      <w:pPr>
        <w:pStyle w:val="Heading3"/>
      </w:pPr>
      <w:r>
        <w:t xml:space="preserve">REC01: Trusted resident models; utilization priority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Tuned MPS / software spatial controls</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P001 P002 P003 P008 E001-E004 E006 E031-E032</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Higher useful co-location under tested allocations</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Interference, quota tuning and memory pressure</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Partitions or dedication when trust/isolation dominates</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Measure each model P99 and SLO goodput under bursts</w:t>
            </w:r>
          </w:p>
        </w:tc>
      </w:tr>
    </w:tbl>
    <w:bookmarkEnd w:id="58"/>
    <w:bookmarkStart w:id="59" w:name="rec02-foreground-tail-latency-priority"/>
    <w:p>
      <w:pPr>
        <w:pStyle w:val="Heading3"/>
      </w:pPr>
      <w:r>
        <w:t xml:space="preserve">REC02: Foreground tail-latency priority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Priority/preemptive scheduling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P005 P006 P007 P015 P022 E018-E030 E044-E045 E052</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Lower foreground interference</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Background slowdown, profiling and runtime integration</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Dedicated GPU when supported control cannot meet deadline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Check foreground tails and background progress jointly</w:t>
            </w:r>
          </w:p>
        </w:tc>
      </w:tr>
    </w:tbl>
    <w:bookmarkEnd w:id="59"/>
    <w:bookmarkStart w:id="60" w:name="rec03-low-rate-serverless-functions"/>
    <w:p>
      <w:pPr>
        <w:pStyle w:val="Heading3"/>
      </w:pPr>
      <w:r>
        <w:t xml:space="preserve">REC03: Low-rate serverless functions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Late binding / controlled runtime sharing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P012 P013 E038-E041</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Higher function or workflow density</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Host CPU, memory transfer and shared-runtime trust</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Keep large or high-rate models resident if swaps dominate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Sweep model sizes, cold starts, offered rate and concurrency</w:t>
            </w:r>
          </w:p>
        </w:tc>
      </w:tr>
    </w:tbl>
    <w:bookmarkEnd w:id="60"/>
    <w:bookmarkStart w:id="61" w:name="X95c14fccf1d0062e3ab0638ac0279246a18d937"/>
    <w:p>
      <w:pPr>
        <w:pStyle w:val="Heading3"/>
      </w:pPr>
      <w:r>
        <w:t xml:space="preserve">REC04: Mixed inference with opportunistic training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Memory handover / controlled co-location</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P010 P019 E035 E048-E049</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Protect inference while using residual capacity</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Memory/reclamation costs and possible co-tenant regression; ArkGPU approximately 5%QPS loss under low contention.</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Separate resources for intolerable interference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Measure inference tails separately from training throughput</w:t>
            </w:r>
          </w:p>
        </w:tc>
      </w:tr>
    </w:tbl>
    <w:bookmarkEnd w:id="61"/>
    <w:bookmarkStart w:id="62" w:name="X262db86fd7370f44fdb1d45ac71d2c63013eb4f"/>
    <w:p>
      <w:pPr>
        <w:pStyle w:val="Heading3"/>
      </w:pPr>
      <w:r>
        <w:t xml:space="preserve">REC05: Supported partition hardware; stable memory fit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MIG-aware hybrid policy</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P011 P014 P020 E036-E037 E042-E043 E050</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Resource allocation with configurable co-location</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Fragmentation and reconfiguration overhead</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Software sharing when partition granularity wastes capacity</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Validate profile fit and online request tails; Dyna-P8.09%makespan penalty at15%prediction perturbation is local, not Section4.3.2simulation.</w:t>
            </w:r>
          </w:p>
        </w:tc>
      </w:tr>
    </w:tbl>
    <w:bookmarkEnd w:id="62"/>
    <w:bookmarkStart w:id="63" w:name="X8e81f26650cd6f8b467b8605c755943155bf9f9"/>
    <w:p>
      <w:pPr>
        <w:pStyle w:val="Heading3"/>
      </w:pPr>
      <w:r>
        <w:t xml:space="preserve">REC06: Several models with unequal service pressure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Fairness-aware admission / scheduling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P018 E046-E047</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In Table3ratio3:1:2,total600requests/s: goodput524.29 versusClockwork457.24; unfairness1.05 versus1.50.</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May give up aggregate throughput to improve fairness</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Priority scheduling when one foreground SLA dominates</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Validate intended SLO/arrival mix; source uses100msSLO,50msperiod and max/min slowdown unfairness. No universal throughput advantage is inferred.</w:t>
            </w:r>
          </w:p>
        </w:tc>
      </w:tr>
    </w:tbl>
    <w:p>
      <w:pPr>
        <w:pStyle w:val="BodyText"/>
      </w:pPr>
      <w:r>
        <w:t xml:space="preserve">The recommended deployment assessment begins with the actual service objective: per-model deadline or percentile target, admissible violation rate and minimum background progress. These values must come from the intended deployment rather than being invented from a paper. The next step is a local comparison using the same model versions, input sizes, batching and offered load. Cold starts and bursts should be retained if they occur in the application.</w:t>
      </w:r>
    </w:p>
    <w:p>
      <w:pPr>
        <w:pStyle w:val="BodyText"/>
      </w:pPr>
      <w:r>
        <w:t xml:space="preserve">A candidate is suitable only if it meets the required service objective at an acceptable cost. The acceptance evidence should include per-tenant latency, SLO-compliant goodput, memory pressure, resource utilization with a defined instrument, host overhead and the relevant isolation tests. The review supplies a shortlist and the reasons to test it; it does not supply a universal numerical threshold or imply that a benchmark result transfers unchanged.</w:t>
      </w:r>
    </w:p>
    <w:bookmarkEnd w:id="63"/>
    <w:bookmarkEnd w:id="64"/>
    <w:bookmarkStart w:id="65" w:name="research-gaps-and-future-directions"/>
    <w:p>
      <w:pPr>
        <w:pStyle w:val="Heading1"/>
      </w:pPr>
      <w:r>
        <w:t xml:space="preserve">Research gaps and future directions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Corpus gap</w:t>
            </w:r>
          </w:p>
        </w:tc>
        <w:tc>
          <w:tcPr>
            <w:shd w:fill="E8EDF2"/>
          </w:tcPr>
          <w:p>
            <w:pPr>
              <w:pStyle w:val="Compact"/>
              <w:keepNext w:val="0"/>
              <w:spacing w:after="80"/>
              <w:jc w:val="left"/>
            </w:pPr>
            <w:r>
              <w:rPr>
                <w:bCs/>
                <w:b/>
                <w:sz w:val="24"/>
              </w:rPr>
              <w:t xml:space="preserve">Basis</w:t>
            </w:r>
          </w:p>
        </w:tc>
        <w:tc>
          <w:tcPr>
            <w:shd w:fill="E8EDF2"/>
          </w:tcPr>
          <w:p>
            <w:pPr>
              <w:pStyle w:val="Compact"/>
              <w:keepNext w:val="0"/>
              <w:spacing w:after="80"/>
              <w:jc w:val="left"/>
            </w:pPr>
            <w:r>
              <w:rPr>
                <w:bCs/>
                <w:b/>
                <w:sz w:val="24"/>
              </w:rPr>
              <w:t xml:space="preserve">Next experiment</w:t>
            </w:r>
          </w:p>
        </w:tc>
      </w:tr>
      <w:tr>
        <w:tc>
          <w:tcPr/>
          <w:p>
            <w:pPr>
              <w:pStyle w:val="Compact"/>
              <w:keepNext w:val="0"/>
              <w:spacing w:after="80"/>
              <w:jc w:val="left"/>
            </w:pPr>
            <w:r>
              <w:rPr>
                <w:sz w:val="24"/>
              </w:rPr>
              <w:t xml:space="preserve">No matched all-family comparison</w:t>
            </w:r>
          </w:p>
        </w:tc>
        <w:tc>
          <w:tcPr/>
          <w:p>
            <w:pPr>
              <w:pStyle w:val="Compact"/>
              <w:keepNext w:val="0"/>
              <w:spacing w:after="80"/>
              <w:jc w:val="left"/>
            </w:pPr>
            <w:r>
              <w:rPr>
                <w:sz w:val="24"/>
              </w:rPr>
              <w:t xml:space="preserve">Comparability CMP01-CMP08</w:t>
            </w:r>
          </w:p>
        </w:tc>
        <w:tc>
          <w:tcPr/>
          <w:p>
            <w:pPr>
              <w:pStyle w:val="Compact"/>
              <w:keepNext w:val="0"/>
              <w:spacing w:after="80"/>
              <w:jc w:val="left"/>
            </w:pPr>
            <w:r>
              <w:rPr>
                <w:sz w:val="24"/>
              </w:rPr>
              <w:t xml:space="preserve">Same GPU, model mix, memory budget, arrivals and SLO across families</w:t>
            </w:r>
          </w:p>
        </w:tc>
      </w:tr>
      <w:tr>
        <w:tc>
          <w:tcPr/>
          <w:p>
            <w:pPr>
              <w:pStyle w:val="Compact"/>
              <w:keepNext w:val="0"/>
              <w:spacing w:after="80"/>
              <w:jc w:val="left"/>
            </w:pPr>
            <w:r>
              <w:rPr>
                <w:sz w:val="24"/>
              </w:rPr>
              <w:t xml:space="preserve">Security/fault boundaries often unestablished</w:t>
            </w:r>
          </w:p>
        </w:tc>
        <w:tc>
          <w:tcPr/>
          <w:p>
            <w:pPr>
              <w:pStyle w:val="Compact"/>
              <w:keepNext w:val="0"/>
              <w:spacing w:after="80"/>
              <w:jc w:val="left"/>
            </w:pPr>
            <w:r>
              <w:rPr>
                <w:sz w:val="24"/>
              </w:rPr>
              <w:t xml:space="preserve">Extraction Security boundary / Fault boundary</w:t>
            </w:r>
          </w:p>
        </w:tc>
        <w:tc>
          <w:tcPr/>
          <w:p>
            <w:pPr>
              <w:pStyle w:val="Compact"/>
              <w:keepNext w:val="0"/>
              <w:spacing w:after="80"/>
              <w:jc w:val="left"/>
            </w:pPr>
            <w:r>
              <w:rPr>
                <w:sz w:val="24"/>
              </w:rPr>
              <w:t xml:space="preserve">Separate adversarial access, fault injection and performance tests</w:t>
            </w:r>
          </w:p>
        </w:tc>
      </w:tr>
      <w:tr>
        <w:tc>
          <w:tcPr/>
          <w:p>
            <w:pPr>
              <w:pStyle w:val="Compact"/>
              <w:keepNext w:val="0"/>
              <w:spacing w:after="80"/>
              <w:jc w:val="left"/>
            </w:pPr>
            <w:r>
              <w:rPr>
                <w:sz w:val="24"/>
              </w:rPr>
              <w:t xml:space="preserve">Metrics emphasize different units</w:t>
            </w:r>
          </w:p>
        </w:tc>
        <w:tc>
          <w:tcPr/>
          <w:p>
            <w:pPr>
              <w:pStyle w:val="Compact"/>
              <w:keepNext w:val="0"/>
              <w:spacing w:after="80"/>
              <w:jc w:val="left"/>
            </w:pPr>
            <w:r>
              <w:rPr>
                <w:sz w:val="24"/>
              </w:rPr>
              <w:t xml:space="preserve">E001-E052</w:t>
            </w:r>
          </w:p>
        </w:tc>
        <w:tc>
          <w:tcPr/>
          <w:p>
            <w:pPr>
              <w:pStyle w:val="Compact"/>
              <w:keepNext w:val="0"/>
              <w:spacing w:after="80"/>
              <w:jc w:val="left"/>
            </w:pPr>
            <w:r>
              <w:rPr>
                <w:sz w:val="24"/>
              </w:rPr>
              <w:t xml:space="preserve">Report per-model goodput, tails and background progress jointly</w:t>
            </w:r>
          </w:p>
        </w:tc>
      </w:tr>
      <w:tr>
        <w:tc>
          <w:tcPr/>
          <w:p>
            <w:pPr>
              <w:pStyle w:val="Compact"/>
              <w:keepNext w:val="0"/>
              <w:spacing w:after="80"/>
              <w:jc w:val="left"/>
            </w:pPr>
            <w:r>
              <w:rPr>
                <w:sz w:val="24"/>
              </w:rPr>
              <w:t xml:space="preserve">Partition prediction affects makespan</w:t>
            </w:r>
          </w:p>
        </w:tc>
        <w:tc>
          <w:tcPr/>
          <w:p>
            <w:pPr>
              <w:pStyle w:val="Compact"/>
              <w:keepNext w:val="0"/>
              <w:spacing w:after="80"/>
              <w:jc w:val="left"/>
            </w:pPr>
            <w:r>
              <w:rPr>
                <w:sz w:val="24"/>
              </w:rPr>
              <w:t xml:space="preserve">P020 E050</w:t>
            </w:r>
          </w:p>
        </w:tc>
        <w:tc>
          <w:tcPr/>
          <w:p>
            <w:pPr>
              <w:pStyle w:val="Compact"/>
              <w:keepNext w:val="0"/>
              <w:spacing w:after="80"/>
              <w:jc w:val="left"/>
            </w:pPr>
            <w:r>
              <w:rPr>
                <w:sz w:val="24"/>
              </w:rPr>
              <w:t xml:space="preserve">Bursty arrivals plus placement changes and request-tail measurement</w:t>
            </w:r>
          </w:p>
        </w:tc>
      </w:tr>
      <w:tr>
        <w:tc>
          <w:tcPr/>
          <w:p>
            <w:pPr>
              <w:pStyle w:val="Compact"/>
              <w:keepNext w:val="0"/>
              <w:spacing w:after="80"/>
              <w:jc w:val="left"/>
            </w:pPr>
            <w:r>
              <w:rPr>
                <w:sz w:val="24"/>
              </w:rPr>
              <w:t xml:space="preserve">Version and method details remain incomplete</w:t>
            </w:r>
          </w:p>
        </w:tc>
        <w:tc>
          <w:tcPr/>
          <w:p>
            <w:pPr>
              <w:pStyle w:val="Compact"/>
              <w:keepNext w:val="0"/>
              <w:spacing w:after="80"/>
              <w:jc w:val="left"/>
            </w:pPr>
            <w:r>
              <w:rPr>
                <w:sz w:val="24"/>
              </w:rPr>
              <w:t xml:space="preserve">ParvaGPU final-text equivalence; source Q3/Q4/Q10 reporting limits. iGniter final checked; Tallyv3 pinned.</w:t>
            </w:r>
          </w:p>
        </w:tc>
        <w:tc>
          <w:tcPr/>
          <w:p>
            <w:pPr>
              <w:pStyle w:val="Compact"/>
              <w:keepNext w:val="0"/>
              <w:spacing w:after="80"/>
              <w:jc w:val="left"/>
            </w:pPr>
            <w:r>
              <w:rPr>
                <w:sz w:val="24"/>
              </w:rPr>
              <w:t xml:space="preserve">Publish exact version, driver/runtime, warmup, repetitions and uncertainty</w:t>
            </w:r>
          </w:p>
        </w:tc>
      </w:tr>
      <w:tr>
        <w:tc>
          <w:tcPr/>
          <w:p>
            <w:pPr>
              <w:pStyle w:val="Compact"/>
              <w:keepNext w:val="0"/>
              <w:spacing w:after="80"/>
              <w:jc w:val="left"/>
            </w:pPr>
            <w:r>
              <w:rPr>
                <w:sz w:val="24"/>
              </w:rPr>
              <w:t xml:space="preserve">Energy and cost evidence not harmonized</w:t>
            </w:r>
          </w:p>
        </w:tc>
        <w:tc>
          <w:tcPr/>
          <w:p>
            <w:pPr>
              <w:pStyle w:val="Compact"/>
              <w:keepNext w:val="0"/>
              <w:spacing w:after="80"/>
              <w:jc w:val="left"/>
            </w:pPr>
            <w:r>
              <w:rPr>
                <w:sz w:val="24"/>
              </w:rPr>
              <w:t xml:space="preserve">Extraction schema and heterogeneous outcomes</w:t>
            </w:r>
          </w:p>
        </w:tc>
        <w:tc>
          <w:tcPr/>
          <w:p>
            <w:pPr>
              <w:pStyle w:val="Compact"/>
              <w:keepNext w:val="0"/>
              <w:spacing w:after="80"/>
              <w:jc w:val="left"/>
            </w:pPr>
            <w:r>
              <w:rPr>
                <w:sz w:val="24"/>
              </w:rPr>
              <w:t xml:space="preserve">Measure GPU and host energy per SLO-compliant request</w:t>
            </w:r>
          </w:p>
        </w:tc>
      </w:tr>
    </w:tbl>
    <w:p>
      <w:pPr>
        <w:pStyle w:val="BodyText"/>
      </w:pPr>
      <w:r>
        <w:t xml:space="preserve">These gaps are observations about this corpus and its reporting, not assertions that no relevant research exists anywhere. The 559-record unassessed branch makes that distinction essential. A stronger future comparison would align hardware, workload, baselines and outcome definitions across mechanism families, then report both benefits and sacrifices. Energy per useful request and failure/security behavior require separate measurements rather than extrapolation from utilization.</w:t>
      </w:r>
    </w:p>
    <w:bookmarkEnd w:id="65"/>
    <w:bookmarkStart w:id="66" w:name="threats-to-validity-and-limitations"/>
    <w:p>
      <w:pPr>
        <w:pStyle w:val="Heading1"/>
      </w:pPr>
      <w:r>
        <w:t xml:space="preserve">Threats to validity and limitations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Threat / consequence</w:t>
            </w:r>
          </w:p>
        </w:tc>
        <w:tc>
          <w:tcPr>
            <w:shd w:fill="E8EDF2"/>
          </w:tcPr>
          <w:p>
            <w:pPr>
              <w:pStyle w:val="Compact"/>
              <w:keepNext w:val="0"/>
              <w:spacing w:after="80"/>
              <w:jc w:val="left"/>
            </w:pPr>
            <w:r>
              <w:rPr>
                <w:bCs/>
                <w:b/>
                <w:sz w:val="24"/>
              </w:rPr>
              <w:t xml:space="preserve">Mitigation</w:t>
            </w:r>
          </w:p>
        </w:tc>
        <w:tc>
          <w:tcPr>
            <w:shd w:fill="E8EDF2"/>
          </w:tcPr>
          <w:p>
            <w:pPr>
              <w:pStyle w:val="Compact"/>
              <w:keepNext w:val="0"/>
              <w:spacing w:after="80"/>
              <w:jc w:val="left"/>
            </w:pPr>
            <w:r>
              <w:rPr>
                <w:bCs/>
                <w:b/>
                <w:sz w:val="24"/>
              </w:rPr>
              <w:t xml:space="preserve">Remaining work</w:t>
            </w:r>
          </w:p>
        </w:tc>
      </w:tr>
      <w:tr>
        <w:tc>
          <w:tcPr/>
          <w:p>
            <w:pPr>
              <w:pStyle w:val="Compact"/>
              <w:keepNext w:val="0"/>
              <w:spacing w:after="80"/>
              <w:jc w:val="left"/>
            </w:pPr>
            <w:r>
              <w:rPr>
                <w:sz w:val="24"/>
              </w:rPr>
              <w:t xml:space="preserve">Selection/stopping: No exhaustive recall or prevalence claim</w:t>
            </w:r>
          </w:p>
        </w:tc>
        <w:tc>
          <w:tcPr/>
          <w:p>
            <w:pPr>
              <w:pStyle w:val="Compact"/>
              <w:keepNext w:val="0"/>
              <w:spacing w:after="80"/>
              <w:jc w:val="left"/>
            </w:pPr>
            <w:r>
              <w:rPr>
                <w:sz w:val="24"/>
              </w:rPr>
              <w:t xml:space="preserve">Stopping branch remains visible</w:t>
            </w:r>
          </w:p>
        </w:tc>
        <w:tc>
          <w:tcPr/>
          <w:p>
            <w:pPr>
              <w:pStyle w:val="Compact"/>
              <w:keepNext w:val="0"/>
              <w:spacing w:after="80"/>
              <w:jc w:val="left"/>
            </w:pPr>
            <w:r>
              <w:rPr>
                <w:sz w:val="24"/>
              </w:rPr>
              <w:t xml:space="preserve">Instructor/team decision on bounded scope; extend if required</w:t>
            </w:r>
          </w:p>
        </w:tc>
      </w:tr>
      <w:tr>
        <w:tc>
          <w:tcPr/>
          <w:p>
            <w:pPr>
              <w:pStyle w:val="Compact"/>
              <w:keepNext w:val="0"/>
              <w:spacing w:after="80"/>
              <w:jc w:val="left"/>
            </w:pPr>
            <w:r>
              <w:rPr>
                <w:sz w:val="24"/>
              </w:rPr>
              <w:t xml:space="preserve">Title-only decisions: Relevant work may be missed</w:t>
            </w:r>
          </w:p>
        </w:tc>
        <w:tc>
          <w:tcPr/>
          <w:p>
            <w:pPr>
              <w:pStyle w:val="Compact"/>
              <w:keepNext w:val="0"/>
              <w:spacing w:after="80"/>
              <w:jc w:val="left"/>
            </w:pPr>
            <w:r>
              <w:rPr>
                <w:sz w:val="24"/>
              </w:rPr>
              <w:t xml:space="preserve">Abstract-availability column retained</w:t>
            </w:r>
          </w:p>
        </w:tc>
        <w:tc>
          <w:tcPr/>
          <w:p>
            <w:pPr>
              <w:pStyle w:val="Compact"/>
              <w:keepNext w:val="0"/>
              <w:spacing w:after="80"/>
              <w:jc w:val="left"/>
            </w:pPr>
            <w:r>
              <w:rPr>
                <w:sz w:val="24"/>
              </w:rPr>
              <w:t xml:space="preserve">Prioritize uncertain/relevant records for abstract checks</w:t>
            </w:r>
          </w:p>
        </w:tc>
      </w:tr>
      <w:tr>
        <w:tc>
          <w:tcPr/>
          <w:p>
            <w:pPr>
              <w:pStyle w:val="Compact"/>
              <w:keepNext w:val="0"/>
              <w:spacing w:after="80"/>
              <w:jc w:val="left"/>
            </w:pPr>
            <w:r>
              <w:rPr>
                <w:sz w:val="24"/>
              </w:rPr>
              <w:t xml:space="preserve">Single review: Correlated screening/QA/extraction errors possible</w:t>
            </w:r>
          </w:p>
        </w:tc>
        <w:tc>
          <w:tcPr/>
          <w:p>
            <w:pPr>
              <w:pStyle w:val="Compact"/>
              <w:keepNext w:val="0"/>
              <w:spacing w:after="80"/>
              <w:jc w:val="left"/>
            </w:pPr>
            <w:r>
              <w:rPr>
                <w:sz w:val="24"/>
              </w:rPr>
              <w:t xml:space="preserve">Original rationale and source anchors retained</w:t>
            </w:r>
          </w:p>
        </w:tc>
        <w:tc>
          <w:tcPr/>
          <w:p>
            <w:pPr>
              <w:pStyle w:val="Compact"/>
              <w:keepNext w:val="0"/>
              <w:spacing w:after="80"/>
              <w:jc w:val="left"/>
            </w:pPr>
            <w:r>
              <w:rPr>
                <w:sz w:val="24"/>
              </w:rPr>
              <w:t xml:space="preserve">Record real named checks if performed</w:t>
            </w:r>
          </w:p>
        </w:tc>
      </w:tr>
      <w:tr>
        <w:tc>
          <w:tcPr/>
          <w:p>
            <w:pPr>
              <w:pStyle w:val="Compact"/>
              <w:keepNext w:val="0"/>
              <w:spacing w:after="80"/>
              <w:jc w:val="left"/>
            </w:pPr>
            <w:r>
              <w:rPr>
                <w:sz w:val="24"/>
              </w:rPr>
              <w:t xml:space="preserve">Search provenance: Search cannot be fully reconstructed from totals</w:t>
            </w:r>
          </w:p>
        </w:tc>
        <w:tc>
          <w:tcPr/>
          <w:p>
            <w:pPr>
              <w:pStyle w:val="Compact"/>
              <w:keepNext w:val="0"/>
              <w:spacing w:after="80"/>
              <w:jc w:val="left"/>
            </w:pPr>
            <w:r>
              <w:rPr>
                <w:sz w:val="24"/>
              </w:rPr>
              <w:t xml:space="preserve">Exact preserved query/log values retained</w:t>
            </w:r>
          </w:p>
        </w:tc>
        <w:tc>
          <w:tcPr/>
          <w:p>
            <w:pPr>
              <w:pStyle w:val="Compact"/>
              <w:keepNext w:val="0"/>
              <w:spacing w:after="80"/>
              <w:jc w:val="left"/>
            </w:pPr>
            <w:r>
              <w:rPr>
                <w:sz w:val="24"/>
              </w:rPr>
              <w:t xml:space="preserve">Supply missing original exports, facets and receipts</w:t>
            </w:r>
          </w:p>
        </w:tc>
      </w:tr>
      <w:tr>
        <w:tc>
          <w:tcPr/>
          <w:p>
            <w:pPr>
              <w:pStyle w:val="Compact"/>
              <w:keepNext w:val="0"/>
              <w:spacing w:after="80"/>
              <w:jc w:val="left"/>
            </w:pPr>
            <w:r>
              <w:rPr>
                <w:sz w:val="24"/>
              </w:rPr>
              <w:t xml:space="preserve">Source version: Page/result mappings may differ</w:t>
            </w:r>
          </w:p>
        </w:tc>
        <w:tc>
          <w:tcPr/>
          <w:p>
            <w:pPr>
              <w:pStyle w:val="Compact"/>
              <w:keepNext w:val="0"/>
              <w:spacing w:after="80"/>
              <w:jc w:val="left"/>
            </w:pPr>
            <w:r>
              <w:rPr>
                <w:sz w:val="24"/>
              </w:rPr>
              <w:t xml:space="preserve">iGniter final checked; Tallyv3 pinned; REEF conference/journal mapping resolved</w:t>
            </w:r>
          </w:p>
        </w:tc>
        <w:tc>
          <w:tcPr/>
          <w:p>
            <w:pPr>
              <w:pStyle w:val="Compact"/>
              <w:keepNext w:val="0"/>
              <w:spacing w:after="80"/>
              <w:jc w:val="left"/>
            </w:pPr>
            <w:r>
              <w:rPr>
                <w:sz w:val="24"/>
              </w:rPr>
              <w:t xml:space="preserve">Confirm ParvaGPU final equivalence or retain version condition.</w:t>
            </w:r>
          </w:p>
        </w:tc>
      </w:tr>
      <w:tr>
        <w:tc>
          <w:tcPr/>
          <w:p>
            <w:pPr>
              <w:pStyle w:val="Compact"/>
              <w:keepNext w:val="0"/>
              <w:spacing w:after="80"/>
              <w:jc w:val="left"/>
            </w:pPr>
            <w:r>
              <w:rPr>
                <w:sz w:val="24"/>
              </w:rPr>
              <w:t xml:space="preserve">Measurement heterogeneity: Cross-study speedup ranking is invalid</w:t>
            </w:r>
          </w:p>
        </w:tc>
        <w:tc>
          <w:tcPr/>
          <w:p>
            <w:pPr>
              <w:pStyle w:val="Compact"/>
              <w:keepNext w:val="0"/>
              <w:spacing w:after="80"/>
              <w:jc w:val="left"/>
            </w:pPr>
            <w:r>
              <w:rPr>
                <w:sz w:val="24"/>
              </w:rPr>
              <w:t xml:space="preserve">No pooled effect size or universal winner</w:t>
            </w:r>
          </w:p>
        </w:tc>
        <w:tc>
          <w:tcPr/>
          <w:p>
            <w:pPr>
              <w:pStyle w:val="Compact"/>
              <w:keepNext w:val="0"/>
              <w:spacing w:after="80"/>
              <w:jc w:val="left"/>
            </w:pPr>
            <w:r>
              <w:rPr>
                <w:sz w:val="24"/>
              </w:rPr>
              <w:t xml:space="preserve">Matched comparisons needed</w:t>
            </w:r>
          </w:p>
        </w:tc>
      </w:tr>
      <w:tr>
        <w:tc>
          <w:tcPr/>
          <w:p>
            <w:pPr>
              <w:pStyle w:val="Compact"/>
              <w:keepNext w:val="0"/>
              <w:spacing w:after="80"/>
              <w:jc w:val="left"/>
            </w:pPr>
            <w:r>
              <w:rPr>
                <w:sz w:val="24"/>
              </w:rPr>
              <w:t xml:space="preserve">Reporting bias: Headlines may overstate robustness</w:t>
            </w:r>
          </w:p>
        </w:tc>
        <w:tc>
          <w:tcPr/>
          <w:p>
            <w:pPr>
              <w:pStyle w:val="Compact"/>
              <w:keepNext w:val="0"/>
              <w:spacing w:after="80"/>
              <w:jc w:val="left"/>
            </w:pPr>
            <w:r>
              <w:rPr>
                <w:sz w:val="24"/>
              </w:rPr>
              <w:t xml:space="preserve">All52 retained outcome values/context checked; adverse findings retained</w:t>
            </w:r>
          </w:p>
        </w:tc>
        <w:tc>
          <w:tcPr/>
          <w:p>
            <w:pPr>
              <w:pStyle w:val="Compact"/>
              <w:keepNext w:val="0"/>
              <w:spacing w:after="80"/>
              <w:jc w:val="left"/>
            </w:pPr>
            <w:r>
              <w:rPr>
                <w:sz w:val="24"/>
              </w:rPr>
              <w:t xml:space="preserve">Independent high-impact claim checks; reporting uncertainty still missing in some sources.</w:t>
            </w:r>
          </w:p>
        </w:tc>
      </w:tr>
    </w:tbl>
    <w:p>
      <w:pPr>
        <w:pStyle w:val="BodyText"/>
      </w:pPr>
      <w:r>
        <w:t xml:space="preserve">The most material limitation is selection: a bounded source set cannot establish exhaustive coverage. The large number of title-only records compounds that risk. The single-assessment method creates a separate risk of correlated errors even where spreadsheet arithmetic is correct. Finally, retrieved author manuscripts may differ from the version used by the original extraction, and access to a PDF does not constitute verification of every result.</w:t>
      </w:r>
    </w:p>
    <w:p>
      <w:pPr>
        <w:pStyle w:val="BodyText"/>
      </w:pPr>
      <w:r>
        <w:t xml:space="preserve">Mitigations in this draft include immutable baseline files, separate current retrieval records, stable IDs, preserved unfavorable findings, explicit source/version limits and no numerical pooling across unmatched studies. These measures improve traceability but do not erase the underlying limitations. Final acceptance requires resolving the scope decision and recording any actual independent checks at the item level.</w:t>
      </w:r>
    </w:p>
    <w:bookmarkEnd w:id="66"/>
    <w:bookmarkStart w:id="67" w:name="conclusion"/>
    <w:p>
      <w:pPr>
        <w:pStyle w:val="Heading1"/>
      </w:pPr>
      <w:r>
        <w:t xml:space="preserve">Conclusion</w:t>
      </w:r>
    </w:p>
    <w:p>
      <w:pPr>
        <w:pStyle w:val="FirstParagraph"/>
      </w:pPr>
      <w:r>
        <w:t xml:space="preserve">The bounded 20-study corpus supports a conditional approach to GPU sharing for multi-tenant inference. Temporal control is relevant when foreground response dominates; software spatial sharing is relevant when trusted co-location can exploit spare capacity; partition-aware designs make resource fit and reconfiguration central; and runtime or memory mediation can increase density at a transfer, integration or trust cost. Each choice must be evaluated against its own baseline and intended conditions.</w:t>
      </w:r>
    </w:p>
    <w:p>
      <w:pPr>
        <w:pStyle w:val="BodyText"/>
      </w:pPr>
      <w:r>
        <w:t xml:space="preserve">The principal outcome is therefore a traceable selection framework, not a universal ranking. The first draft covers the instructor’s analytical requirements through Section 22 and follows the suggested final-report sequence. It remains a draft: the 559-record selection branch, ParvaGPU final-version condition, historical search gaps and independent item-level checking remain open before the work is represented as a fully verified final SLR.</w:t>
      </w:r>
    </w:p>
    <w:bookmarkEnd w:id="67"/>
    <w:bookmarkStart w:id="81" w:name="references"/>
    <w:p>
      <w:pPr>
        <w:pStyle w:val="Heading1"/>
      </w:pPr>
      <w:r>
        <w:t xml:space="preserve">References</w:t>
      </w:r>
    </w:p>
    <w:p>
      <w:pPr>
        <w:pStyle w:val="FirstParagraph"/>
      </w:pPr>
      <w:r>
        <w:t xml:space="preserve">[1] M. Lee, S. Seong, M. Kang, J. Lee, G.-J. Na, I.-G. Chun, D. Nikolopoulos, and</w:t>
      </w:r>
      <w:r>
        <w:t xml:space="preserve"> </w:t>
      </w:r>
      <w:r>
        <w:t xml:space="preserve">C.-H. Hong,</w:t>
      </w:r>
      <w:r>
        <w:t xml:space="preserve"> </w:t>
      </w:r>
      <w:r>
        <w:t xml:space="preserve">“</w:t>
      </w:r>
      <w:r>
        <w:t xml:space="preserve">ParvaGPU: Efficient Spatial GPU Sharing for Large-Scale DNN</w:t>
      </w:r>
      <w:r>
        <w:t xml:space="preserve"> </w:t>
      </w:r>
      <w:r>
        <w:t xml:space="preserve">Inference in Cloud Environments</w:t>
      </w:r>
      <w:r>
        <w:t xml:space="preserve">,</w:t>
      </w:r>
      <w:r>
        <w:t xml:space="preserve">”</w:t>
      </w:r>
      <w:r>
        <w:t xml:space="preserve"> </w:t>
      </w:r>
      <w:r>
        <w:t xml:space="preserve">in</w:t>
      </w:r>
      <w:r>
        <w:t xml:space="preserve"> </w:t>
      </w:r>
      <w:r>
        <w:rPr>
          <w:iCs/>
          <w:i/>
        </w:rPr>
        <w:t xml:space="preserve">SC24: International Conference</w:t>
      </w:r>
      <w:r>
        <w:rPr>
          <w:iCs/>
          <w:i/>
        </w:rPr>
        <w:t xml:space="preserve"> </w:t>
      </w:r>
      <w:r>
        <w:rPr>
          <w:iCs/>
          <w:i/>
        </w:rPr>
        <w:t xml:space="preserve">for High Performance Computing, Networking, Storage and Analysis</w:t>
      </w:r>
      <w:r>
        <w:t xml:space="preserve">, pp. 1–14,</w:t>
      </w:r>
      <w:r>
        <w:t xml:space="preserve"> </w:t>
      </w:r>
      <w:r>
        <w:t xml:space="preserve">2024.</w:t>
      </w:r>
      <w:r>
        <w:t xml:space="preserve"> </w:t>
      </w:r>
      <w:r>
        <w:t xml:space="preserve">Report P011, study S011. Publication identity confirmed from</w:t>
      </w:r>
      <w:r>
        <w:t xml:space="preserve"> </w:t>
      </w:r>
      <w:r>
        <w:t xml:space="preserve">SC24/author records; numerical extraction checked against arXiv:2409.14447v1,</w:t>
      </w:r>
      <w:r>
        <w:t xml:space="preserve"> </w:t>
      </w:r>
      <w:r>
        <w:t xml:space="preserve">not a verified equivalent final PDF.</w:t>
      </w:r>
    </w:p>
    <w:p>
      <w:pPr>
        <w:pStyle w:val="BodyText"/>
      </w:pPr>
      <w:r>
        <w:t xml:space="preserve">[2] W. Shen</w:t>
      </w:r>
      <w:r>
        <w:t xml:space="preserve"> </w:t>
      </w:r>
      <w:r>
        <w:rPr>
          <w:iCs/>
          <w:i/>
        </w:rPr>
        <w:t xml:space="preserve">et al.</w:t>
      </w:r>
      <w:r>
        <w:t xml:space="preserve">,</w:t>
      </w:r>
      <w:r>
        <w:t xml:space="preserve"> </w:t>
      </w:r>
      <w:r>
        <w:t xml:space="preserve">“</w:t>
      </w:r>
      <w:r>
        <w:t xml:space="preserve">XSched: Preemptive Scheduling for Diverse XPUs</w:t>
      </w:r>
      <w:r>
        <w:t xml:space="preserve">.</w:t>
      </w:r>
      <w:r>
        <w:t xml:space="preserve">”</w:t>
      </w:r>
      <w:r>
        <w:t xml:space="preserve"> </w:t>
      </w:r>
      <w:r>
        <w:t xml:space="preserve">USENIX OSDI2025 pp671-692, 2025.</w:t>
      </w:r>
      <w:r>
        <w:t xml:space="preserve"> </w:t>
      </w:r>
      <w:r>
        <w:t xml:space="preserve">Report P015, study S015. Source:</w:t>
      </w:r>
      <w:r>
        <w:t xml:space="preserve"> </w:t>
      </w:r>
      <w:hyperlink r:id="rId68">
        <w:r>
          <w:rPr>
            <w:rStyle w:val="Hyperlink"/>
          </w:rPr>
          <w:t xml:space="preserve">https://www.usenix.org/system/files/osdi25-shen-weihang.pdf</w:t>
        </w:r>
      </w:hyperlink>
      <w:r>
        <w:t xml:space="preserve">.</w:t>
      </w:r>
    </w:p>
    <w:p>
      <w:pPr>
        <w:pStyle w:val="BodyText"/>
      </w:pPr>
      <w:r>
        <w:t xml:space="preserve">[3] F. Yu, D. Wang, L. Shangguan, M. Zhang, C. Liu, and X. Chen,</w:t>
      </w:r>
      <w:r>
        <w:t xml:space="preserve"> </w:t>
      </w:r>
      <w:r>
        <w:t xml:space="preserve">“</w:t>
      </w:r>
      <w:r>
        <w:t xml:space="preserve">A Survey of</w:t>
      </w:r>
      <w:r>
        <w:t xml:space="preserve"> </w:t>
      </w:r>
      <w:r>
        <w:t xml:space="preserve">Multi-Tenant Deep Learning Inference on GPU</w:t>
      </w:r>
      <w:r>
        <w:t xml:space="preserve">,</w:t>
      </w:r>
      <w:r>
        <w:t xml:space="preserve">”</w:t>
      </w:r>
      <w:r>
        <w:t xml:space="preserve"> </w:t>
      </w:r>
      <w:r>
        <w:t xml:space="preserve">2022.</w:t>
      </w:r>
      <w:r>
        <w:t xml:space="preserve"> </w:t>
      </w:r>
      <w:r>
        <w:t xml:space="preserve">Contextual survey, arXiv:2203.09040. Eight-page copy inspected.</w:t>
      </w:r>
    </w:p>
    <w:p>
      <w:pPr>
        <w:pStyle w:val="BodyText"/>
      </w:pPr>
      <w:r>
        <w:t xml:space="preserve">[4] J. Huang, W. Lin, W. Wu, Y. Wang, H. Zhong, X. Wang, and K. Li,</w:t>
      </w:r>
      <w:r>
        <w:t xml:space="preserve"> </w:t>
      </w:r>
      <w:r>
        <w:t xml:space="preserve">“</w:t>
      </w:r>
      <w:r>
        <w:t xml:space="preserve">On</w:t>
      </w:r>
      <w:r>
        <w:t xml:space="preserve"> </w:t>
      </w:r>
      <w:r>
        <w:t xml:space="preserve">Efficiency, Fairness and Security in AI Accelerator Resource Sharing: A</w:t>
      </w:r>
      <w:r>
        <w:t xml:space="preserve"> </w:t>
      </w:r>
      <w:r>
        <w:t xml:space="preserve">Survey</w:t>
      </w:r>
      <w:r>
        <w:t xml:space="preserve">,</w:t>
      </w:r>
      <w:r>
        <w:t xml:space="preserve">”</w:t>
      </w:r>
      <w:r>
        <w:t xml:space="preserve"> </w:t>
      </w:r>
      <w:r>
        <w:rPr>
          <w:iCs/>
          <w:i/>
        </w:rPr>
        <w:t xml:space="preserve">ACM Computing Surveys</w:t>
      </w:r>
      <w:r>
        <w:t xml:space="preserve">, vol. 57, no. 9, 2025.</w:t>
      </w:r>
      <w:r>
        <w:t xml:space="preserve"> </w:t>
      </w:r>
      <w:r>
        <w:t xml:space="preserve">Article 221, 35 pages. Contextual survey.</w:t>
      </w:r>
    </w:p>
    <w:p>
      <w:pPr>
        <w:pStyle w:val="BodyText"/>
      </w:pPr>
      <w:r>
        <w:t xml:space="preserve">[5] Z. Ye, W. Gao, Q. Hu, P. Sun, X. Wang, Y. Luo, T. Zhang, and Y. Wen,</w:t>
      </w:r>
      <w:r>
        <w:t xml:space="preserve"> </w:t>
      </w:r>
      <w:r>
        <w:t xml:space="preserve">“</w:t>
      </w:r>
      <w:r>
        <w:t xml:space="preserve">Deep</w:t>
      </w:r>
      <w:r>
        <w:t xml:space="preserve"> </w:t>
      </w:r>
      <w:r>
        <w:t xml:space="preserve">Learning Workload Scheduling in GPU Datacenters: A Survey</w:t>
      </w:r>
      <w:r>
        <w:t xml:space="preserve">,</w:t>
      </w:r>
      <w:r>
        <w:t xml:space="preserve">”</w:t>
      </w:r>
      <w:r>
        <w:t xml:space="preserve"> </w:t>
      </w:r>
      <w:r>
        <w:rPr>
          <w:iCs/>
          <w:i/>
        </w:rPr>
        <w:t xml:space="preserve">ACM</w:t>
      </w:r>
      <w:r>
        <w:rPr>
          <w:iCs/>
          <w:i/>
        </w:rPr>
        <w:t xml:space="preserve"> </w:t>
      </w:r>
      <w:r>
        <w:rPr>
          <w:iCs/>
          <w:i/>
        </w:rPr>
        <w:t xml:space="preserve">Computing Surveys</w:t>
      </w:r>
      <w:r>
        <w:t xml:space="preserve">, vol. 56, no. 6, 2024.</w:t>
      </w:r>
      <w:r>
        <w:t xml:space="preserve"> </w:t>
      </w:r>
      <w:r>
        <w:t xml:space="preserve">Contextual survey. Scope checked in author-hosted 40-page copy;</w:t>
      </w:r>
      <w:r>
        <w:t xml:space="preserve"> </w:t>
      </w:r>
      <w:r>
        <w:t xml:space="preserve">placeholder author-copy pagination is not final publisher pagination.</w:t>
      </w:r>
    </w:p>
    <w:p>
      <w:pPr>
        <w:pStyle w:val="BodyText"/>
      </w:pPr>
      <w:r>
        <w:t xml:space="preserve">[6] M. J. Page</w:t>
      </w:r>
      <w:r>
        <w:t xml:space="preserve"> </w:t>
      </w:r>
      <w:r>
        <w:rPr>
          <w:iCs/>
          <w:i/>
        </w:rPr>
        <w:t xml:space="preserve">et al.</w:t>
      </w:r>
      <w:r>
        <w:t xml:space="preserve">,</w:t>
      </w:r>
      <w:r>
        <w:t xml:space="preserve"> </w:t>
      </w:r>
      <w:r>
        <w:t xml:space="preserve">“</w:t>
      </w:r>
      <w:r>
        <w:t xml:space="preserve">The prisma 2020 statement: An updated guideline for</w:t>
      </w:r>
      <w:r>
        <w:t xml:space="preserve"> </w:t>
      </w:r>
      <w:r>
        <w:t xml:space="preserve">reporting systematic reviews,</w:t>
      </w:r>
      <w:r>
        <w:t xml:space="preserve">”</w:t>
      </w:r>
      <w:r>
        <w:t xml:space="preserve"> </w:t>
      </w:r>
      <w:r>
        <w:rPr>
          <w:iCs/>
          <w:i/>
        </w:rPr>
        <w:t xml:space="preserve">BMJ</w:t>
      </w:r>
      <w:r>
        <w:t xml:space="preserve">, vol. 372, p. n71, 2021.</w:t>
      </w:r>
    </w:p>
    <w:p>
      <w:pPr>
        <w:pStyle w:val="BodyText"/>
      </w:pPr>
      <w:r>
        <w:t xml:space="preserve">[7] M. L. Rethlefsen</w:t>
      </w:r>
      <w:r>
        <w:t xml:space="preserve"> </w:t>
      </w:r>
      <w:r>
        <w:rPr>
          <w:iCs/>
          <w:i/>
        </w:rPr>
        <w:t xml:space="preserve">et al.</w:t>
      </w:r>
      <w:r>
        <w:t xml:space="preserve">,</w:t>
      </w:r>
      <w:r>
        <w:t xml:space="preserve"> </w:t>
      </w:r>
      <w:r>
        <w:t xml:space="preserve">“</w:t>
      </w:r>
      <w:r>
        <w:t xml:space="preserve">Prisma-s: An extension to the prisma statement</w:t>
      </w:r>
      <w:r>
        <w:t xml:space="preserve"> </w:t>
      </w:r>
      <w:r>
        <w:t xml:space="preserve">for reporting literature searches in systematic reviews,</w:t>
      </w:r>
      <w:r>
        <w:t xml:space="preserve">”</w:t>
      </w:r>
      <w:r>
        <w:t xml:space="preserve"> </w:t>
      </w:r>
      <w:r>
        <w:rPr>
          <w:iCs/>
          <w:i/>
        </w:rPr>
        <w:t xml:space="preserve">Systematic</w:t>
      </w:r>
      <w:r>
        <w:rPr>
          <w:iCs/>
          <w:i/>
        </w:rPr>
        <w:t xml:space="preserve"> </w:t>
      </w:r>
      <w:r>
        <w:rPr>
          <w:iCs/>
          <w:i/>
        </w:rPr>
        <w:t xml:space="preserve">Reviews</w:t>
      </w:r>
      <w:r>
        <w:t xml:space="preserve">, vol. 10, p. 39, 2021.</w:t>
      </w:r>
    </w:p>
    <w:p>
      <w:pPr>
        <w:pStyle w:val="BodyText"/>
      </w:pPr>
      <w:r>
        <w:t xml:space="preserve">[8] B. Kitchenham and S. Charters,</w:t>
      </w:r>
      <w:r>
        <w:t xml:space="preserve"> </w:t>
      </w:r>
      <w:r>
        <w:t xml:space="preserve">“</w:t>
      </w:r>
      <w:r>
        <w:t xml:space="preserve">Guidelines for performing systematic</w:t>
      </w:r>
      <w:r>
        <w:t xml:space="preserve"> </w:t>
      </w:r>
      <w:r>
        <w:t xml:space="preserve">literature reviews in software engineering,</w:t>
      </w:r>
      <w:r>
        <w:t xml:space="preserve">”</w:t>
      </w:r>
      <w:r>
        <w:t xml:space="preserve"> </w:t>
      </w:r>
      <w:r>
        <w:t xml:space="preserve">Tech. Rep. EBSE-2007-01, Keele</w:t>
      </w:r>
      <w:r>
        <w:t xml:space="preserve"> </w:t>
      </w:r>
      <w:r>
        <w:t xml:space="preserve">University and University of Durham, 2007.</w:t>
      </w:r>
      <w:r>
        <w:t xml:space="preserve"> </w:t>
      </w:r>
      <w:r>
        <w:t xml:space="preserve">Version 2.3.</w:t>
      </w:r>
    </w:p>
    <w:p>
      <w:pPr>
        <w:pStyle w:val="BodyText"/>
      </w:pPr>
      <w:r>
        <w:t xml:space="preserve">[9] M. Han, H. Zhang, R. Chen, and H. Chen,</w:t>
      </w:r>
      <w:r>
        <w:t xml:space="preserve"> </w:t>
      </w:r>
      <w:r>
        <w:t xml:space="preserve">“</w:t>
      </w:r>
      <w:r>
        <w:t xml:space="preserve">Microsecond-scale Preemption for</w:t>
      </w:r>
      <w:r>
        <w:t xml:space="preserve"> </w:t>
      </w:r>
      <w:r>
        <w:t xml:space="preserve">Concurrent GPU-accelerated DNN Inferences</w:t>
      </w:r>
      <w:r>
        <w:t xml:space="preserve">.</w:t>
      </w:r>
      <w:r>
        <w:t xml:space="preserve">”</w:t>
      </w:r>
      <w:r>
        <w:t xml:space="preserve"> </w:t>
      </w:r>
      <w:r>
        <w:t xml:space="preserve">USENIX OSDI22, 2022.</w:t>
      </w:r>
      <w:r>
        <w:t xml:space="preserve"> </w:t>
      </w:r>
      <w:r>
        <w:t xml:space="preserve">Report P005, study S005. Source:</w:t>
      </w:r>
      <w:r>
        <w:t xml:space="preserve"> </w:t>
      </w:r>
      <w:hyperlink r:id="rId69">
        <w:r>
          <w:rPr>
            <w:rStyle w:val="Hyperlink"/>
          </w:rPr>
          <w:t xml:space="preserve">https://www.usenix.org/system/files/osdi22-han.pdf</w:t>
        </w:r>
      </w:hyperlink>
      <w:r>
        <w:t xml:space="preserve">.</w:t>
      </w:r>
    </w:p>
    <w:p>
      <w:pPr>
        <w:pStyle w:val="BodyText"/>
      </w:pPr>
      <w:r>
        <w:t xml:space="preserve">[10] M. Han, R. Chen, W. Shen, H. Zhang, J. Yang, and H. Chen,</w:t>
      </w:r>
      <w:r>
        <w:t xml:space="preserve"> </w:t>
      </w:r>
      <w:r>
        <w:t xml:space="preserve">“</w:t>
      </w:r>
      <w:r>
        <w:t xml:space="preserve">Real-time,</w:t>
      </w:r>
      <w:r>
        <w:t xml:space="preserve"> </w:t>
      </w:r>
      <w:r>
        <w:t xml:space="preserve">work-conserving gpu scheduling for concurrent dnn inference,</w:t>
      </w:r>
      <w:r>
        <w:t xml:space="preserve">”</w:t>
      </w:r>
      <w:r>
        <w:t xml:space="preserve"> </w:t>
      </w:r>
      <w:r>
        <w:rPr>
          <w:iCs/>
          <w:i/>
        </w:rPr>
        <w:t xml:space="preserve">ACM</w:t>
      </w:r>
      <w:r>
        <w:rPr>
          <w:iCs/>
          <w:i/>
        </w:rPr>
        <w:t xml:space="preserve"> </w:t>
      </w:r>
      <w:r>
        <w:rPr>
          <w:iCs/>
          <w:i/>
        </w:rPr>
        <w:t xml:space="preserve">Transactions on Computer Systems</w:t>
      </w:r>
      <w:r>
        <w:t xml:space="preserve">, vol. 44, no. 1, 2025.</w:t>
      </w:r>
      <w:r>
        <w:t xml:space="preserve"> </w:t>
      </w:r>
      <w:r>
        <w:t xml:space="preserve">Article 1, pp. 1–42. Online publication 2025; issue indexed 2026.</w:t>
      </w:r>
      <w:r>
        <w:t xml:space="preserve"> </w:t>
      </w:r>
      <w:r>
        <w:t xml:space="preserve">Companion of P005.</w:t>
      </w:r>
    </w:p>
    <w:p>
      <w:pPr>
        <w:pStyle w:val="BodyText"/>
      </w:pPr>
      <w:r>
        <w:t xml:space="preserve">[11] Z. Bai</w:t>
      </w:r>
      <w:r>
        <w:t xml:space="preserve"> </w:t>
      </w:r>
      <w:r>
        <w:rPr>
          <w:iCs/>
          <w:i/>
        </w:rPr>
        <w:t xml:space="preserve">et al.</w:t>
      </w:r>
      <w:r>
        <w:t xml:space="preserve">,</w:t>
      </w:r>
      <w:r>
        <w:t xml:space="preserve"> </w:t>
      </w:r>
      <w:r>
        <w:t xml:space="preserve">“</w:t>
      </w:r>
      <w:r>
        <w:t xml:space="preserve">PipeSwitch: Fast Pipelined Context Switching for Deep</w:t>
      </w:r>
      <w:r>
        <w:t xml:space="preserve"> </w:t>
      </w:r>
      <w:r>
        <w:t xml:space="preserve">Learning Applications</w:t>
      </w:r>
      <w:r>
        <w:t xml:space="preserve">.</w:t>
      </w:r>
      <w:r>
        <w:t xml:space="preserve">”</w:t>
      </w:r>
      <w:r>
        <w:t xml:space="preserve"> </w:t>
      </w:r>
      <w:r>
        <w:t xml:space="preserve">USENIX OSDI20, 2020.</w:t>
      </w:r>
      <w:r>
        <w:t xml:space="preserve"> </w:t>
      </w:r>
      <w:r>
        <w:t xml:space="preserve">Report P004, study S004. Source:</w:t>
      </w:r>
      <w:r>
        <w:t xml:space="preserve"> </w:t>
      </w:r>
      <w:hyperlink r:id="rId70">
        <w:r>
          <w:rPr>
            <w:rStyle w:val="Hyperlink"/>
          </w:rPr>
          <w:t xml:space="preserve">https://www.usenix.org/system/files/osdi20-bai.pdf</w:t>
        </w:r>
      </w:hyperlink>
      <w:r>
        <w:t xml:space="preserve">.</w:t>
      </w:r>
    </w:p>
    <w:p>
      <w:pPr>
        <w:pStyle w:val="BodyText"/>
      </w:pPr>
      <w:r>
        <w:t xml:space="preserve">[12] K. K. W. Ng, H. M. Demoulin, and V. Liu,</w:t>
      </w:r>
      <w:r>
        <w:t xml:space="preserve"> </w:t>
      </w:r>
      <w:r>
        <w:t xml:space="preserve">“</w:t>
      </w:r>
      <w:r>
        <w:t xml:space="preserve">Paella: Low-latency Model Serving</w:t>
      </w:r>
      <w:r>
        <w:t xml:space="preserve"> </w:t>
      </w:r>
      <w:r>
        <w:t xml:space="preserve">with Software-defined GPU Scheduling</w:t>
      </w:r>
      <w:r>
        <w:t xml:space="preserve">.</w:t>
      </w:r>
      <w:r>
        <w:t xml:space="preserve">”</w:t>
      </w:r>
      <w:r>
        <w:t xml:space="preserve"> </w:t>
      </w:r>
      <w:r>
        <w:t xml:space="preserve">SOSP 2023, 2023.</w:t>
      </w:r>
      <w:r>
        <w:t xml:space="preserve"> </w:t>
      </w:r>
      <w:r>
        <w:t xml:space="preserve">Report P006, study S006. Source:</w:t>
      </w:r>
      <w:r>
        <w:t xml:space="preserve"> </w:t>
      </w:r>
      <w:hyperlink r:id="rId71">
        <w:r>
          <w:rPr>
            <w:rStyle w:val="Hyperlink"/>
          </w:rPr>
          <w:t xml:space="preserve">https://vincen.tl/files/ng23paella.pdf</w:t>
        </w:r>
      </w:hyperlink>
      <w:r>
        <w:t xml:space="preserve">.</w:t>
      </w:r>
    </w:p>
    <w:p>
      <w:pPr>
        <w:pStyle w:val="BodyText"/>
      </w:pPr>
      <w:r>
        <w:t xml:space="preserve">[13] F. Strati, X. Ma, and A. Klimovic,</w:t>
      </w:r>
      <w:r>
        <w:t xml:space="preserve"> </w:t>
      </w:r>
      <w:r>
        <w:t xml:space="preserve">“</w:t>
      </w:r>
      <w:r>
        <w:t xml:space="preserve">Orion: Interference-aware, Fine-grained</w:t>
      </w:r>
      <w:r>
        <w:t xml:space="preserve"> </w:t>
      </w:r>
      <w:r>
        <w:t xml:space="preserve">GPU Sharing for ML Applications</w:t>
      </w:r>
      <w:r>
        <w:t xml:space="preserve">.</w:t>
      </w:r>
      <w:r>
        <w:t xml:space="preserve">”</w:t>
      </w:r>
      <w:r>
        <w:t xml:space="preserve"> </w:t>
      </w:r>
      <w:r>
        <w:t xml:space="preserve">EuroSys 2024, 2024.</w:t>
      </w:r>
      <w:r>
        <w:t xml:space="preserve"> </w:t>
      </w:r>
      <w:r>
        <w:t xml:space="preserve">Report P007, study S007. Source:</w:t>
      </w:r>
      <w:r>
        <w:t xml:space="preserve"> </w:t>
      </w:r>
      <w:hyperlink r:id="rId72">
        <w:r>
          <w:rPr>
            <w:rStyle w:val="Hyperlink"/>
          </w:rPr>
          <w:t xml:space="preserve">https://fotstrt.github.io/files/2024-orion.pdf</w:t>
        </w:r>
      </w:hyperlink>
      <w:r>
        <w:t xml:space="preserve">.</w:t>
      </w:r>
    </w:p>
    <w:p>
      <w:pPr>
        <w:pStyle w:val="BodyText"/>
      </w:pPr>
      <w:r>
        <w:t xml:space="preserve">[14] A. Gujarati, R. Karimi, S. Alzayat, W. Hao, A. Kaufmann, Y. Vigfusson, and</w:t>
      </w:r>
      <w:r>
        <w:t xml:space="preserve"> </w:t>
      </w:r>
      <w:r>
        <w:t xml:space="preserve">J. Mace,</w:t>
      </w:r>
      <w:r>
        <w:t xml:space="preserve"> </w:t>
      </w:r>
      <w:r>
        <w:t xml:space="preserve">“</w:t>
      </w:r>
      <w:r>
        <w:t xml:space="preserve">Serving DNNs like Clockwork: Performance Predictability from the</w:t>
      </w:r>
      <w:r>
        <w:t xml:space="preserve"> </w:t>
      </w:r>
      <w:r>
        <w:t xml:space="preserve">Bottom Up</w:t>
      </w:r>
      <w:r>
        <w:t xml:space="preserve">,</w:t>
      </w:r>
      <w:r>
        <w:t xml:space="preserve">”</w:t>
      </w:r>
      <w:r>
        <w:t xml:space="preserve"> </w:t>
      </w:r>
      <w:r>
        <w:t xml:space="preserve">in</w:t>
      </w:r>
      <w:r>
        <w:t xml:space="preserve"> </w:t>
      </w:r>
      <w:r>
        <w:rPr>
          <w:iCs/>
          <w:i/>
        </w:rPr>
        <w:t xml:space="preserve">14th USENIX Symposium on Operating Systems Design and</w:t>
      </w:r>
      <w:r>
        <w:rPr>
          <w:iCs/>
          <w:i/>
        </w:rPr>
        <w:t xml:space="preserve"> </w:t>
      </w:r>
      <w:r>
        <w:rPr>
          <w:iCs/>
          <w:i/>
        </w:rPr>
        <w:t xml:space="preserve">Implementation (OSDI)</w:t>
      </w:r>
      <w:r>
        <w:t xml:space="preserve">, pp. 443–462, 2020.</w:t>
      </w:r>
      <w:r>
        <w:t xml:space="preserve"> </w:t>
      </w:r>
      <w:r>
        <w:t xml:space="preserve">Report P009, study S009. USENIX PDF includes a cover page.</w:t>
      </w:r>
    </w:p>
    <w:p>
      <w:pPr>
        <w:pStyle w:val="BodyText"/>
      </w:pPr>
      <w:r>
        <w:t xml:space="preserve">[15] L.-X. Ma</w:t>
      </w:r>
      <w:r>
        <w:t xml:space="preserve"> </w:t>
      </w:r>
      <w:r>
        <w:rPr>
          <w:iCs/>
          <w:i/>
        </w:rPr>
        <w:t xml:space="preserve">et al.</w:t>
      </w:r>
      <w:r>
        <w:t xml:space="preserve">,</w:t>
      </w:r>
      <w:r>
        <w:t xml:space="preserve"> </w:t>
      </w:r>
      <w:r>
        <w:t xml:space="preserve">“</w:t>
      </w:r>
      <w:r>
        <w:t xml:space="preserve">VastPipe: A High-Throughput Inference System via</w:t>
      </w:r>
      <w:r>
        <w:t xml:space="preserve"> </w:t>
      </w:r>
      <w:r>
        <w:t xml:space="preserve">Adaptive Space-Division Multiplexing for Diverse Accelerators</w:t>
      </w:r>
      <w:r>
        <w:t xml:space="preserve">.</w:t>
      </w:r>
      <w:r>
        <w:t xml:space="preserve">”</w:t>
      </w:r>
      <w:r>
        <w:t xml:space="preserve"> </w:t>
      </w:r>
      <w:r>
        <w:t xml:space="preserve">Journal of</w:t>
      </w:r>
      <w:r>
        <w:t xml:space="preserve"> </w:t>
      </w:r>
      <w:r>
        <w:t xml:space="preserve">Computer Science and Technology, 2025.</w:t>
      </w:r>
      <w:r>
        <w:t xml:space="preserve"> </w:t>
      </w:r>
      <w:r>
        <w:t xml:space="preserve">Report P001, study S001. Source:</w:t>
      </w:r>
      <w:r>
        <w:t xml:space="preserve"> </w:t>
      </w:r>
      <w:hyperlink r:id="rId73">
        <w:r>
          <w:rPr>
            <w:rStyle w:val="Hyperlink"/>
          </w:rPr>
          <w:t xml:space="preserve">https://jcst.ict.ac.cn/en/article/pdf/preview/10.1007/s11390-024-3773-5.pdf</w:t>
        </w:r>
      </w:hyperlink>
      <w:r>
        <w:t xml:space="preserve">.</w:t>
      </w:r>
    </w:p>
    <w:p>
      <w:pPr>
        <w:pStyle w:val="BodyText"/>
      </w:pPr>
      <w:r>
        <w:t xml:space="preserve">[16] F. Xu</w:t>
      </w:r>
      <w:r>
        <w:t xml:space="preserve"> </w:t>
      </w:r>
      <w:r>
        <w:rPr>
          <w:iCs/>
          <w:i/>
        </w:rPr>
        <w:t xml:space="preserve">et al.</w:t>
      </w:r>
      <w:r>
        <w:t xml:space="preserve">,</w:t>
      </w:r>
      <w:r>
        <w:t xml:space="preserve"> </w:t>
      </w:r>
      <w:r>
        <w:t xml:space="preserve">“</w:t>
      </w:r>
      <w:r>
        <w:t xml:space="preserve">iGniter: Interference-Aware GPU Resource Provisioning</w:t>
      </w:r>
      <w:r>
        <w:t xml:space="preserve"> </w:t>
      </w:r>
      <w:r>
        <w:t xml:space="preserve">for Predictable DNN Inference in the Cloud</w:t>
      </w:r>
      <w:r>
        <w:t xml:space="preserve">.</w:t>
      </w:r>
      <w:r>
        <w:t xml:space="preserve">”</w:t>
      </w:r>
      <w:r>
        <w:t xml:space="preserve"> </w:t>
      </w:r>
      <w:r>
        <w:t xml:space="preserve">IEEE Transactions on Parallel</w:t>
      </w:r>
      <w:r>
        <w:t xml:space="preserve"> </w:t>
      </w:r>
      <w:r>
        <w:t xml:space="preserve">and Distributed Systems, 2023.</w:t>
      </w:r>
      <w:r>
        <w:t xml:space="preserve"> </w:t>
      </w:r>
      <w:r>
        <w:t xml:space="preserve">Report P002, study S002. Source:</w:t>
      </w:r>
      <w:r>
        <w:t xml:space="preserve"> </w:t>
      </w:r>
      <w:hyperlink r:id="rId74">
        <w:r>
          <w:rPr>
            <w:rStyle w:val="Hyperlink"/>
          </w:rPr>
          <w:t xml:space="preserve">https://prefer-nsf.org/pdf/IEEE%20TPDS%20_%20igniter%202023.pdf</w:t>
        </w:r>
      </w:hyperlink>
      <w:r>
        <w:t xml:space="preserve">.</w:t>
      </w:r>
    </w:p>
    <w:p>
      <w:pPr>
        <w:pStyle w:val="BodyText"/>
      </w:pPr>
      <w:r>
        <w:t xml:space="preserve">[17] S. Choi</w:t>
      </w:r>
      <w:r>
        <w:t xml:space="preserve"> </w:t>
      </w:r>
      <w:r>
        <w:rPr>
          <w:iCs/>
          <w:i/>
        </w:rPr>
        <w:t xml:space="preserve">et al.</w:t>
      </w:r>
      <w:r>
        <w:t xml:space="preserve">,</w:t>
      </w:r>
      <w:r>
        <w:t xml:space="preserve"> </w:t>
      </w:r>
      <w:r>
        <w:t xml:space="preserve">“</w:t>
      </w:r>
      <w:r>
        <w:t xml:space="preserve">Serving Heterogeneous Machine Learning Models on</w:t>
      </w:r>
      <w:r>
        <w:t xml:space="preserve"> </w:t>
      </w:r>
      <w:r>
        <w:t xml:space="preserve">Multi-GPU Servers with Spatio-Temporal Sharing</w:t>
      </w:r>
      <w:r>
        <w:t xml:space="preserve">.</w:t>
      </w:r>
      <w:r>
        <w:t xml:space="preserve">”</w:t>
      </w:r>
      <w:r>
        <w:t xml:space="preserve"> </w:t>
      </w:r>
      <w:r>
        <w:t xml:space="preserve">USENIX ATC22, 2022.</w:t>
      </w:r>
      <w:r>
        <w:t xml:space="preserve"> </w:t>
      </w:r>
      <w:r>
        <w:t xml:space="preserve">Report P003, study S003. Source:</w:t>
      </w:r>
      <w:r>
        <w:t xml:space="preserve"> </w:t>
      </w:r>
      <w:hyperlink r:id="rId75">
        <w:r>
          <w:rPr>
            <w:rStyle w:val="Hyperlink"/>
          </w:rPr>
          <w:t xml:space="preserve">https://www.usenix.org/system/files/atc22-choi-seungbeom.pdf</w:t>
        </w:r>
      </w:hyperlink>
      <w:r>
        <w:t xml:space="preserve">.</w:t>
      </w:r>
    </w:p>
    <w:p>
      <w:pPr>
        <w:pStyle w:val="BodyText"/>
      </w:pPr>
      <w:r>
        <w:t xml:space="preserve">[18] A. Dhakal, S. G. Kulkarni, and K. K. Ramakrishnan,</w:t>
      </w:r>
      <w:r>
        <w:t xml:space="preserve"> </w:t>
      </w:r>
      <w:r>
        <w:t xml:space="preserve">“</w:t>
      </w:r>
      <w:r>
        <w:t xml:space="preserve">GSLICE: Controlled</w:t>
      </w:r>
      <w:r>
        <w:t xml:space="preserve"> </w:t>
      </w:r>
      <w:r>
        <w:t xml:space="preserve">Spatial Sharing of GPUs for a Scalable Inference Platform</w:t>
      </w:r>
      <w:r>
        <w:t xml:space="preserve">,</w:t>
      </w:r>
      <w:r>
        <w:t xml:space="preserve">”</w:t>
      </w:r>
      <w:r>
        <w:t xml:space="preserve"> </w:t>
      </w:r>
      <w:r>
        <w:t xml:space="preserve">in</w:t>
      </w:r>
      <w:r>
        <w:t xml:space="preserve"> </w:t>
      </w:r>
      <w:r>
        <w:rPr>
          <w:iCs/>
          <w:i/>
        </w:rPr>
        <w:t xml:space="preserve">ACM</w:t>
      </w:r>
      <w:r>
        <w:rPr>
          <w:iCs/>
          <w:i/>
        </w:rPr>
        <w:t xml:space="preserve"> </w:t>
      </w:r>
      <w:r>
        <w:rPr>
          <w:iCs/>
          <w:i/>
        </w:rPr>
        <w:t xml:space="preserve">Symposium on Cloud Computing (SoCC)</w:t>
      </w:r>
      <w:r>
        <w:t xml:space="preserve">, pp. 492–506, 2020.</w:t>
      </w:r>
      <w:r>
        <w:t xml:space="preserve"> </w:t>
      </w:r>
      <w:r>
        <w:t xml:space="preserve">Report P008, study S008. Source-reviewed conference paper.</w:t>
      </w:r>
    </w:p>
    <w:p>
      <w:pPr>
        <w:pStyle w:val="BodyText"/>
      </w:pPr>
      <w:r>
        <w:t xml:space="preserve">[19] T. Adufu and Y. Kim,</w:t>
      </w:r>
      <w:r>
        <w:t xml:space="preserve"> </w:t>
      </w:r>
      <w:r>
        <w:t xml:space="preserve">“</w:t>
      </w:r>
      <w:r>
        <w:t xml:space="preserve">Dyna-P: placement-aware dynamic partitioning for</w:t>
      </w:r>
      <w:r>
        <w:t xml:space="preserve"> </w:t>
      </w:r>
      <w:r>
        <w:t xml:space="preserve">lightweight applications with modern GPUs</w:t>
      </w:r>
      <w:r>
        <w:t xml:space="preserve">.</w:t>
      </w:r>
      <w:r>
        <w:t xml:space="preserve">”</w:t>
      </w:r>
      <w:r>
        <w:t xml:space="preserve"> </w:t>
      </w:r>
      <w:r>
        <w:t xml:space="preserve">Cluster Computing, 2025.</w:t>
      </w:r>
      <w:r>
        <w:t xml:space="preserve"> </w:t>
      </w:r>
      <w:r>
        <w:t xml:space="preserve">Report P020, study S018. Source:</w:t>
      </w:r>
      <w:r>
        <w:t xml:space="preserve"> </w:t>
      </w:r>
      <w:hyperlink r:id="rId76">
        <w:r>
          <w:rPr>
            <w:rStyle w:val="Hyperlink"/>
          </w:rPr>
          <w:t xml:space="preserve">https://doi.org/10.1007/s10586-025-05284-2</w:t>
        </w:r>
      </w:hyperlink>
      <w:r>
        <w:t xml:space="preserve">.</w:t>
      </w:r>
    </w:p>
    <w:p>
      <w:pPr>
        <w:pStyle w:val="BodyText"/>
      </w:pPr>
      <w:r>
        <w:t xml:space="preserve">[20] M. Chow, A. Jahanshahi, and D. Wong,</w:t>
      </w:r>
      <w:r>
        <w:t xml:space="preserve"> </w:t>
      </w:r>
      <w:r>
        <w:t xml:space="preserve">“</w:t>
      </w:r>
      <w:r>
        <w:t xml:space="preserve">KRISP: Enabling Kernel-wise</w:t>
      </w:r>
      <w:r>
        <w:t xml:space="preserve"> </w:t>
      </w:r>
      <w:r>
        <w:t xml:space="preserve">RIght-sizing for Spatial Partitioned GPU Inference Servers</w:t>
      </w:r>
      <w:r>
        <w:t xml:space="preserve">.</w:t>
      </w:r>
      <w:r>
        <w:t xml:space="preserve">”</w:t>
      </w:r>
      <w:r>
        <w:t xml:space="preserve"> </w:t>
      </w:r>
      <w:r>
        <w:t xml:space="preserve">IEEE HPCA,</w:t>
      </w:r>
      <w:r>
        <w:t xml:space="preserve"> </w:t>
      </w:r>
      <w:r>
        <w:t xml:space="preserve">2023.</w:t>
      </w:r>
      <w:r>
        <w:t xml:space="preserve"> </w:t>
      </w:r>
      <w:r>
        <w:t xml:space="preserve">Report P021, study S019. Source:</w:t>
      </w:r>
      <w:r>
        <w:t xml:space="preserve"> </w:t>
      </w:r>
      <w:hyperlink r:id="rId77">
        <w:r>
          <w:rPr>
            <w:rStyle w:val="Hyperlink"/>
          </w:rPr>
          <w:t xml:space="preserve">https://danielwong.org/files/KRISP-HPCA2023.pdf</w:t>
        </w:r>
      </w:hyperlink>
      <w:r>
        <w:t xml:space="preserve">.</w:t>
      </w:r>
    </w:p>
    <w:p>
      <w:pPr>
        <w:pStyle w:val="BodyText"/>
      </w:pPr>
      <w:r>
        <w:t xml:space="preserve">[21] J. Wang, Y. Wang, M. Han, and R. Chen,</w:t>
      </w:r>
      <w:r>
        <w:t xml:space="preserve"> </w:t>
      </w:r>
      <w:r>
        <w:t xml:space="preserve">“</w:t>
      </w:r>
      <w:r>
        <w:t xml:space="preserve">Colocating ML Inference and Training</w:t>
      </w:r>
      <w:r>
        <w:t xml:space="preserve"> </w:t>
      </w:r>
      <w:r>
        <w:t xml:space="preserve">with Fast GPU Memory Handover</w:t>
      </w:r>
      <w:r>
        <w:t xml:space="preserve">,</w:t>
      </w:r>
      <w:r>
        <w:t xml:space="preserve">”</w:t>
      </w:r>
      <w:r>
        <w:t xml:space="preserve"> </w:t>
      </w:r>
      <w:r>
        <w:t xml:space="preserve">in</w:t>
      </w:r>
      <w:r>
        <w:t xml:space="preserve"> </w:t>
      </w:r>
      <w:r>
        <w:rPr>
          <w:iCs/>
          <w:i/>
        </w:rPr>
        <w:t xml:space="preserve">2025 USENIX Annual Technical</w:t>
      </w:r>
      <w:r>
        <w:rPr>
          <w:iCs/>
          <w:i/>
        </w:rPr>
        <w:t xml:space="preserve"> </w:t>
      </w:r>
      <w:r>
        <w:rPr>
          <w:iCs/>
          <w:i/>
        </w:rPr>
        <w:t xml:space="preserve">Conference (ATC)</w:t>
      </w:r>
      <w:r>
        <w:t xml:space="preserve">, pp. 1657–1675, 2025.</w:t>
      </w:r>
      <w:r>
        <w:t xml:space="preserve"> </w:t>
      </w:r>
      <w:r>
        <w:t xml:space="preserve">Report P010, study S010. System name SIRIUS. Artifact DOI:</w:t>
      </w:r>
      <w:r>
        <w:t xml:space="preserve"> </w:t>
      </w:r>
      <w:r>
        <w:t xml:space="preserve">10.5281/zenodo.15581800.</w:t>
      </w:r>
    </w:p>
    <w:p>
      <w:pPr>
        <w:pStyle w:val="BodyText"/>
      </w:pPr>
      <w:r>
        <w:t xml:space="preserve">[22] M. Yu, A. Wang, D. Chen, H. Yu, X. Luo, Z. Li, W. Wang, R. Chen, D. Nie,</w:t>
      </w:r>
      <w:r>
        <w:t xml:space="preserve"> </w:t>
      </w:r>
      <w:r>
        <w:t xml:space="preserve">H. Yang, and Y. Ding,</w:t>
      </w:r>
      <w:r>
        <w:t xml:space="preserve"> </w:t>
      </w:r>
      <w:r>
        <w:t xml:space="preserve">“</w:t>
      </w:r>
      <w:r>
        <w:t xml:space="preserve">Torpor: GPU-Enabled Serverless Computing for</w:t>
      </w:r>
      <w:r>
        <w:t xml:space="preserve"> </w:t>
      </w:r>
      <w:r>
        <w:t xml:space="preserve">Low-Latency, Resource-Efficient Inference</w:t>
      </w:r>
      <w:r>
        <w:t xml:space="preserve">,</w:t>
      </w:r>
      <w:r>
        <w:t xml:space="preserve">”</w:t>
      </w:r>
      <w:r>
        <w:t xml:space="preserve"> </w:t>
      </w:r>
      <w:r>
        <w:t xml:space="preserve">in</w:t>
      </w:r>
      <w:r>
        <w:t xml:space="preserve"> </w:t>
      </w:r>
      <w:r>
        <w:rPr>
          <w:iCs/>
          <w:i/>
        </w:rPr>
        <w:t xml:space="preserve">2025 USENIX Annual</w:t>
      </w:r>
      <w:r>
        <w:rPr>
          <w:iCs/>
          <w:i/>
        </w:rPr>
        <w:t xml:space="preserve"> </w:t>
      </w:r>
      <w:r>
        <w:rPr>
          <w:iCs/>
          <w:i/>
        </w:rPr>
        <w:t xml:space="preserve">Technical Conference (ATC)</w:t>
      </w:r>
      <w:r>
        <w:t xml:space="preserve">, pp. 597–612, 2025.</w:t>
      </w:r>
      <w:r>
        <w:t xml:space="preserve"> </w:t>
      </w:r>
      <w:r>
        <w:t xml:space="preserve">Report P012, study S012. Runtime-sharing evaluation and</w:t>
      </w:r>
      <w:r>
        <w:t xml:space="preserve"> </w:t>
      </w:r>
      <w:r>
        <w:t xml:space="preserve">runtime-isolation deployment are distinguished.</w:t>
      </w:r>
    </w:p>
    <w:p>
      <w:pPr>
        <w:pStyle w:val="BodyText"/>
      </w:pPr>
      <w:r>
        <w:t xml:space="preserve">[23] H. Wu, Y. Yu, J. Deng, S. Ibrahim, S. Wu, H. Fan, Z. Cheng, and H. Jin,</w:t>
      </w:r>
      <w:r>
        <w:t xml:space="preserve"> </w:t>
      </w:r>
      <w:r>
        <w:t xml:space="preserve">“</w:t>
      </w:r>
      <w:r>
        <w:t xml:space="preserve">StreamBox: A Lightweight GPU SandBox for Serverless Inference Workflow</w:t>
      </w:r>
      <w:r>
        <w:t xml:space="preserve">,</w:t>
      </w:r>
      <w:r>
        <w:t xml:space="preserve">”</w:t>
      </w:r>
      <w:r>
        <w:t xml:space="preserve"> </w:t>
      </w:r>
      <w:r>
        <w:t xml:space="preserve">in</w:t>
      </w:r>
      <w:r>
        <w:t xml:space="preserve"> </w:t>
      </w:r>
      <w:r>
        <w:rPr>
          <w:iCs/>
          <w:i/>
        </w:rPr>
        <w:t xml:space="preserve">2024 USENIX Annual Technical Conference (ATC)</w:t>
      </w:r>
      <w:r>
        <w:t xml:space="preserve">, pp. 59–73, 2024.</w:t>
      </w:r>
      <w:r>
        <w:t xml:space="preserve"> </w:t>
      </w:r>
      <w:r>
        <w:t xml:space="preserve">Report P013, study S013. Workflow trust assumptions delimit isolation</w:t>
      </w:r>
      <w:r>
        <w:t xml:space="preserve"> </w:t>
      </w:r>
      <w:r>
        <w:t xml:space="preserve">interpretation.</w:t>
      </w:r>
    </w:p>
    <w:p>
      <w:pPr>
        <w:pStyle w:val="BodyText"/>
      </w:pPr>
      <w:r>
        <w:t xml:space="preserve">[24] S. Zhang, A. Xu, Q. Chen, H. Zhao, W. Cui, Z. Wang, Y. Li, L. Xiao, and M. Guo,</w:t>
      </w:r>
      <w:r>
        <w:t xml:space="preserve"> </w:t>
      </w:r>
      <w:r>
        <w:t xml:space="preserve">“</w:t>
      </w:r>
      <w:r>
        <w:t xml:space="preserve">Efficient Performance-Aware GPU Sharing with Compatibility and Isolation</w:t>
      </w:r>
      <w:r>
        <w:t xml:space="preserve"> </w:t>
      </w:r>
      <w:r>
        <w:t xml:space="preserve">through Kernel Space Interception</w:t>
      </w:r>
      <w:r>
        <w:t xml:space="preserve">,</w:t>
      </w:r>
      <w:r>
        <w:t xml:space="preserve">”</w:t>
      </w:r>
      <w:r>
        <w:t xml:space="preserve"> </w:t>
      </w:r>
      <w:r>
        <w:t xml:space="preserve">in</w:t>
      </w:r>
      <w:r>
        <w:t xml:space="preserve"> </w:t>
      </w:r>
      <w:r>
        <w:rPr>
          <w:iCs/>
          <w:i/>
        </w:rPr>
        <w:t xml:space="preserve">2025 USENIX Annual Technical</w:t>
      </w:r>
      <w:r>
        <w:rPr>
          <w:iCs/>
          <w:i/>
        </w:rPr>
        <w:t xml:space="preserve"> </w:t>
      </w:r>
      <w:r>
        <w:rPr>
          <w:iCs/>
          <w:i/>
        </w:rPr>
        <w:t xml:space="preserve">Conference (ATC)</w:t>
      </w:r>
      <w:r>
        <w:t xml:space="preserve">, pp. 1003–1019, 2025.</w:t>
      </w:r>
      <w:r>
        <w:t xml:space="preserve"> </w:t>
      </w:r>
      <w:r>
        <w:t xml:space="preserve">Report P014, study S014. System name KRYPTON.</w:t>
      </w:r>
    </w:p>
    <w:p>
      <w:pPr>
        <w:pStyle w:val="BodyText"/>
      </w:pPr>
      <w:r>
        <w:t xml:space="preserve">[25] J. Lou</w:t>
      </w:r>
      <w:r>
        <w:t xml:space="preserve"> </w:t>
      </w:r>
      <w:r>
        <w:rPr>
          <w:iCs/>
          <w:i/>
        </w:rPr>
        <w:t xml:space="preserve">et al.</w:t>
      </w:r>
      <w:r>
        <w:t xml:space="preserve">,</w:t>
      </w:r>
      <w:r>
        <w:t xml:space="preserve"> </w:t>
      </w:r>
      <w:r>
        <w:t xml:space="preserve">“</w:t>
      </w:r>
      <w:r>
        <w:t xml:space="preserve">ArkGPU: enabling applications’ high-goodput co-location</w:t>
      </w:r>
      <w:r>
        <w:t xml:space="preserve"> </w:t>
      </w:r>
      <w:r>
        <w:t xml:space="preserve">execution on multitasking GPUs</w:t>
      </w:r>
      <w:r>
        <w:t xml:space="preserve">.</w:t>
      </w:r>
      <w:r>
        <w:t xml:space="preserve">”</w:t>
      </w:r>
      <w:r>
        <w:t xml:space="preserve"> </w:t>
      </w:r>
      <w:r>
        <w:t xml:space="preserve">CCF Transactions on High Performance</w:t>
      </w:r>
      <w:r>
        <w:t xml:space="preserve"> </w:t>
      </w:r>
      <w:r>
        <w:t xml:space="preserve">Computing, 2023.</w:t>
      </w:r>
      <w:r>
        <w:t xml:space="preserve"> </w:t>
      </w:r>
      <w:r>
        <w:t xml:space="preserve">Report P019, study S017. Source:</w:t>
      </w:r>
      <w:r>
        <w:t xml:space="preserve"> </w:t>
      </w:r>
      <w:hyperlink r:id="rId78">
        <w:r>
          <w:rPr>
            <w:rStyle w:val="Hyperlink"/>
          </w:rPr>
          <w:t xml:space="preserve">https://doi.org/10.1007/s42514-023-00154-y</w:t>
        </w:r>
      </w:hyperlink>
      <w:r>
        <w:t xml:space="preserve">.</w:t>
      </w:r>
    </w:p>
    <w:p>
      <w:pPr>
        <w:pStyle w:val="BodyText"/>
      </w:pPr>
      <w:r>
        <w:t xml:space="preserve">[26] W. Zhao, A. Jayarajan, and G. Pekhimenko,</w:t>
      </w:r>
      <w:r>
        <w:t xml:space="preserve"> </w:t>
      </w:r>
      <w:r>
        <w:t xml:space="preserve">“</w:t>
      </w:r>
      <w:r>
        <w:t xml:space="preserve">Tally: Non-Intrusive Performance</w:t>
      </w:r>
      <w:r>
        <w:t xml:space="preserve"> </w:t>
      </w:r>
      <w:r>
        <w:t xml:space="preserve">Isolation for Concurrent Deep Learning Workloads</w:t>
      </w:r>
      <w:r>
        <w:t xml:space="preserve">.</w:t>
      </w:r>
      <w:r>
        <w:t xml:space="preserve">”</w:t>
      </w:r>
      <w:r>
        <w:t xml:space="preserve"> </w:t>
      </w:r>
      <w:r>
        <w:t xml:space="preserve">ACM ASPLOS Volume 1,</w:t>
      </w:r>
      <w:r>
        <w:t xml:space="preserve"> </w:t>
      </w:r>
      <w:r>
        <w:t xml:space="preserve">2025.</w:t>
      </w:r>
      <w:r>
        <w:t xml:space="preserve"> </w:t>
      </w:r>
      <w:r>
        <w:t xml:space="preserve">Report P022, study S020. Source:</w:t>
      </w:r>
      <w:r>
        <w:t xml:space="preserve"> </w:t>
      </w:r>
      <w:hyperlink r:id="rId79">
        <w:r>
          <w:rPr>
            <w:rStyle w:val="Hyperlink"/>
          </w:rPr>
          <w:t xml:space="preserve">https://arxiv.org/pdf/2410.07381v3</w:t>
        </w:r>
      </w:hyperlink>
      <w:r>
        <w:t xml:space="preserve">.</w:t>
      </w:r>
    </w:p>
    <w:p>
      <w:pPr>
        <w:pStyle w:val="BodyText"/>
      </w:pPr>
      <w:r>
        <w:t xml:space="preserve">[27] Y. Peng and H. Peng,</w:t>
      </w:r>
      <w:r>
        <w:t xml:space="preserve"> </w:t>
      </w:r>
      <w:r>
        <w:t xml:space="preserve">“</w:t>
      </w:r>
      <w:r>
        <w:t xml:space="preserve">InferFair: Towards QoS-aware scheduling for performance</w:t>
      </w:r>
      <w:r>
        <w:t xml:space="preserve"> </w:t>
      </w:r>
      <w:r>
        <w:t xml:space="preserve">isolation guarantee in heterogeneous model serving systems</w:t>
      </w:r>
      <w:r>
        <w:t xml:space="preserve">.</w:t>
      </w:r>
      <w:r>
        <w:t xml:space="preserve">”</w:t>
      </w:r>
      <w:r>
        <w:t xml:space="preserve"> </w:t>
      </w:r>
      <w:r>
        <w:t xml:space="preserve">Future</w:t>
      </w:r>
      <w:r>
        <w:t xml:space="preserve"> </w:t>
      </w:r>
      <w:r>
        <w:t xml:space="preserve">Generation Computer Systems, 2024.</w:t>
      </w:r>
      <w:r>
        <w:t xml:space="preserve"> </w:t>
      </w:r>
      <w:r>
        <w:t xml:space="preserve">Report P018, study S016. Source:</w:t>
      </w:r>
      <w:r>
        <w:t xml:space="preserve"> </w:t>
      </w:r>
      <w:hyperlink r:id="rId80">
        <w:r>
          <w:rPr>
            <w:rStyle w:val="Hyperlink"/>
          </w:rPr>
          <w:t xml:space="preserve">https://www.sciencedirect.com/science/article/pii/S0167739X23003187</w:t>
        </w:r>
      </w:hyperlink>
      <w:r>
        <w:t xml:space="preserve">.</w:t>
      </w:r>
    </w:p>
    <w:p>
      <w:pPr>
        <w:pStyle w:val="BodyText"/>
      </w:pPr>
      <w:r>
        <w:t xml:space="preserve">[28] C.-H. Hong, I. Spence, and D. S. Nikolopoulos,</w:t>
      </w:r>
      <w:r>
        <w:t xml:space="preserve"> </w:t>
      </w:r>
      <w:r>
        <w:t xml:space="preserve">“</w:t>
      </w:r>
      <w:r>
        <w:t xml:space="preserve">Gpu virtualization and</w:t>
      </w:r>
      <w:r>
        <w:t xml:space="preserve"> </w:t>
      </w:r>
      <w:r>
        <w:t xml:space="preserve">scheduling methods: A comprehensive survey,</w:t>
      </w:r>
      <w:r>
        <w:t xml:space="preserve">”</w:t>
      </w:r>
      <w:r>
        <w:t xml:space="preserve"> </w:t>
      </w:r>
      <w:r>
        <w:rPr>
          <w:iCs/>
          <w:i/>
        </w:rPr>
        <w:t xml:space="preserve">ACM Computing Surveys</w:t>
      </w:r>
      <w:r>
        <w:t xml:space="preserve">,</w:t>
      </w:r>
      <w:r>
        <w:t xml:space="preserve"> </w:t>
      </w:r>
      <w:r>
        <w:t xml:space="preserve">vol. 50, no. 3, 2017.</w:t>
      </w:r>
      <w:r>
        <w:t xml:space="preserve"> </w:t>
      </w:r>
      <w:r>
        <w:t xml:space="preserve">Article 35.</w:t>
      </w:r>
    </w:p>
    <w:bookmarkEnd w:id="81"/>
    <w:bookmarkStart w:id="97" w:name="app:search"/>
    <w:p>
      <w:pPr>
        <w:pStyle w:val="Heading1"/>
      </w:pPr>
      <w:r>
        <w:t xml:space="preserve">Exact search register</w:t>
      </w:r>
    </w:p>
    <w:p>
      <w:pPr>
        <w:pStyle w:val="FirstParagraph"/>
      </w:pPr>
      <w:r>
        <w:t xml:space="preserve">The following entries are preserved from the supplied workbook. Date precision, provenance and count discrepancies remain as recorded.</w:t>
      </w:r>
    </w:p>
    <w:bookmarkStart w:id="83" w:name="ieee-mps"/>
    <w:p>
      <w:pPr>
        <w:pStyle w:val="Heading2"/>
      </w:pPr>
      <w:r>
        <w:t xml:space="preserve">IEEE-MPS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(MPS OR "multi-process service")</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Files</w:t>
            </w:r>
          </w:p>
        </w:tc>
        <w:tc>
          <w:tcPr/>
          <w:p>
            <w:pPr>
              <w:pStyle w:val="Compact"/>
              <w:keepNext w:val="0"/>
              <w:spacing w:after="80"/>
              <w:jc w:val="left"/>
            </w:pPr>
            <w:hyperlink r:id="rId82">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83"/>
    <w:bookmarkStart w:id="84" w:name="ieee-mig"/>
    <w:p>
      <w:pPr>
        <w:pStyle w:val="Heading2"/>
      </w:pPr>
      <w:r>
        <w:t xml:space="preserve">IEEE-MIG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(MIG OR "multi-instance GPU" OR "GPU partitioning")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Files</w:t>
            </w:r>
          </w:p>
        </w:tc>
        <w:tc>
          <w:tcPr/>
          <w:p>
            <w:pPr>
              <w:pStyle w:val="Compact"/>
              <w:keepNext w:val="0"/>
              <w:spacing w:after="80"/>
              <w:jc w:val="left"/>
            </w:pPr>
            <w:hyperlink r:id="rId82">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84"/>
    <w:bookmarkStart w:id="85" w:name="ieee-temporal"/>
    <w:p>
      <w:pPr>
        <w:pStyle w:val="Heading2"/>
      </w:pPr>
      <w:r>
        <w:t xml:space="preserve">IEEE-TEMPORAL</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Files</w:t>
            </w:r>
          </w:p>
        </w:tc>
        <w:tc>
          <w:tcPr/>
          <w:p>
            <w:pPr>
              <w:pStyle w:val="Compact"/>
              <w:keepNext w:val="0"/>
              <w:spacing w:after="80"/>
              <w:jc w:val="left"/>
            </w:pPr>
            <w:hyperlink r:id="rId82">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85"/>
    <w:bookmarkStart w:id="86" w:name="ieee-api"/>
    <w:p>
      <w:pPr>
        <w:pStyle w:val="Heading2"/>
      </w:pPr>
      <w:r>
        <w:t xml:space="preserve">IEEE-API</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Files</w:t>
            </w:r>
          </w:p>
        </w:tc>
        <w:tc>
          <w:tcPr/>
          <w:p>
            <w:pPr>
              <w:pStyle w:val="Compact"/>
              <w:keepNext w:val="0"/>
              <w:spacing w:after="80"/>
              <w:jc w:val="left"/>
            </w:pPr>
            <w:hyperlink r:id="rId82">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86"/>
    <w:bookmarkStart w:id="87" w:name="spr-master"/>
    <w:p>
      <w:pPr>
        <w:pStyle w:val="Heading2"/>
      </w:pPr>
      <w:r>
        <w:t xml:space="preserve">SPR-MASTER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Springer Nature Link</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 OR MPS OR "multi-process service" OR MIG OR "multi-instance GPU" OR "GPU partitioning" OR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General search/full-text indexed collection</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English; Research article OR Conference paper;2020-2026; manual cutoff</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Files</w:t>
            </w:r>
          </w:p>
        </w:tc>
        <w:tc>
          <w:tcPr/>
          <w:p>
            <w:pPr>
              <w:pStyle w:val="Compact"/>
              <w:keepNext w:val="0"/>
              <w:spacing w:after="80"/>
              <w:jc w:val="left"/>
            </w:pPr>
            <w:hyperlink r:id="rId82">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87"/>
    <w:bookmarkStart w:id="88" w:name="acm-pilot"/>
    <w:p>
      <w:pPr>
        <w:pStyle w:val="Heading2"/>
      </w:pPr>
      <w:r>
        <w:t xml:space="preserve">ACM-PILOT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Blocked pilot; no records imported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AND inference AND MPS</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not_validated</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not_applied</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supplied search export/imported_records.json</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Pilot checkpoint of 11 Oct 2026 (search blocked/unavailable; no import), as in Group A report</w:t>
            </w:r>
          </w:p>
        </w:tc>
      </w:tr>
    </w:tbl>
    <w:bookmarkEnd w:id="88"/>
    <w:bookmarkStart w:id="89" w:name="sd-pilot"/>
    <w:p>
      <w:pPr>
        <w:pStyle w:val="Heading2"/>
      </w:pPr>
      <w:r>
        <w:t xml:space="preserve">SD-PILOT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Blocked pilot; no records imported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AND inference AND MPS</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not_validated</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not_applied</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supplied search export/imported_records.json</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Pilot checkpoint of 11 Oct 2026 (search blocked/unavailable; no import), as in Group A report</w:t>
            </w:r>
          </w:p>
        </w:tc>
      </w:tr>
    </w:tbl>
    <w:bookmarkEnd w:id="89"/>
    <w:bookmarkStart w:id="90" w:name="sup-selected"/>
    <w:p>
      <w:pPr>
        <w:pStyle w:val="Heading2"/>
      </w:pPr>
      <w:r>
        <w:t xml:space="preserve">SUP-SELECTED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Supplementary public web/venue/author lookup</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Named-paper lookups and official venue/author retrieval; see supplementary_discovery.csv</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Public metadata/full texts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Same protocol eligibility</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evidence/imports/group-a/supplementary_discovery.csv</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20</w:t>
            </w:r>
            <w:r>
              <w:rPr>
                <w:sz w:val="24"/>
              </w:rPr>
              <w:t xml:space="preserve"> </w:t>
            </w:r>
            <w:r>
              <w:rPr>
                <w:sz w:val="24"/>
              </w:rPr>
              <w:t xml:space="preserve">selected named-paper records in the preserved source register; this is not an exhaustive web search. Query wording is a reproducible follow-up, not a verbatim historical query.</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Shared original-collector register, retained with its source IDs; no new search claimed.</w:t>
            </w:r>
          </w:p>
        </w:tc>
      </w:tr>
    </w:tbl>
    <w:bookmarkEnd w:id="90"/>
    <w:bookmarkStart w:id="91" w:name="acm-master"/>
    <w:p>
      <w:pPr>
        <w:pStyle w:val="Heading2"/>
      </w:pPr>
      <w:r>
        <w:t xml:space="preserve">ACM-MASTER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reported master query; master and numbered exports not fully mapped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 OR MPS OR "multi-process service" OR MIG OR "multi-instance GPU" OR "GPU partitioning" OR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Fields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22:30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1600</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1603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1829</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evidence/incoming_shared/acm_master/ACM_MASTER_01.bib;evidence/incoming_shared/acm_master/ACM_MASTER_02.bib</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Separate master exports contain 1,829 overlapping occurrences / 1,387 distinct DOI-or-title keys. Reported displayed 1,600 and claimed export 1,603 do not reproduce those bytes. Active contribution is zero; do not assign the 1,582 numbered occurrences to this run without mapping evidence. Source: evidence/incoming_shared/acm_master/reconciliation.json.</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91"/>
    <w:bookmarkStart w:id="92" w:name="sd-temporal"/>
    <w:p>
      <w:pPr>
        <w:pStyle w:val="Heading2"/>
      </w:pPr>
      <w:r>
        <w:t xml:space="preserve">SD-TEMPORAL</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("time slicing" OR "time sharing" OR "context switching")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-2026; supplied URL explicitly includes accessTypes=openaccess (not stated in original filter text).</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23:45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TEMPORAL_01.ris;evidence/incoming_shared/sciencedirect_2026-10-16/SD_TEMPORAL_010.ris;evidence/incoming_shared/sciencedirect_2026-10-16/SD_TEMPORAL_011.ris;evidence/incoming_shared/sciencedirect_2026-10-16/SD_TEMPORAL_02.ris;evidence/incoming_shared/sciencedirect_2026-10-16/SD_TEMPORAL_03.ris;evidence/incoming_shared/sciencedirect_2026-10-16/SD_TEMPORAL_04.ris;evidence/incoming_shared/sciencedirect_2026-10-16/SD_TEMPORAL_05.ris;evidence/incoming_shared/sciencedirect_2026-10-16/SD_TEMPORAL_06.ris;evidence/incoming_shared/sciencedirect_2026-10-16/SD_TEMPORAL_07.ris;evidence/incoming_shared/sciencedirect_2026-10-16/SD_TEMPORAL_08.ris;evidence/incoming_shared/sciencedirect_2026-10-16/SD_TEMPORAL_09.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TEMPORAL URL has openaccess facet omitted from filter text; 1053 parsed agrees with reported count; exact pagination and operator unknown Repository check: standalone evidence/incoming_shared/SD_TEMPORAL_01(1).ris contains 25 records only; it is not the 1053-occurrence full TEMPORAL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92"/>
    <w:bookmarkStart w:id="93" w:name="sd-mps"/>
    <w:p>
      <w:pPr>
        <w:pStyle w:val="Heading2"/>
      </w:pPr>
      <w:r>
        <w:t xml:space="preserve">SD-MPS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(MPS OR "multi-process service")</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23:52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517</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MPS_01.ris;evidence/incoming_shared/sciencedirect_2026-10-16/SD_MPS_02.ris;evidence/incoming_shared/sciencedirect_2026-10-16/SD_MPS_03.ris;evidence/incoming_shared/sciencedirect_2026-10-16/SD_MPS_04.ris;evidence/incoming_shared/sciencedirect_2026-10-16/SD_MPS_05.ris;evidence/incoming_shared/sciencedirect_2026-10-16/SSD_MPS_06.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563</w:t>
            </w:r>
            <w:r>
              <w:rPr>
                <w:sz w:val="24"/>
              </w:rPr>
              <w:t xml:space="preserve"> </w:t>
            </w:r>
            <w:r>
              <w:rPr>
                <w:sz w:val="24"/>
              </w:rPr>
              <w:t xml:space="preserve">parsed versus 517 displayed; export claim 563; operator and exact pagination unknown Repository check: standalone evidence/incoming_shared/SD_MPS_01.ris contains 25 records only; it is not the 563-occurrence full MPS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93"/>
    <w:bookmarkStart w:id="94" w:name="sd-mig"/>
    <w:p>
      <w:pPr>
        <w:pStyle w:val="Heading2"/>
      </w:pPr>
      <w:r>
        <w:t xml:space="preserve">SD-MIG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(MIG OR "multi-instance GPU" OR "GPU partitioning")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23:55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evidence/incoming_shared/sciencedirect_2026-10-16/SD_MIG_01.ris;evidence/incoming_shared/sciencedirect_2026-10-16/SD_MIG_02.ris;evidence/incoming_shared/sciencedirect_2026-10-16/SD_MIG_03.ris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Parsed count agrees with reported count; identity and page completeness unverified; operator unknown Repository check: standalone evidence/incoming_shared/SD_MIG_01.ris contains 25 records only; it is not the 241-occurrence full MIG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94"/>
    <w:bookmarkStart w:id="95" w:name="sd-api"/>
    <w:p>
      <w:pPr>
        <w:pStyle w:val="Heading2"/>
      </w:pPr>
      <w:r>
        <w:t xml:space="preserve">SD-API</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23:56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evidence/incoming_shared/sciencedirect_2026-10-16/SD_API_01.ris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Parsed count agrees with reported count; identity and page completeness unverified; operator unknown Repository check: standalone evidence/incoming_shared/SD_API_01.ris contains 25 records only; it is not the 41-occurrence full API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95"/>
    <w:bookmarkStart w:id="96" w:name="acm-numbered-unmapped"/>
    <w:p>
      <w:pPr>
        <w:pStyle w:val="Heading2"/>
      </w:pPr>
      <w:r>
        <w:t xml:space="preserve">ACM-NUMBERED-UNMAPPED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actual supplied exports; run mapping unknown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1582</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1582</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evidence/imports/acm/*.bib; exact files in import_manifest.csv</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79</w:t>
            </w:r>
            <w:r>
              <w:rPr>
                <w:sz w:val="24"/>
              </w:rPr>
              <w:t xml:space="preserve"> </w:t>
            </w:r>
            <w:r>
              <w:rPr>
                <w:sz w:val="24"/>
              </w:rPr>
              <w:t xml:space="preserve">preserved files contain 1,582 occurrences with hashes in evidence/import_manifest.csv. Filename number 3 is absent; this is not proof of a missing page. Exact query/date/field mapping for these files is not documented. Keep separate from the two overlapping master exports.</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Original user-supplied numbered ACM exports; repository manifest supports count and hashes, not historical run mapping.</w:t>
            </w:r>
          </w:p>
        </w:tc>
      </w:tr>
    </w:tbl>
    <w:bookmarkEnd w:id="96"/>
    <w:bookmarkEnd w:id="97"/>
    <w:bookmarkStart w:id="125" w:name="Xd6efc4c84fca5469b3354d6a7b7e4b8df25d813"/>
    <w:p>
      <w:pPr>
        <w:pStyle w:val="Heading1"/>
      </w:pPr>
      <w:r>
        <w:t xml:space="preserve">Complete study appraisal and extraction cards</w:t>
      </w:r>
    </w:p>
    <w:p>
      <w:pPr>
        <w:pStyle w:val="FirstParagraph"/>
      </w:pPr>
      <w:r>
        <w:t xml:space="preserve">These cards integrate the documented source-review corrections for all 20 included studies. Original forms remain in the frozen baseline. They are an audit appendix; the main text is organized by mechanism and RQ. Scores are not a claim of independent verification.</w:t>
      </w:r>
    </w:p>
    <w:bookmarkStart w:id="98" w:name="s001-p001-vastpipe"/>
    <w:p>
      <w:pPr>
        <w:pStyle w:val="Heading2"/>
      </w:pPr>
      <w:r>
        <w:t xml:space="preserve">S001 / P001 VastPipe</w:t>
      </w:r>
    </w:p>
    <w:p>
      <w:pPr>
        <w:pStyle w:val="FirstParagraph"/>
      </w:pPr>
      <w:r>
        <w:t xml:space="preserve">[15]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adaptive quotas; separate AMD CU-mask stratum</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NVIDIA A100 for MPS; AMD MI100 for CU-mask tests</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 TensorRT serving; AMD TVM/ROCm with hipExtStreamCreateWithCUMask</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CV pairs and BERT/GPT2 mixed model pairs; Poisson-generated request mixes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Two co-located inference model services in reported local model-pair comparisons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Poisson-generated mixed requests in batch-oriented co-location tests. Specific GPU-test arrival rates and latency SLO are not established in the current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No MPS; default MPS without per-service quotas; RL-selected MPS quotas. AMD no/default CU mask separately.</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A100 VGG16+GoogLeNet: throughput 2.7x no MPS and 1.5x default MPS; not a universal average or p99 result. NLP/CV mean 2.43x no MPS, 1.45x default MPS. MI100 mean 1.89x no mask, 1.24x default mask.</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Throughput/interference comparison only; no extracted tail-latency or SLO protection measurement.</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tested in extracted GPU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Offline Q-table generation; plans reused within request windows; source Section 6.9</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Include only local GPU inference evidence, not the main 1000-NPU cluster results. Offline Q-table assumes relatively stable request mix; GPU-specific quotas, repetitions and variance unresolved. Chart bars are not preserved in Markdown. Preliminary ICCD2021 report is linked as a companion-version lead outside the synthesis corpus. GPU-specific throughput only; exact rate,batch and selected quotas remain unresolved. GPU-specific throughput only; exact rate,batch and selected quotas remain unresolved.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3">
              <w:r>
                <w:rPr>
                  <w:rStyle w:val="Hyperlink"/>
                </w:rPr>
                <w:t xml:space="preserve">https://jcst.ict.ac.cn/en/article/pdf/preview/10.1007/s11390-024-3773-5.pdf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Local GPU portability and throughput objective are explicit; NPU cluster results are excluded from this extracted stratum.. PDF pp2,16-17; section6.7</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RL-tuned MPS allocation and MI100 CU-mask backend are described.. PDF pp16-17; sections6.7-6.8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GPU throughput provenance is clear, but GPU-specific repeated-run uncertainty is not established.. PDF pp16-18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A100/TensorRT and MI100/TVM/ROCm are named; exact versions, GPU batch/rate and tuned quotas remain incomplete.. PDF pp16-17</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Same A100 no/default/tuned MPS comparison; default means unspecified respective quotas.. PDF pp16-17; Figure14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2.7</w:t>
            </w:r>
            <w:r>
              <w:rPr>
                <w:sz w:val="24"/>
              </w:rPr>
              <w:t xml:space="preserve">x versus noMPS and1.5x versus defaultMPS are explicit for VGG16+GoogLeNet; not universal averages.. PDF p17 / printed459; Figure14 onp16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online latency claim in the retained local GPU outcomes; NPU results cannot fill this item.. PDF pp16-17; sections6.7-6.8</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Several paired CV/NLP model co-locations are measured.. PDF pp16-17; Figures14-16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Performance sharing is measured; separate security/fault validation is not established. Q9 calibration remains flagged.. PDF pp16-17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Stable-mix Q-table assumption and retuning for changed demand are explicit; GPU replication detail remains incomplete.. PDF p17; section6.9</w:t>
            </w:r>
          </w:p>
        </w:tc>
      </w:tr>
    </w:tbl>
    <w:bookmarkEnd w:id="98"/>
    <w:bookmarkStart w:id="99" w:name="s002-p002-igniter"/>
    <w:p>
      <w:pPr>
        <w:pStyle w:val="Heading2"/>
      </w:pPr>
      <w:r>
        <w:t xml:space="preserve">S002 / P002 iGniter</w:t>
      </w:r>
    </w:p>
    <w:p>
      <w:pPr>
        <w:pStyle w:val="FirstParagraph"/>
      </w:pPr>
      <w:r>
        <w:t xml:space="preserve">[16]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active-thread quotas + interference-aware batch/provisioning and shadow process</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Ten EC2 p3.2xlarge instances,one V100 each,8vCPU/61GB; Triton2.12.0,TensorRT8.0.1.6. MPS active-thread percentage; allocation unit2.5%. Heterogeneous extension adds20 T4 instances.</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 Triton 2.12.0; TensorRT 8.0.1.6; MPS active-thread percentage (recorded hardware/setup evidence).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AlexNet,ResNet50,VGG19(ImageNet),SSD(VOC2012);12 workload/SLO configurations; constant arrivals. Local experiment co-locates four models at25% quota,batch3. p99 provisioning measured over windows e.g.30s; model-validation experiments repeated3 times with SD bars.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Local test co-locates four inference models at 25% MPS quota each, batch 3; separate provisioning experiments use multiple instances.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batch3 for prediction check;W1 SLO10ms for recovery example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FFD+; GSLICE+ with iGniter placement; gpu-lets+ modified batch strategy and best-fit placement. These are adapted baselines.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Local four-model latency prediction error1.53%-5.02%(Fig13). Fig14 deployment: iGniter6 GPUs/0 SLO violations vs gpu-lets+8/3,FFD+5/10,GSLICE+6/3;25% lower hourly instance cost vs gpu-lets+, not25% higher local utilization. Fig17 shows an initial p99 violation before shadow-process recovery.</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Local interference prediction and p99/SLO checks; transient prediction failure explicitly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tested in extracted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Shadow standby consumes capacity/memory; extra provisioning and interference-model costs are discussed. A standalone numerical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Constant arrivals and four vision models limit bursty/LLM transfer. Negligible PCIe contention assumption can underpredict AlexNet; baselines modified. Steady-state/post-correction SLO success is not an unconditional guarantee; shadow standby incurs capacity/memory costs. Chart bars/latency traces unavailable in Markdown.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4">
              <w:r>
                <w:rPr>
                  <w:rStyle w:val="Hyperlink"/>
                </w:rPr>
                <w:t xml:space="preserve">https://prefer-nsf.org/pdf/IEEE%20TPDS%20_%20igniter%202023.pdf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p11 / printed822; Figure13; Final PDF p12 / printed823; Figure17; section5.3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Predictable cost-efficient inference provisioning is the stated objective.. Final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active-thread allocation, placement and shadow-Triton recovery are specified.. Final PDF pp8-10; section4.2</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Model validation repeats three times with SD bars; resource plan and P99 observation windows are described.. Final PDF pp10-12; sections5.2-5.3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V100 instances, four models and batch/arrival settings are given; exact OS/driver coverage remains incomplete.. Final PDF p10; Table3; section5.1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GSLICE+ and gpulets+ are modified; batch/allocation objectives differ and modifications must remain visible.. Final PDF p10; Baselines and Metrics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Cost, allocation and throughput are separately defined; cluster cost is not local GPU throughput.. Final PDF pp10-13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over e.g.30seconds and first-second15.6ms versus10ms SLO, then shadow activation at1.5seconds are explicit.. Final PDF pp11-12; section5.3; Figure17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Four co-located models with25% allocation and batch3 test local interference.. Final PDF p11; Figure13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direct measured performance-interference evaluation within the stated service scope; this does not establish security or fault isolation.. PDF pp8-10; interference/provisioning evaluation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Profiling cost and PCIe/prediction assumptions are disclosed; source code identified in final article.. Final PDF pp11,13-14; sections5.4,6</w:t>
            </w:r>
          </w:p>
        </w:tc>
      </w:tr>
    </w:tbl>
    <w:bookmarkEnd w:id="99"/>
    <w:bookmarkStart w:id="100" w:name="s003-p003-gpulets"/>
    <w:p>
      <w:pPr>
        <w:pStyle w:val="Heading2"/>
      </w:pPr>
      <w:r>
        <w:t xml:space="preserve">S003 / P003 gpulets</w:t>
      </w:r>
    </w:p>
    <w:p>
      <w:pPr>
        <w:pStyle w:val="FirstParagraph"/>
      </w:pPr>
      <w:r>
        <w:t xml:space="preserve">[17]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 temporal</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RTX2080Ti 11GB; two/server; Ubuntu18.04; CUDA10.2; driver440.64; PyTorch1.10</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NVIDIA440.64;CUDA10.2;PyTorch1.10 (p207 Table2)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Nine models; Poisson arrivals; per-model SLO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paired local inferences; system scenarios contain several models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Poisson inter-arrivals; model SLO5-202ms;99% requests within SLO; median of3 runs (pp207-208)</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Adapted SBP/Nexus; best-fit with/without interference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Local gpulets support interference-aware provisioning; cluster throughput is a different outcome.</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Interference-aware provisioning with per-model SLO constraints. Fig. 7 reports 90% of measured model pairs below 17.66% interference overhead; this is an across-pair CDF, not request p90/p99.</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20</w:t>
            </w:r>
            <w:r>
              <w:rPr>
                <w:sz w:val="24"/>
              </w:rPr>
              <w:t xml:space="preserve">-second reorganization interval; overlap new proxy preparation with active serving (p207 Fig11)</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Server-level gains cannot be treated as one-GPU utilization. Pairwise90%threshold describes a distribution across tested model pairs, not P90request latency. Artifact appendix provides a versioned environment. Pairwise90%threshold describes a distribution across tested model pairs, not P90request latency. Artifact appendix provides a versioned environment.</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5">
              <w:r>
                <w:rPr>
                  <w:rStyle w:val="Hyperlink"/>
                </w:rPr>
                <w:t xml:space="preserve">https://www.usenix.org/system/files/atc22-choi-seungbeom.pdf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p6 / printed203; Figure7; section3.4</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SLO-aware spatio-temporal sharing objective is explicit.. PDF pp2-3</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gpulet partitioning, scheduling, interference model and process replacement are described.. PDF pp7-10;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Poisson arrivals and three repetitions with median result are explicit.. PDF pp10-11; section5.1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CPU,RTX2080Ti,OS,driver,CUDA,PyTorch and models are tabulated.. PDF p10; Tables2-3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Ported SBP and greedy best-fit conditions, and why full Nexus is not compared, are explained.. PDF p10;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SLO-preserved throughput is maximum rate with99% requests within SLO; multi-GPU results not substituted for local CDF.. PDF p11; section5.2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17.66</w:t>
            </w:r>
            <w:r>
              <w:rPr>
                <w:sz w:val="24"/>
              </w:rPr>
              <w:t xml:space="preserve">% is the90%-of-scenarios overhead threshold, not requestP90/P99.. PDF p6 / printed203; Figure7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250</w:t>
            </w:r>
            <w:r>
              <w:rPr>
                <w:sz w:val="24"/>
              </w:rPr>
              <w:t xml:space="preserve"> </w:t>
            </w:r>
            <w:r>
              <w:rPr>
                <w:sz w:val="24"/>
              </w:rPr>
              <w:t xml:space="preserve">model/batch combinations across partition ratios test local interference.. PDF p6; section3.4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direct measured interference and allocation-boundary evaluation; no hostile-tenant security guarantee is inferred.. PDF pp3-4,8-12; sections3 and5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appendix provides versioned dependencies, Docker/build/run instructions and limitations; availability/replicability reporting is scored without claiming a local replication. Zenodo 10.5281/zenodo.6544909 and casys-kaist/glet are supplied.. PDF pp17-18; artifact appendix: Ubuntu18.04/kernel4.15, LibTorch1.10, CUDA&gt;=10.2, cuDNN&gt;=7.6, Boost&gt;=1.6, OpenCV&gt;=4, CMake&gt;=3.19</w:t>
            </w:r>
          </w:p>
        </w:tc>
      </w:tr>
    </w:tbl>
    <w:bookmarkEnd w:id="100"/>
    <w:bookmarkStart w:id="101" w:name="s004-p004-pipeswitch"/>
    <w:p>
      <w:pPr>
        <w:pStyle w:val="Heading2"/>
      </w:pPr>
      <w:r>
        <w:t xml:space="preserve">S004 / P004 PipeSwitch</w:t>
      </w:r>
    </w:p>
    <w:p>
      <w:pPr>
        <w:pStyle w:val="FirstParagraph"/>
      </w:pPr>
      <w:r>
        <w:t xml:space="preserve">[11]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context switching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 or T416GB EC2; PyTorch1.3; CUDA10.1</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CUDA10.1;PyTorch1.3.0;torchvision0.4.2;scipy1.3.2;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Training batch32; inference8; RN152/InceptionV3/BERT; 100 runs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training task preempted for one inference task; separable inference latency</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training32;inference8;100-run averages;Fig6 reports minimum/maximum (p508)</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Unoptimized/grouped/per-layer transfer</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Fig7: inference preemption latency reduced by up to 38.2ms.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Priority inference preempts training. Table 3 reports 6.01 ms additional mean latency for ResNet152 on V100 under the recorded workload; not a tail-latency or adversarial isolation bound.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Table3 total extra latency;Table4 first-layer startup overhead;kept separate</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Average switch/inference latency is not p99; multi-VM throughput separate.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Time-sharing and fast context-switching between training/inference tasks are explicit.. PDF p2; abstract</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Pipelined transmission, controller, daemon and active/standby workers are specified.. PDF pp6-11; section4-5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100</w:t>
            </w:r>
            <w:r>
              <w:rPr>
                <w:sz w:val="24"/>
              </w:rPr>
              <w:t xml:space="preserve">-run means and Figure6 min/max are explicitly reported.. PDF p11; Metrics</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V100/T4,PCIe,memory,PyTorch1.3.0 andCUDA10.1 given; exact OS/kernel/driver unresolved.. PDF p11; Setup</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Ready-model baseline, same modified PyTorch and MPS full-memory/unified-memory swapping condition are explicit.. PDF pp11-12; section6.1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Utilization is throughput relative to ready-model upper bound; eight-instance scheduling-cycle result kept distinct from local table.. PDF pp12-13; Figure6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Table3 subtracts ready-model latency; it reports added mean overhead, not total latency or P99.. PDF pp11-12; Table3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Single-GPU training-preempted-by-inference workload has separate inference latency; qualifies under mixed-workload rule.. PDF p11; Workloads and section6.1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Process/memory control is described, but independent hostile-client/fault experiment is not established.. PDF pp8-11</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Stack versions, model registration and checkpoint dependence supplied; full reproduction configuration remains incomplete.. PDF pp10-11; sections5-6</w:t>
            </w:r>
          </w:p>
        </w:tc>
      </w:tr>
    </w:tbl>
    <w:bookmarkEnd w:id="101"/>
    <w:bookmarkStart w:id="102" w:name="s005-p005-reef-conference"/>
    <w:p>
      <w:pPr>
        <w:pStyle w:val="Heading2"/>
      </w:pPr>
      <w:r>
        <w:t xml:space="preserve">S005 / P005 REEF conference</w:t>
      </w:r>
    </w:p>
    <w:p>
      <w:pPr>
        <w:pStyle w:val="FirstParagraph"/>
      </w:pPr>
      <w:r>
        <w:t xml:space="preserve">[9]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Reset-based temporal preemption + dynamic kernel padding; NVIDIA binary instrumentation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Conference: AMD MI50, 16GB, 60 CUs. Journal companion: MI50 16GB and separate NVIDIA GV100 32GB/80 SMs. Version-specific platforms are not a common configuration.</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ROCm4.3.0;ApacheTVM0.8.0;NVIDIA extension CUDA10.2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A-E,uniform RT except Poisson E; closed-loop BE; ResNet152,VGG19,YOLOv3,BERT-base,GPT2 (128 tokens,GPT2 prefill). RT rates50%,100% or10% solo-throughput according to workload; Apollo/SVL trace. Separate LLM case batch1,100 decode tokens,MLC-LLM.</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DISB A/B:1RT+1BE;C:1RT+5BE;D/E:5RT+5BE</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Table2 RT100/220/100/20/20req/s;D uniform,E Poisson;BE closed-loop;</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RT-only; sequential priority; GPU streams. NVIDIA closed-source strata compare priority-enabled Triton/TensorRT and Orion/PyTorch without dynamic padding.</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GV100 PyTorch DISB-C: Orion p99 normalized latency1.17x vs Reef below1.05x; normalized total throughput0.97x vs1.14x(Fig29). TensorRT comparison trades throughput: mean1.21x Triton vs1.11x Reef(Fig28). All ratios retain model-solo normalization; do not mix engines/AMD strata.</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Per-request normalized RT distributions/p99 and separately normalized total throughput; engine/stratum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 by scheduler priority</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Kernel killing/restart is a scheduling mechanism, not adversarial fault containment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Conference REAL workload records RT end-to-end overhead below 2%; individual evidence rows retain workload-specific values. Journal companion comparisons use separate engines and normalization.</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Conference outcomes and original QA remain OSDI 2022 anchored; journal observations are explicitly labelled companion results. Deterministic/stateless kernel assumption; closed-source comparison omits dynamic padding. Sufficient memory and bandwidth assumptions constrain transfer. Both versions map to one study identity. All retained E018-E026 values are conferenceP005/AMD-stratum outcomes. P023 is linked companion context; no journal-only NVIDIA/LLM results are spliced into these rows. All retained E018-E026 values are conferenceP005/AMD-stratum outcomes. P023 is linked companion context; no journal-only NVIDIA/LLM results are spliced into these rows.</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Concurrent RT/BE DNN inference with low latency and work conservation is explicit.. PDF p2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Reset preemption, idempotent re-execution, queues and dynamic kernel padding are described.. PDF pp4-11; sections3-6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DISB scenarios and baseline methods clear; end-to-end repeated-run/variance protocol not established.. PDF pp11-12; sections7.1-7.2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MI50,CPU,16GB host RAM,Ubuntu18.04,ROCm4.3.0,TVM0.8.0 and clients supplied.. PDF p11;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RT-only,SEQ,GPUStreams and extended wait-based preemption conditions are explicit.. PDF pp11-12; sections7.1-7.3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Figure11 throughput includes both RT and BE clients; benchmark/load is retained for each ratio.. PDF p12 / printed549; Figure11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End-to-end RT overhead is stated with offered loads; request percentile for retained headline overheads unresolved.. PDF pp11-12; sections7.1-7.2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Single/multiple RT and BE clients under uniform,Poisson and trace workloads are tested.. PDF pp11-12; Table2</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explicitly defined priority/performance protection and direct latency-interference tests; journal-only NVIDIA results remain separate.. Conference PDF pp2-3,8-11; sections2 and5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Artifact,platform and idempotence constraints disclosed; conference REEF-N is distinct from later journal NVIDIA implementation.. PDF pp10-11,15-16; P023p1</w:t>
            </w:r>
          </w:p>
        </w:tc>
      </w:tr>
    </w:tbl>
    <w:bookmarkEnd w:id="102"/>
    <w:bookmarkStart w:id="103" w:name="X8959279abba5ba92b9e2bf61aa482f412e136ff"/>
    <w:p>
      <w:pPr>
        <w:pStyle w:val="Heading2"/>
      </w:pPr>
      <w:r>
        <w:t xml:space="preserve">S006 / P006 Paella: Low-latency Model Serving with Software-defined GPU Scheduling</w:t>
      </w:r>
    </w:p>
    <w:p>
      <w:pPr>
        <w:pStyle w:val="FirstParagraph"/>
      </w:pPr>
      <w:r>
        <w:t xml:space="preserve">[12]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software scheduling + MPS comparison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TeslaT4; XeonSilver4114/64GB; Linux4.15.0; CUDA11.7; modified TVM0.10</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Linux4.15.0;CUDA11.7;TVM0.10.0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Eight models; lognormal sigma1.5/2; stabilized measurements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Mixed inference; lognormal arrivals sigma1.5/2</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Bursty lognormal arrivals with sigma 1.5/2, eight models; evaluates p99 latency and throughput. A common fixed numerical SLO is not established in the current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CUDA single/multiple streams; MPS; Triton23.03; ablations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p99 latency and throughput under bursty model mixes; Fig12 includes MPS.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Evaluates p99 latency and throughput under mixed inference loads; Fig. 12 includes MPS. This does not establish a universal latency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Compiler/runtime integration: modified TVM and a custom Triton TVM wrapper. A separate numerical integration/dispatch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Custom Triton TVM wrapper; MPS omitted from Fig11; dynamic batching unsupported.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1">
              <w:r>
                <w:rPr>
                  <w:rStyle w:val="Hyperlink"/>
                </w:rPr>
                <w:t xml:space="preserve">https://vincen.tl/files/ng23paella.pdf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p10 / printed604; section7.1; Figure12 onPDFp11; PDF p12 / printed606; section7.3; Figure15</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Fine-grained software scheduling for low-latency inference is explicit..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Instrumented kernel placement/completion notifications,dispatcher and SRPT/deficit policy are described.. PDF pp5-9;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Stabilization before measurement stated; repetitions and uncertainty for headline curve not established.. PDF p10; Methodology</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T4,CPU,RAM,Linux4.15,CUDA11.7,TVM0.10 and model list supplied.. PDF pp9-10;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TritonTVM wrapper,omitted Clockwork curves and MPS process-count restriction require qualifications.. PDF p10; Table3; footnote3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Average throughput versus P99 curves use increasing load until saturation.. PDF pp10-11; Figures11-12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Up-to3x short-job P99 reduction is author-reported;6.6us is instrumentationP90 overhead, not request latency.. PDF pp10-12; Figures12,15</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Mixed short/long jobs and deficit threshold show latency/fairness trade-offs.. PDF pp10-12; Figures12-13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separately appraised resource/security/fault isolation guarantee; retain reasoned N/A.. PDF pp9-12; scheduling and discussion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Compiler modifications,versioned setup,CPU dispatch and dynamic-batching limitations described.. PDF pp9-13; sections7-8</w:t>
            </w:r>
          </w:p>
        </w:tc>
      </w:tr>
    </w:tbl>
    <w:bookmarkEnd w:id="103"/>
    <w:bookmarkStart w:id="104" w:name="X217d0cd9aaec031712517bc6ce97aa8b1ec8f5b"/>
    <w:p>
      <w:pPr>
        <w:pStyle w:val="Heading2"/>
      </w:pPr>
      <w:r>
        <w:t xml:space="preserve">S007 / P007 Orion: Interference-aware, Fine-grained GPU Sharing for ML Applications</w:t>
      </w:r>
    </w:p>
    <w:p>
      <w:pPr>
        <w:pStyle w:val="FirstParagraph"/>
      </w:pPr>
      <w:r>
        <w:t xml:space="preserve">[13]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temporal</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V10016GB/CUDA10.2; A10040GB/CUDA11.3; PyTorch1.12; Python3.9</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PyTorch1.12;Python3.9;CUDA10.2/11.3</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Inference-inference and inference-training; uniform/Poisson; three repeats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High-priority plus best-effort inference;Poisson</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High-priority plus best-effort inference; uniform/Poisson arrivals and three repeats. Model-specific target values are not assessed in the retained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streams; temporal; REEF-N reimplementation</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Interference-aware scheduling compares inference latency and BE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Interference-aware scheduling evaluates high-priority inference latency alongside best-effort throughput against MPS, streams, temporal scheduling and REEF-N.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CUDA interception and scheduling integration; clients in the prototype share a process. A standalone numerical scheduling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Prototype clients share a process; REEF-N differs from AMD REEF. P99effect is source-described about2x; do not claim graph-extracted precision. P99effect is source-described about2x; do not claim graph-extracted precision.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2">
              <w:r>
                <w:rPr>
                  <w:rStyle w:val="Hyperlink"/>
                </w:rPr>
                <w:t xml:space="preserve">https://fotstrt.github.io/files/2024-orion.pdf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Interference-aware fine-grained local GPU sharing is explicit..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CUDA interception,per-client queues,resource profiling and throttling are specified.. PDF pp5-8;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Three experiment repetitions and interpretation of variance bars are specified.. PDF pp8-9,12; sections6.1,6.3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V10016GB/A10040GB,VM,PyTorch1.12,Python3.9,CUDA10.2/11.3 and models supplied.. PDF pp4,8-9; Tables1,3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REEF-N and Tick-Tock are reimplemented; Streams threads and MPS processes differ.. PDF p9; Baselines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7.3</w:t>
            </w:r>
            <w:r>
              <w:rPr>
                <w:sz w:val="24"/>
              </w:rPr>
              <w:t xml:space="preserve">x is aggregate throughput maximum versus GPU dedicated only to high-priority inference.. PDF p12; section6.2.3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Poisson15% and Apollo22% overhead summaries are distinct; Figure12 averages across co-locations.. PDF pp9,12; Figures11-12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Two-client tests and five-clientA100 experiment test interference at identified scales.. PDF pp9,12; sections6.2-6.3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Same-trust-domain assumption explicitly limits isolation; direct performance evidence does not imply security.. PDF p13; Security</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Interception/profiling cost,cache interference and cluster co-design limits are explicit.. PDF p13; sections6.5,7</w:t>
            </w:r>
          </w:p>
        </w:tc>
      </w:tr>
    </w:tbl>
    <w:bookmarkEnd w:id="104"/>
    <w:bookmarkStart w:id="106" w:name="X33e17fe5409ca26e13c2732425d2ee69d947ec3"/>
    <w:p>
      <w:pPr>
        <w:pStyle w:val="Heading2"/>
      </w:pPr>
      <w:r>
        <w:t xml:space="preserve">S008 / P008 GSLICE: Controlled Spatial Sharing of GPUs for a Scalable Inference Platform</w:t>
      </w:r>
    </w:p>
    <w:p>
      <w:pPr>
        <w:pStyle w:val="FirstParagraph"/>
      </w:pPr>
      <w:r>
        <w:t xml:space="preserve">[18]</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adaptive provisioning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One V10016GB; XeonGold6148; kernel4.4.0-150; DPDK19.02; CNTK/PyTorch/TensorRT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Linux4.4.0-150;DPDK19.02;CNTK/PyTorch/TensorRT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Two-four inference functions; VGG case SLO50ms; traffic replay</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Concurrent inference functions;25ms target</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Two to four concurrent inference functions and traffic replay; recorded targets include a 25 ms case and a VGG case with 50 ms SLO. Keep workload-specific targets separate.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Standalone functions; MPS provisioning variants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GUE measures efficiency; shadow instance loading takes about12s in Fig15.</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Adaptive MPS provisioning and measured function latency/efficiency; median-latency results are not a p99 isolation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Shadow-instance loading takes approximately 12 s in Fig. 15; loading time is not steady-state request latency.</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GUE is not GPU busy percentage; median latency not p99; academic mirror.</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05">
              <w:r>
                <w:rPr>
                  <w:rStyle w:val="Hyperlink"/>
                </w:rPr>
                <w:t xml:space="preserve">https://www.cse.iitb.ac.in/approximately</w:t>
              </w:r>
            </w:hyperlink>
            <w:r>
              <w:rPr>
                <w:sz w:val="24"/>
              </w:rPr>
              <w:t xml:space="preserve"> </w:t>
            </w:r>
            <w:r>
              <w:rPr>
                <w:sz w:val="24"/>
              </w:rPr>
              <w:t xml:space="preserve">puru/courses/spring2024-25/downloads/gslice.pdf</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p9; printed p500; Table3; GSLICE PDF p10; printed p501; Table4 and section4.3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 sharing objective explicit.. PDF p1; printed p492; abstract/introduction</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allocation and adaptive batching described.. PDF pp4-8; section3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Confidence intervals shown; repeated-run count not specified for retained results.. PDF p9; printed p500; section4.1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testbed, kernel, frameworks and concurrent models specified.. PDF pp8-9; section4 setup</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TensorRT comparison matches GPU-ready batch execution and states excluded transport costs.. PDF p10; printed p501; section4.3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GUE defined as an efficacy metric; table values are not busy percentages.. PDF p3; printed p494; PDF p9 Table3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Median latency and SLO shown; request-tail quantile not established.. PDF p10; section4.4; Figures12a-12b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Two-to-four-function combinations evaluated.. PDF p9; section4.2; Figure10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boundary evaluated under allocated GPU shares; no adversarial guarantee inferred.. PDF pp5-7,10-11; sections3.2,4.5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sensitivity described; full reproduction package not established in accessed copy.. PDF pp8-13; sections4-6</w:t>
            </w:r>
          </w:p>
        </w:tc>
      </w:tr>
    </w:tbl>
    <w:bookmarkEnd w:id="106"/>
    <w:bookmarkStart w:id="108" w:name="Xfb981f5a1f971016c83e97349ead7e6b1e7fecb"/>
    <w:p>
      <w:pPr>
        <w:pStyle w:val="Heading2"/>
      </w:pPr>
      <w:r>
        <w:t xml:space="preserve">S009 / P009 Serving DNNs like Clockwork: Performance Predictability from the Bottom Up</w:t>
      </w:r>
    </w:p>
    <w:p>
      <w:pPr>
        <w:pStyle w:val="FirstParagraph"/>
      </w:pPr>
      <w:r>
        <w:t xml:space="preserve">[14]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exclusive scheduling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V10032GB; DellR740; worker32cores/768GB; two GPUs/host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TVM v0.7 compiler and custom managed runtime reported (PDF pp4,7-8); exact OS/driver versions not established in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experiment: one GPU; 15 RN50 copies; 16 clients/model; SLO10-500ms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15</w:t>
            </w:r>
            <w:r>
              <w:rPr>
                <w:sz w:val="24"/>
              </w:rPr>
              <w:t xml:space="preserve"> </w:t>
            </w:r>
            <w:r>
              <w:rPr>
                <w:sz w:val="24"/>
              </w:rPr>
              <w:t xml:space="preserve">ResNet50 instances;16 closed-loop clients/model</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One-GPU local experiment: 15 ResNet50 instances, 16 closed-loop clients per model, SLO range 10-500 ms; Fig. 5 reports SLO-compliant goodput.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Clockwork variants; INFaaS on different hardware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Fig5 measures goodput satisfying SLO, rather than raw request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Exclusive temporal scheduling and admission control aim at predictable completion. Goodput counts SLO-compliant requests; no universal cross-workload p99 guarantee is inferred.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Not assessed as a separate numerical overhead in the retained source extract; controller/worker costs and baseline hardware must not be conflated.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Cross-hardware INFaaS comparison is indirect; controller/worker distinction.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07">
              <w:r>
                <w:rPr>
                  <w:rStyle w:val="Hyperlink"/>
                </w:rPr>
                <w:t xml:space="preserve">https://www.usenix.org/system/files/osdi20-gujarati.pdf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Predictable multi-model inference objective and target behavior explicit.. PDF p2; printed p443;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Controller scheduling, worker actions and managed model runtime described.. PDF pp6-10;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Section6.6 reports three scaling repetitions; repeated-run count for retained Figure5 is not specified.. PDF pp10-11,14; sections6.1,6.6</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hardware, TVM v0.7 compiler, model set and client configuration are reported.. PDF pp4,7,10; Table1; sections2,6</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INFaaS uses different EC2 machines; authors restrict that contrast to qualitative interpretation.. PDF p10; printed p451; section6.1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Goodput counts successful requests within their deadline and excludes late requests.. PDF p11; printed p452; section6.1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 range, closed-loop load, latency CDF and batch scheduling explanation are explicit.. PDF pp10-11; Figure5; section6.1</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Concurrent model demand and a protected minor workload tested.. PDF pp10-12; sections6.1-6.3; Figures5-7</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Performance-isolation boundary is measured; dedicated-worker assumptions and security exclusions are explicit.. PDF pp11-12,14-15; sections6.2,7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Runtime, scheduling, model details and limitations support informed implementation appraisal; no local reproduction claimed.. PDF pp7-10,14-15; sections5,7</w:t>
            </w:r>
          </w:p>
        </w:tc>
      </w:tr>
    </w:tbl>
    <w:bookmarkEnd w:id="108"/>
    <w:bookmarkStart w:id="110" w:name="X0dcb9eaed2c65fa7f8daea7555d947dd2f70167"/>
    <w:p>
      <w:pPr>
        <w:pStyle w:val="Heading2"/>
      </w:pPr>
      <w:r>
        <w:t xml:space="preserve">S010 / P010 Colocating ML Inference and Training with Fast GPU Memory Handover (SIRIUS)</w:t>
      </w:r>
    </w:p>
    <w:p>
      <w:pPr>
        <w:pStyle w:val="FirstParagraph"/>
      </w:pPr>
      <w:r>
        <w:t xml:space="preserve">[21]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 MPS memory handover</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 Ubuntu20.04; CUDA11.6; PyTorch2.1.2; TVM0.14; LLM case A10080GB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Python3.10; CUDA11.6; PyTorch2.1.2; TVM0.14;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One GPU; six DNNs/up to56 instances + SWIN training; 300s; Poisson MAF; SLO4x solo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six inference models duplicated round-robin to56 instances; co-located Swin-T training, batch72</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Light/Heavy/Burst/Skewed and compressed Azure Functions traces; 300s runs; SLO=4x standalone inference execution; Tidle5s, watermark1GB</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Reimplemented TaskSwitch; SP50/SP75; UM+MPS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Inference p99/SLO outcomes accompany training progress; separate TTFT/TBT LLM case.</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Inference p99/SLO compliance evaluated alongside best-effort training progress; SLO is four times standalone inference execution in the recorded trace tests.</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Safe memory reclamation/handover is a design property. Adversarial cross-tenant memory isolation is not established by the retained performance evidence.</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Safe memory handover is assessed as runtime correctness; cross-tenant fault containment is not established by the retained evidence.</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memory adjustment/allocation and batch discard evaluated in section6.3;</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TaskSwitch is a reimplementation, not vanilla PipeSwitch.</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09">
              <w:r>
                <w:rPr>
                  <w:rStyle w:val="Hyperlink"/>
                </w:rPr>
                <w:t xml:space="preserve">https://www.usenix.org/system/files/atc25-wang-jiali.pdf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p1666; Figure10 discussion</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Inference-priority co-location objective and training progress goal explicit.. PDF p2; printed p1657; abstract/introduction</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VMM pool, handover, memory mapping and SM allocation described.. PDF pp5-10; sections3-5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distributions and 300-second window specified; repeated-run uncertainty not specified for Figure10.. PDF pp10-11; section6; Figure10</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V100/A100 cases, CPU/RAM, software versions and model/batch table supplied.. PDF pp10-11,14; Table3; sections6,6.6</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TaskSwitch is an adapted implementation; equivalence to unmodified PipeSwitch is not established.. PDF p10; comparing targets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Training samples/second and inference SLO compliance are defined separately.. PDF p11; metrics; Figure10</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arrivals, duration and four-times-solo SLO definition stated.. PDF p11; section6.1</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 plus Swin-T training co-location evaluated on a single GPU.. PDF p11; Figure10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Handover correctness and priority boundary described; direct fault-injection validation not established.. PDF pp6-10; sections4-5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appendix reports availability, functionality and reproduction badges with artifact DOI.. PDF p20; artifact appendix; DOI10.5281/zenodo.15581800</w:t>
            </w:r>
          </w:p>
        </w:tc>
      </w:tr>
    </w:tbl>
    <w:bookmarkEnd w:id="110"/>
    <w:bookmarkStart w:id="112" w:name="X3afe6c2c0ce0b594ab03f4f8a7dd4077d3248bb"/>
    <w:p>
      <w:pPr>
        <w:pStyle w:val="Heading2"/>
      </w:pPr>
      <w:r>
        <w:t xml:space="preserve">S011 / P011 ParvaGPU: Efficient Spatial GPU Sharing for Large-Scale DNN Inference in Cloud Environments</w:t>
      </w:r>
    </w:p>
    <w:p>
      <w:pPr>
        <w:pStyle w:val="FirstParagraph"/>
      </w:pPr>
      <w:r>
        <w:t xml:space="preserve">[1]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MIG + MPS</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A10080GB; Ubuntu20.04; CUDA12.0.1; reported PyTorch1.14.0 needs checking</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CUDA12.0.1; PyTorch1.14.0 as printed in source (unverified version string);</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Eleven models; six scenario mixes; same-model MPS inside MIG</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to three homogeneous MPS processes within a MIG instance; other models can occupy separate segments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extracted example:1-GPC MIG instance; batch4;1/2/3 MPS processes; no tail quantile identified for local latency</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MIG-serving; gpulet and system variants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Fig7 separates internal/external fragmentation; Fig5 counts GPUs.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MIG/MPS configurations evaluated against workload-specific SLOs and GPU usage; local batch-4 latency example does not identify a tail percentile.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MIG partitioning is an architectural boundary; a dedicated adversarial security assessment is not established in the retained extract.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Cross-tenant fault containment is not assessed in the retained source extract; GPU counts and SLO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scheduling/profiling discussed;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Author manuscript; unusual runtime version; GPU count is not occupancy.</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1">
              <w:r>
                <w:rPr>
                  <w:rStyle w:val="Hyperlink"/>
                </w:rPr>
                <w:t xml:space="preserve">https://arxiv.org/pdf/2409.14447</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SLO-constrained inference resource objective explicit.. arXiv v1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MIG/MPS profiling, segment configuration and allocation algorithms described.. arXiv v1 PDF pp4-8; sectionIII</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Profiler and six scenarios specified; repeated-run uncertainty not established.. arXiv v1 PDF pp5,8-10; sectionsIII-C,IV</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A100, Ubuntu and CUDA reported; printed PyTorch1.14.0 string is an unresolved environment ambiguity.. arXiv v1 PDF p8; sectionIV-A</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Local process-count contrast interpretable; fleet baseline variants and manuscript scope constrain comparison.. arXiv v1 PDF pp5,8; sectionsIII-B,IV-A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Local throughput values and metric units given.. arXiv v1 PDF pp4-5; Figure3; sectionIII-B</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Local latency values given without a named tail quantile.. arXiv v1 PDF pp4-5; Figure4; sectionIII-B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One-to-three MPS processes measured inside a MIG segment.. arXiv v1 PDF pp4-5; Figures3-4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MIG/MPS boundary described; no dedicated fault or adversarial experiment established in reviewed manuscript.. arXiv v1 PDF pp2-4,8-10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Algorithms and reconfiguration limitation described; accessed manuscript has no verified final-version equivalence.. arXiv v1 PDF pp5-10; sectionIII-F; source/version record</w:t>
            </w:r>
          </w:p>
        </w:tc>
      </w:tr>
    </w:tbl>
    <w:bookmarkEnd w:id="112"/>
    <w:bookmarkStart w:id="114" w:name="Xd7e431d544d3139b77e2e24546c51889a58d801"/>
    <w:p>
      <w:pPr>
        <w:pStyle w:val="Heading2"/>
      </w:pPr>
      <w:r>
        <w:t xml:space="preserve">S012 / P012 Torpor: GPU-Enabled Serverless Computing for Low-Latency, Resource-Efficient Inference</w:t>
      </w:r>
    </w:p>
    <w:p>
      <w:pPr>
        <w:pStyle w:val="FirstParagraph"/>
      </w:pPr>
      <w:r>
        <w:t xml:space="preserve">[22]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API remoting + temporal swapping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Worker48vCPU/384GB; four V10032GB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PyTorch-based clients replace CUDA libraries; exact OS/driver/CUDA versions not reported in section7 settings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Eight inference models; warm-up; CV80ms/BERT200ms SLO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multiple low-frequency ResNet152 functions share one GPU; sufficient functions to saturate device memory</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10</w:t>
            </w:r>
            <w:r>
              <w:rPr>
                <w:sz w:val="24"/>
              </w:rPr>
              <w:t xml:space="preserve">-80 requests/minute/function; global defaultP98; CV deadline80ms and Bert-qa200ms</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Native; remote GPU; PCIe/NVLink swap</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BERT Table4: native42ms, remote43ms, PCIe swap144ms, NVLink swap45ms.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P98 response-time/SLO results evaluated under low-frequency serverless inference, with CV 80 ms and BERT-QA 200 ms deadlines; remoting and swapping conditions remain separate.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Section4.5 describes shared and isolated GPU runtimes; section7 evaluates runtime sharing, while section8 deployment uses isolation mode. No universal adversarial-security guarantee inferred.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Section4.5 describes restart, migration and persisted-state recovery. Direct fault-injection validation is not established by the retained performance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API redirection, swapping and extra CPU activity evaluated; ResNet152 remoting17ms versus Native25ms, Table4</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p98 tail; busy time is not SM occupancy; node scaling separate.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3">
              <w:r>
                <w:rPr>
                  <w:rStyle w:val="Hyperlink"/>
                </w:rPr>
                <w:t xml:space="preserve">https://www.usenix.org/system/files/atc25-yu.pdf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Figure8 and section7.2; USENIX PDF pp10-11; printed pp605-606; default P98 metrics and section7.2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Low-frequency serverless inference density and latency objectives explicit.. PDF p2; printed p597;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Remoting, swapping, memory manager, scheduler and two runtime modes described.. PDF pp5-9;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rates and warm-up specified; repeated-run uncertainty not specified for retained Figure8.. PDF pp9-11; section7</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Worker and model configuration supplied; exact OS/driver/framework version matrix not specified in setup.. PDF p9; printed p604; settings</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Native and adapted INFless-KA baselines described; CPU execution paths and adaptations affect equality.. PDF pp10-11; sections7.1-7.3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Normalized single-GPU throughput and GPU busy-time definition supplied.. PDF pp10-11; metrics; Figure8</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Default P98, per-function rates and deadlines stated.. PDF pp10-11; metrics; section7.2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Many low-frequency functions share one GPU; node-level results identified separately.. PDF pp10-11; Figure8; section7.2</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Runtime-sharing and runtime-isolation modes plus recovery design stated; dedicated fault-injection evaluation not established.. PDF p7; section4.5; PDF p9 evaluation mode</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mode trade-offs explained; complete public replication recipe not established in paper.. PDF pp7-9,13; sections4.5,6,8</w:t>
            </w:r>
          </w:p>
        </w:tc>
      </w:tr>
    </w:tbl>
    <w:bookmarkEnd w:id="114"/>
    <w:bookmarkStart w:id="116" w:name="X0ec218d004d0f2c8666b86b5debbea3bdd325ae"/>
    <w:p>
      <w:pPr>
        <w:pStyle w:val="Heading2"/>
      </w:pPr>
      <w:r>
        <w:t xml:space="preserve">S013 / P013 StreamBox: A Lightweight GPU SandBox for Serverless Inference Workflow</w:t>
      </w:r>
    </w:p>
    <w:p>
      <w:pPr>
        <w:pStyle w:val="FirstParagraph"/>
      </w:pPr>
      <w:r>
        <w:t xml:space="preserve">[23]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API/runtime sandbox virtualization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Four V10016GB; 28cores/128GB; CUDA10.1; PyTorch1.3; TensorFlow2.12</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PyTorch1.3.0,TensorFlow2.12,CUDA10.1 as reported; driver/OS version not reported in section9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Three concurrent inference workflows/GPU</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concurrent functions within workflow share runtime; separate3/6-user Traffic test on one GPU</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Azure Functions7-day invocation trace; sporadic/periodic/bursty; Traffic SLO200ms; up to3 workflows/runtime contexts per GPU in evaluated setup</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INFless; Astraea; Stream-only</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Table2 evaluates runtime sandbox workflows on shared GPUs.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Concurrent workflow/runtime configurations evaluated with traffic SLO 200 ms and separate 3/6-user tests. This is workload-specific performance evidence.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Runtime sandbox memory separation is discussed; the retained extract does not establish adversarial security.</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Fault-containment behavior is not assessed in the retained source extract; sandbox terminology alone is not a fault test.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API forwarding1-3microseconds;3-5microseconds at48functions; one-time profiling36s and transformation4s, p70</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Sandbox memory separation is not proof of adversarial security.</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5">
              <w:r>
                <w:rPr>
                  <w:rStyle w:val="Hyperlink"/>
                </w:rPr>
                <w:t xml:space="preserve">https://www.usenix.org/system/files/atc24-wu-hao.pdf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p68; section9.1; Figure13; USENIX PDF p13; printed p70; section9.3; Figure18</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Workflow runtime-redundancy and spatial-sharing objective explicit.. PDF p2; printed p59;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API proxy, PTB transformation, stream sharing and memory pool described.. PDF pp5-10; sections3-8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types, ablations and workloads stated; repeated-run uncertainty not specified for Figure13.. PDF pp10-13; section9</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hardware, CPU/RAM, framework versions, CUDA version and workflow descriptions reported.. PDF p10; printed p67; setup;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Warm-up and common optimizations disclosed; adapted baselines and batch/concurrency choices constrain causal attribution.. PDF pp10-11; comparing targets; Figure13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memory metrics and comparator-specific factors explicitly reported.. PDF p11; printed p68; Figures12-13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Traffic SLO and CDF supplied; exact scalar request-tail quantile not supplied for retained throughput result.. PDF p11; Figure14</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Separate three- and six-user single-GPU tests supplied.. PDF p13; section9.4; Figure19</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Mutual trust within workflow is explicit; separate proxies for users are distinguished from untested strong security.. PDF pp5-6,13; sections3-4,9.4,10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Implementation, preparation costs and multi-user limitations sufficiently detailed for informed appraisal.. PDF pp6-10,13; sections4-9</w:t>
            </w:r>
          </w:p>
        </w:tc>
      </w:tr>
    </w:tbl>
    <w:bookmarkEnd w:id="116"/>
    <w:bookmarkStart w:id="118" w:name="X950bc1497336a62ca6cfd0b3f3881673110816d"/>
    <w:p>
      <w:pPr>
        <w:pStyle w:val="Heading2"/>
      </w:pPr>
      <w:r>
        <w:t xml:space="preserve">S014 / P014 Efficient Performance-Aware GPU Sharing with Compatibility and Isolation through Kernel Space Interception (KRYPTON)</w:t>
      </w:r>
    </w:p>
    <w:p>
      <w:pPr>
        <w:pStyle w:val="FirstParagraph"/>
      </w:pPr>
      <w:r>
        <w:t xml:space="preserve">[24]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Kernel API virtualization + hybrid</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A10040GB/RTX4090; Ubuntu20.04; kernel5.15.0-91; driver550.90.07; CUDA12.1; PyTorch2.2.1</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NVIDIA550.90.07;Docker24.0.7;CUDA12.1;Vulkan1.3;PyTorch2.2.1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Inference/training/rendering in separate containers; solo-throughput targets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inference with co-running applications; separate training/rendering results not substituted</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QoS: initial Poisson rate is half solo maximum; shared setting halves the input again and assigns50%time; tokens5/10/20/40/80ms; target original soloP99.</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Temporal; MIG; adapted gpulet</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Inference-specific sharing comparisons; section2.2 tests fault propagation.</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Inference QoS uses solo-p99 targets under Poisson load at half maximum throughput; temporal allocation/token settings and adapted baselines are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Container/kernel interception and partition boundaries are design features. A dedicated adversarial security assessment is not established by the retained extract.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Section 2.2 Fig. 3 examines fault propagation in sharing baselines. This observation is not treated as proof of universal KRYPTON fault containment.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token-length trade-off and4.8MBhost-memory module overhead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Baseline adaptations and workload mix constrain attribution.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7">
              <w:r>
                <w:rPr>
                  <w:rStyle w:val="Hyperlink"/>
                </w:rPr>
                <w:t xml:space="preserve">https://www.usenix.org/system/files/atc25-zhang-shulai.pdf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pp12-13; printed pp1013-1014; section5.5; Figure17; USENIX PDF p13; printed p1014; section5.7</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Compatibility, isolation and performance-control objectives explicit.. PDF p2; printed p1003;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 interception, token control and MIG orchestration explained.. PDF pp5-10; sections3-4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Setup and workloads detailed; repeated-run uncertainty not specified for retained QoS result.. PDF pp10-13;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OS, kernel, driver, runtimes, GPUs and workloads explicitly tabulated.. PDF p10; printed p1011; Tables1-2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Isolation-capable baselines and MIG adaptations described; policy and allocation differences limit equivalence.. PDF pp10-11;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targets are solo-normalized and QoS violation is a request fraction.. PDF pp10,12-13; sections5.1,5.4-5.6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Solo-P99 threshold, Poisson load, subsequent rate halving and token sizes stated.. PDF pp12-13; section5.5; Figure17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Co-running inference relative-error and QoS experiments supplied.. PDF p13; sections5.5-5.6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Baseline fault propagation is tested; design/security argument does not directly establish universal KRYPTON containment.. PDF p4 Figure3; PDF p14 section7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MIG limitation detailed; complete end-to-end replication package not established.. PDF pp10,14; sections4,7</w:t>
            </w:r>
          </w:p>
        </w:tc>
      </w:tr>
    </w:tbl>
    <w:bookmarkEnd w:id="118"/>
    <w:bookmarkStart w:id="119" w:name="Xc442252a02b025deacaabc19917e906907154b1"/>
    <w:p>
      <w:pPr>
        <w:pStyle w:val="Heading2"/>
      </w:pPr>
      <w:r>
        <w:t xml:space="preserve">S015 / P015 XSched: Preemptive Scheduling for Diverse XPUs</w:t>
      </w:r>
    </w:p>
    <w:p>
      <w:pPr>
        <w:pStyle w:val="FirstParagraph"/>
      </w:pPr>
      <w:r>
        <w:t xml:space="preserve">[2]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API interposition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One GV100 inference case; broader XPU experiments separate</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CUDA/Triton and Paella artifact; exact version numbers not reported in extracted case3</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BERT-large clients; HP10req/s; saturated BE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high-priority client at10requests/s;low-priority client continuous on sameGV100</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Triton client rates as above;Paella workload lognormal sigma2.0;K-EDF K16; exact batch sizes not reported in extracted case3</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Triton; Triton+priority; Triton+XSched</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Fig15: relative p99 1.53/1.51/1.07 respectively versus solo.</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Two BERT-large clients on one GV100: Fig. 15 gives relative p99 1.53/1.51/1.07 for Triton/Triton+priority/Triton+XSched versus solo.</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Scheduling API interposition does not establish adversarial memory isolation; security is not assessed in this extracted inference case.</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Cross-tenant fault containment is not assessed in the extracted inference case; device/preemption limitations remain separate.</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10</w:t>
            </w:r>
            <w:r>
              <w:rPr>
                <w:sz w:val="24"/>
              </w:rPr>
              <w:t xml:space="preserve">lines Triton integration and15lines Paella-baseline integration;preemption overhead measured separately</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Data assumed to fit memory; CUDA graphs and undocumented driver limits. XSched GPU Triton case3 is Section8, PDFp14/printed683; NPU/ASIC/FPGA outcomes excluded. XSched GPU Triton case3 is Section8, PDFp14/printed683; NPU/ASIC/FPGA outcomes excluded.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8">
              <w:r>
                <w:rPr>
                  <w:rStyle w:val="Hyperlink"/>
                </w:rPr>
                <w:t xml:space="preserve">https://www.usenix.org/system/files/osdi25-shen-weihang.pdf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Portable preemptive scheduling objective and GPU-serving case are explicit.. PDF pp2-3;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XQueue, XShim and three preemption levels specify the mechanism.. PDF pp4-10; sections3-6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Setup and policies are described; repeated-run uncertainty for Figure15 is not specified.. PDF pp11-14; sections7-8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GV100, BERT-large and client rates are explicit; exact Triton/CUDA versions and batch sizes for case3 remain unresolved.. PDF p14; section8 case3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Same-GPU standalone, native and priority Triton cases use the stated client conditions.. PDF p14; Figure15a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in requests/s and normalized P99 comparisons are distinguished.. PDF p14; Figure15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latency CDF, high-priority 10 requests/s and continuous background load are explicit.. PDF p14; section8 case3; Figure15a</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 BERT-large clients share one GV100 in the retained experiment.. PDF p14; section8 case3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Direct foreground performance-control evidence is delimited; malicious bypass is explicitly a limitation, not a security guarantee.. PDF pp14-15; Figure15a; section9 Untrusted tenants</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instructions, hardware-dependent preemption limits and sufficient-memory assumption are documented.. PDF pp15,23; section9; Artifact Appendix</w:t>
            </w:r>
          </w:p>
        </w:tc>
      </w:tr>
    </w:tbl>
    <w:bookmarkEnd w:id="119"/>
    <w:bookmarkStart w:id="120" w:name="X14179ba7ba6b82c69ae50c05332b4dec708df41"/>
    <w:p>
      <w:pPr>
        <w:pStyle w:val="Heading2"/>
      </w:pPr>
      <w:r>
        <w:t xml:space="preserve">S016 / P018 InferFair: Towards QoS-aware scheduling for performance isolation guarantee in heterogeneous model serving systems</w:t>
      </w:r>
    </w:p>
    <w:p>
      <w:pPr>
        <w:pStyle w:val="FirstParagraph"/>
      </w:pPr>
      <w:r>
        <w:t xml:space="preserve">[27]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SLO-aware scheduling + feedback goodput balancing; MPS comparator</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Dell R740 host; NVIDIA V10032GB; precise CPU,OS,driver/CUDA versions not established.</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Clockwork-based engine and InferFair estimator/feedback scheduling; no local replication claimed.</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Table3 local example: three models R2,R3,R4; evaluated 2/3-model local experiments are separate from 4-GPU61-modelMAF trace.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3</w:t>
            </w:r>
            <w:r>
              <w:rPr>
                <w:sz w:val="24"/>
              </w:rPr>
              <w:t xml:space="preserve">models in retained Table3 example</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600</w:t>
            </w:r>
            <w:r>
              <w:rPr>
                <w:sz w:val="24"/>
              </w:rPr>
              <w:t xml:space="preserve">requests/s total; per-model ratio3:1:2; Poisson arrivals; SLO100ms; scheduler period50ms.</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Clockwork; MPS+Clockwork; EDF, with no-batching comparators explicitly justified.</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524.29</w:t>
            </w:r>
            <w:r>
              <w:rPr>
                <w:sz w:val="24"/>
              </w:rPr>
              <w:t xml:space="preserve">SLO-compliant requests/s versus Clockwork457.24; max/min slowdown unfairness1.05 versus1.50 in Table3row3:1:2.</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Performance fairness measured as maximum/minimum model slowdown (Eq2); value near1 means more equal slowdown.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Security not established by fairness results</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Fault isolation not directly tested</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Online feedback/scheduling and batching costs are qualitative here; a standalone numerical scheduling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Repetition/uncertainty and exact software versions unreported; fairness is not throughput maximization or a hostile-tenant guarantee.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0">
              <w:r>
                <w:rPr>
                  <w:rStyle w:val="Hyperlink"/>
                </w:rPr>
                <w:t xml:space="preserve">https://www.sciencedirect.com/science/article/pii/S0167739X23003187</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fairness for heterogeneous inference models and goodput objectives are explicit.. PDF pp1-2; sections1.1-1.4</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Online solo-run goodput estimator, model-state arrays, temporal scheduling and feedback controller are specified.. PDF pp5-8; section4; Algorithms1-3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Poisson load, sensitivity and trace duration are given; experiment repetitions and uncertainty remain unspecified.. PDF pp8-9; sections5.1-5.4</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DellR740,V10032GB,models,load andSLO are supplied; precise CPU/OS/driver/CUDA/runtime versions remain unreported.. PDF pp2,8-9; Table1; section5</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Clockwork,MPS+Clockwork and EDF conditions are explained; EDF intentionally lacks batching and is interpreted as a policy contrast.. PDF p8;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Goodput is successful requests per second withinSLO; unfairness is max/min solo-to-shared goodput slowdown.. PDF pp2,8-9; Eq1-2; Table3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SLO100ms,interval50ms,Poisson arrivals and saturation beyond1% deadline failures are specified; no numericalP99 latency is inferred.. PDF p9; sections5.2-5.3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 and three-model local co-running experiments are distinguishable from61-model,fourGPU trace replay.. PDF p9; sections5.3-5.4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Performance-isolation boundary is explicitly defined by unequal goodput slowdown and directly tested; no memory/security/fault guarantee is claimed.. PDF p2; Eq1-2; PDF p9; Table3</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Algorithms and memory-management reliance onClockwork are explicit; versioned reproduction setup/artifact detail remains incomplete.. PDF pp5-8,10; section7</w:t>
            </w:r>
          </w:p>
        </w:tc>
      </w:tr>
    </w:tbl>
    <w:bookmarkEnd w:id="120"/>
    <w:bookmarkStart w:id="121" w:name="X471aa22aaa32e872eebbfcc8fe4495b043a4808"/>
    <w:p>
      <w:pPr>
        <w:pStyle w:val="Heading2"/>
      </w:pPr>
      <w:r>
        <w:t xml:space="preserve">S017 / P019 ArkGPU: enabling applications’ high-goodput co-location execution on multitasking GPUs</w:t>
      </w:r>
    </w:p>
    <w:p>
      <w:pPr>
        <w:pStyle w:val="FirstParagraph"/>
      </w:pPr>
      <w:r>
        <w:t xml:space="preserve">[25]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NVML monitoring and admission throttling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CentOS 7.9.2009; NVIDIA driver 460.106.00; CUDA 11.1; cuDNN 7.6.5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Five MLPerf inference LC models (ResNet50, SSD-MobileNet, SSD-ResNet34, DLRM, BERT), each paired locally with six BE training models (30 pairs). Single-stream query size1; p99 QoS threshold twice solo. Separate four-GPU app-mixes are not local occupancy evidence.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latency-critical inference model paired with one best-effort training model locally; five inference by six training models give 30 tested pairs.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MLPerf single-stream, query size 1; inference QoS threshold is twice solo p99. Separate multi-GPU app mixes are not the local test.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(Non-ArkGPU); k8s-native for QPS/utilization; GaiaGPU and adjustment-unit ablation.</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30</w:t>
            </w:r>
            <w:r>
              <w:rPr>
                <w:sz w:val="24"/>
              </w:rPr>
              <w:t xml:space="preserve">tested co-location pairs meet twice-soloP99 deadline; approximately5%QPS regression in low-contention cases is retained.</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p99 tested against twice-solo QoS; average latency, QPS and goodput separately</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 by API interception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Background discussion of MPS faults is not an ArkGPU fault test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Polling/API sleeps can add delay; BE checkpoint/restart incurs costs. Low-contention pairs can lose about 5% QPS; this is a measured effect, not a universal implementation-overhead figure.</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Mixed inference/training qualifies via explicit inference p99/QPS and workload transfer rationale; it does not establish inference-only performance. Polling/API sleeps can add delay; BE checkpoint/restart affects costs. Huge goodput ratios can have near-zero baseline yield. Repetitions/variance and chart coordinates unresolved.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8">
              <w:r>
                <w:rPr>
                  <w:rStyle w:val="Hyperlink"/>
                </w:rPr>
                <w:t xml:space="preserve">https://doi.org/10.1007/s42514-023-00154-y</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p11 / printed p314; section5.2; Figure14 on PDFp12; PDF p12 / printed p315; section5.2; Figure16 on PDFp13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Objective is QoS-preserving inference/training co-location..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NVML monitoring, CUDA API interception, predictor and adjustment are specified.. PDF pp6-11; sections4.1-4.3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Model pairs and measurements are described; repetitions and uncertainty remain unspecified.. PDF pp11-16;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host, CentOS, CUDA and cuDNN plus five inference and six training models are given.. PDF pp4,11; Tables1-3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MPS/k8s comparators and workload pairs are relevant; exact MPS allocation quotas remain unresolved.. PDF pp11-12; section5.2; Figures14-17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QPS, query yield and goodput are distinguished with explicit definitions.. PDF pp12-14; sections5.2-5.3; equations2-3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Single-stream query size1, P99 and twice-solo QoS target are explicit.. PDF pp4,11-12; sections3.4,5.1-5.2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Thirty inference/training pairs and adjustment ablation directly test interference.. PDF pp11-16; Figures14-21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Performance restriction is tested, but stronger cross-context/error claims lack a direct fault/security experiment.. PDF pp2-3,10-11,15-16; sections4.3,5.4</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Prediction/limiter overhead and limitations are discussed; data are on request and artifact/software details remain incomplete.. PDF pp15-16; sections5.5-5.6; data availability</w:t>
            </w:r>
          </w:p>
        </w:tc>
      </w:tr>
    </w:tbl>
    <w:bookmarkEnd w:id="121"/>
    <w:bookmarkStart w:id="122" w:name="X9915151c944565c53bf6b15bf50b16756f66a20"/>
    <w:p>
      <w:pPr>
        <w:pStyle w:val="Heading2"/>
      </w:pPr>
      <w:r>
        <w:t xml:space="preserve">S018 / P020 Dyna-P: placement-aware dynamic partitioning for lightweight applications with modern GPUs</w:t>
      </w:r>
    </w:p>
    <w:p>
      <w:pPr>
        <w:pStyle w:val="FirstParagraph"/>
      </w:pPr>
      <w:r>
        <w:t xml:space="preserve">[19]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MIG dynamic placement/reconfiguration with reconfiguration-last policy</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Two A30s,24GB each; CUDA12.2; driver535.171.04; DCGM3.1.3. Local sections4.2/4.3.1 use one A30. StaCon profiles2g.12gb+1g.6gb+1g.6gb.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 12.2; NVIDIA driver 535.171.04; DCGM 3.1.3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50</w:t>
            </w:r>
            <w:r>
              <w:rPr>
                <w:sz w:val="24"/>
              </w:rPr>
              <w:t xml:space="preserve"> </w:t>
            </w:r>
            <w:r>
              <w:rPr>
                <w:sz w:val="24"/>
              </w:rPr>
              <w:t xml:space="preserve">SLM inference jobs; batch1-64; DistilGPT, Codegen, Flan-T5-Large, Codellama and Phi-1 as labelled in Table2. Local batch sensitivity:10 inference jobs, batches1-8 vs32-64 on one A30. Later160-A100 cluster study is simulation.</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Multiple SLM inference jobs occupy MIG partitions; local batch experiment has 10 jobs on one A30. Separate 50-job and simulated cluster results are distinguished.</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Inference batch sizes 1-64; local sensitivity compares batches 1-8 versus 32-64. JCT/makespan/STP are job metrics, not online request-tail SLO evidence.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Full-GPU sequential baseline; fixed StaCon MIG; pre-profiled MISO adapted to A30; ORACLE with future job/size/time knowledge.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15</w:t>
            </w:r>
            <w:r>
              <w:rPr>
                <w:sz w:val="24"/>
              </w:rPr>
              <w:t xml:space="preserve">%prediction error causes8.09%longer makespan and2additional reconfigurations; Section4.2 local experiment, distinct from Section4.3.2simulation.</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Job completion/makespan/STP and prediction sensitivity; no extracted online p99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Architectural isolation discussed, no adversarial test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OOM observation is not cross-tenant fault containment validation</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Reconfiguration may stop/restart active jobs; reconfiguration-last placement reduces interruption. A reliable numerical overhead fraction is not assessed from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Retain one-GPU inference strata separately from two-GPU aggregate and cluster simulation. JCT/makespan/STP cannot replace request-tail latency or goodput. Reconfiguration can stop/restart active jobs; neither architectural MIG claims nor OOM avoidance prove hostile isolation. Model labels/parameter counts and corrupted overhead fraction require caution.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6">
              <w:r>
                <w:rPr>
                  <w:rStyle w:val="Hyperlink"/>
                </w:rPr>
                <w:t xml:space="preserve">https://doi.org/10.1007/s10586-025-05284-2</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pp13-14; section4.2; Figure12 on PDFp16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Fragmentation, placement and dynamic partitioning objective is explicit..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Partition prediction, BnB scheduling, constraints and reconfiguration-cost model are described.. PDF pp5-11; section3; Algorithms1-3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Workload counts, comparators and metrics are given; repeated-run uncertainty is not established.. PDF pp11-16; section4</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A30 system, driver, CUDA, DCGM, model variants and batch sizes are specified.. PDF pp11-13;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MISO is adapted and ORACLE has prior knowledge; comparisons require those qualifications.. PDF p11; section4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STP is a normalized weighted partition-throughput sum; makespan and JCT are separate.. PDF p11; section4</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Job completion, deadlines and queues are described; online request-tail measurements are not supplied.. PDF pp11-14; sections4.1-4.3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Single-A30 job/batch concurrency tests are distinguishable from the large-cluster simulation.. PDF pp13-16; sections4.2,4.3.1; Figures11-13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MIG placement boundaries are defined but no direct adversarial/fault-containment test is supplied.. PDF pp8-9,13-14; architectural constraints and local evaluation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prediction/reconfiguration limits are disclosed; complete artifact/version details remain unresolved.. PDF pp11,18; sections3.2.5,6.4</w:t>
            </w:r>
          </w:p>
        </w:tc>
      </w:tr>
    </w:tbl>
    <w:bookmarkEnd w:id="122"/>
    <w:bookmarkStart w:id="123" w:name="X57712fcac22dd76d97dee7dd1139d57a5d41cb7"/>
    <w:p>
      <w:pPr>
        <w:pStyle w:val="Heading2"/>
      </w:pPr>
      <w:r>
        <w:t xml:space="preserve">S019 / P021 KRISP: Enabling Kernel-wise RIght-sizing for Spatial Partitioned GPU Inference Servers</w:t>
      </w:r>
    </w:p>
    <w:p>
      <w:pPr>
        <w:pStyle w:val="FirstParagraph"/>
      </w:pPr>
      <w:r>
        <w:t xml:space="preserve">[20]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Spatial partition/API control (AMD)</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AMD MI50 CU-mask emulation for kernel right-sizing; not a deployable NVIDIA MPS measurement.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ROCm 4.5; Ubuntu 18.04; kernel 5.4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One/two/four workers and heterogeneous pairs; batch32; aggregate8/16; eight models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two and four workers; heterogeneous model pairs on one AMD MI50.</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Recorded tests include batch 32 and aggregate batches 8/16; throughput and p95 inference latency are evaluated. A request-rate/SLO target is not established in this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AMD unrestricted concurrency labelled MPSDefault</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Kernel-wise right-sizing evaluates throughput and p95 inference latency.</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Kernel-wise CU right-sizing evaluated through throughput and p95 inference latency. AMD unrestricted concurrency is not NVIDIA MPS.</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The feature is emulated and emulation overhead is subtracted in reported comparisons. Do not interpret adjusted throughput as measured deployable runtime cost.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Feature emulated; overhead subtracted; baseline is not NVIDIA MPS.</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7">
              <w:r>
                <w:rPr>
                  <w:rStyle w:val="Hyperlink"/>
                </w:rPr>
                <w:t xml:space="preserve">https://danielwong.org/files/KRISP-HPCA2023.pdf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Author PDF pp9-11; sectionVI; TableIII and Figure13b</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Kernel-wise spatial right-sizing for concurrent inference is explicit.. PDF p1; abstract; sectionI</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Kernel-scoped partition proposal and emulation through CU masks are described.. PDF pp5-9; sectionsIV-V</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Emulation correction is transparent; repeated-run uncertainty for headline results is not established.. PDF pp9-11; sectionsV-B,VI</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MI50, host, Ubuntu/kernel, ROCm and model/worker/batch settings are supplied.. PDF pp9-10; sectionVI-A; TableIII</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Model-wise policy permits CU overlap beyond prior isolation constraints; these cases are flagged and limit equivalence.. PDF pp9-10; sectionVI-A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RPS normalization and energy-per-inference measurement are defined; adjusted results estimate native support.. PDF pp9-11; sectionsV-B,VI-B</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P95 latency and SLO evaluation are explicit under maximum-load inference.. PDF pp10-11; TablesIII-IV; Figure13b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One, two and four workers plus mixed-model pairs exercise contention.. PDF pp10-12; Figures13-15</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KRISP-I prevents CU overlap and is compared with oversubscribed KRISP-O; this tests a compute-resource/performance boundary only.. PDF pp10-12; KRISP-I/O definitions; Figures13,16</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Emulation calibration, adjusted latency formula and proposed hardware changes permit informed appraisal of implementation limits.. PDF pp7-9; sectionsIV-D,V-B</w:t>
            </w:r>
          </w:p>
        </w:tc>
      </w:tr>
    </w:tbl>
    <w:bookmarkEnd w:id="123"/>
    <w:bookmarkStart w:id="124" w:name="X6ac1ff25c7bc377a7a47425fcbb18e428226380"/>
    <w:p>
      <w:pPr>
        <w:pStyle w:val="Heading2"/>
      </w:pPr>
      <w:r>
        <w:t xml:space="preserve">S020 / P022 Tally: Non-Intrusive Performance Isolation for Concurrent Deep Learning Workloads</w:t>
      </w:r>
    </w:p>
    <w:p>
      <w:pPr>
        <w:pStyle w:val="FirstParagraph"/>
      </w:pPr>
      <w:r>
        <w:t xml:space="preserve">[26]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priority</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A10040GB; Ubuntu20.04; CUDA12.2; PyTorch2.2; ONNX1.17</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ONNXRuntimeGPU1.17.0; inspected arXivv3 copy</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Same-GPU pairs; MAF inference traces; high-priority p99</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High-priority inference and best-effort training workloads share one A100; model/workload combinations remain experiment-specific.</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MAF-derived inference arrival traces; high-priority p99 compared with standalone execution. The retained throughput contrast uses a 10% idle-time condition.</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Time slicing; MPS; priority MPS; TGS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At10%idle-time setting, normalized total system throughput1.19 versus TGS1.65; this is not background-only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Thread-block-level scheduling evaluates high-priority inference p99 alongside best-effort throughput; latency protection is not security or fault isolation.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At 10% idle time normalized throughput is 1.19 for Tally versus 1.65 for TGS; this is a throughput trade-off, not a standalone integration-overhead measurement.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Latency protection sacrifices some BE throughput; author manuscript.</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9">
              <w:r>
                <w:rPr>
                  <w:rStyle w:val="Hyperlink"/>
                </w:rPr>
                <w:t xml:space="preserve">https://arxiv.org/pdf/2410.07381v3</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v3 PDF p10; section5.3; Figure6a on p11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isolation for high-priority inference with best-effort co-tenants is explicit.. arXiv v3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Slicing, preemption, API mediation and profile-guided priority scheduling are described.. arXiv v3 PDF pp5-8; section4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Profiler averages repeated measurements, but end-to-end repetitions and uncertainty remain unspecified.. arXiv v3 PDF pp8-11; sections4.2,5.1-5.3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A100 SXM, host, runtime versions and six training/six inference models are explicit.. arXiv v3 PDF p9; Table2; section5.1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Common workloads, adapted trace, load, hardware and normalized metrics are documented for the four comparison mechanisms.. arXiv v3 PDF pp9-11; sections5.1-5.3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System throughput sums normalized throughput of all concurrent workloads; it is not background throughput alone.. arXiv v3 PDF pp9-10; sections5.1,5.3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latency, 50% end-to-end load and 10%-90% idle-time sensitivity are specified.. arXiv v3 PDF pp9-11; Figures5-6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Inference/training pairs and scaling to multiple inference workloads are evaluated on a shared GPU.. arXiv v3 PDF pp9-11; sections5.2-5.4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and workload-pair tests directly assess performance isolation; no adversarial memory or cross-tenant fault guarantee is inferred.. arXiv v3 PDF pp9-13; sections5-6</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setup, virtualization/kernel-transformation overhead and CUDA cooperative-kernel limitations are documented.. arXiv v3 PDF pp12-14; sections5.7,6; AppendixA</w:t>
            </w:r>
          </w:p>
        </w:tc>
      </w:tr>
    </w:tbl>
    <w:bookmarkEnd w:id="124"/>
    <w:bookmarkEnd w:id="125"/>
    <w:bookmarkStart w:id="179" w:name="app:evidence"/>
    <w:p>
      <w:pPr>
        <w:pStyle w:val="Heading1"/>
      </w:pPr>
      <w:r>
        <w:t xml:space="preserve">Complete outcome register</w:t>
      </w:r>
    </w:p>
    <w:p>
      <w:pPr>
        <w:pStyle w:val="FirstParagraph"/>
      </w:pPr>
      <w:r>
        <w:t xml:space="preserve">Reported observations remain attached to their baseline, hardware, workload and source. Values are preserved as supplied, including ranges, approximate values and maxima.</w:t>
      </w:r>
    </w:p>
    <w:bookmarkStart w:id="126" w:name="e001-p001-throughput-ratio"/>
    <w:p>
      <w:pPr>
        <w:pStyle w:val="Heading2"/>
      </w:pPr>
      <w:r>
        <w:t xml:space="preserve">E001 / P001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MPS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A100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VGG16+GoogLeNet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Batch/rate/quotas unresolved; not tail-latency evidence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3">
              <w:r>
                <w:rPr>
                  <w:rStyle w:val="Hyperlink"/>
                </w:rPr>
                <w:t xml:space="preserve">https://jcst.ict.ac.cn/en/article/pdf/preview/10.1007/s11390-024-3773-5.pdf</w:t>
              </w:r>
            </w:hyperlink>
          </w:p>
        </w:tc>
      </w:tr>
    </w:tbl>
    <w:bookmarkEnd w:id="126"/>
    <w:bookmarkStart w:id="127" w:name="e002-p001-throughput-ratio"/>
    <w:p>
      <w:pPr>
        <w:pStyle w:val="Heading2"/>
      </w:pPr>
      <w:r>
        <w:t xml:space="preserve">E002 / P001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Default MPS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A100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VGG16+GoogLeNet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Same comparison family; not a universal average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3">
              <w:r>
                <w:rPr>
                  <w:rStyle w:val="Hyperlink"/>
                </w:rPr>
                <w:t xml:space="preserve">https://jcst.ict.ac.cn/en/article/pdf/preview/10.1007/s11390-024-3773-5.pdf</w:t>
              </w:r>
            </w:hyperlink>
          </w:p>
        </w:tc>
      </w:tr>
    </w:tbl>
    <w:bookmarkEnd w:id="127"/>
    <w:bookmarkStart w:id="128" w:name="e003-p002-prediction-error-range"/>
    <w:p>
      <w:pPr>
        <w:pStyle w:val="Heading2"/>
      </w:pPr>
      <w:r>
        <w:t xml:space="preserve">E003 / P002 Prediction error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1.53</w:t>
            </w:r>
            <w:r>
              <w:rPr>
                <w:sz w:val="24"/>
              </w:rPr>
              <w:t xml:space="preserve">-5.02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Measured local latency</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AlexNet/ResNet50/VGG19/SSD; batch3</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Prediction accuracy, not utilization or latency speedup</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p11 / printed822; Figure13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4">
              <w:r>
                <w:rPr>
                  <w:rStyle w:val="Hyperlink"/>
                </w:rPr>
                <w:t xml:space="preserve">https://prefer-nsf.org/pdf/IEEE%20TPDS%20_%20igniter%202023.pdf</w:t>
              </w:r>
            </w:hyperlink>
          </w:p>
        </w:tc>
      </w:tr>
    </w:tbl>
    <w:bookmarkEnd w:id="128"/>
    <w:bookmarkStart w:id="129" w:name="e004-p002-initial-p99-latency"/>
    <w:p>
      <w:pPr>
        <w:pStyle w:val="Heading2"/>
      </w:pPr>
      <w:r>
        <w:t xml:space="preserve">E004 / P002 Initial p99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W1 latency SLO10ms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W1 with W5 and W11</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Transient violation precedes recovery; no unconditional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p12 / printed823; Figure17; section5.3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4">
              <w:r>
                <w:rPr>
                  <w:rStyle w:val="Hyperlink"/>
                </w:rPr>
                <w:t xml:space="preserve">https://prefer-nsf.org/pdf/IEEE%20TPDS%20_%20igniter%202023.pdf</w:t>
              </w:r>
            </w:hyperlink>
          </w:p>
        </w:tc>
      </w:tr>
    </w:tbl>
    <w:bookmarkEnd w:id="129"/>
    <w:bookmarkStart w:id="130" w:name="e005-p004-additional-end-to-end-latency"/>
    <w:p>
      <w:pPr>
        <w:pStyle w:val="Heading2"/>
      </w:pPr>
      <w:r>
        <w:t xml:space="preserve">E005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6.01</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 MPS overhead307.02ms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Mean100 runs; overhead, not total latency or p99; MPS uses unified-memory swapping</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0"/>
    <w:bookmarkStart w:id="131" w:name="Xe70accc523086d1723e8737f7935c8dd1310ac4"/>
    <w:p>
      <w:pPr>
        <w:pStyle w:val="Heading2"/>
      </w:pPr>
      <w:r>
        <w:t xml:space="preserve">E006 / P003 Distribution threshold:90% of measured pairs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17.66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overhead below threshold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Solo-running latency</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RTX2080Ti11GB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Paired model inferences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Across-pair CDF, not request-p90/p99; no hostile-memory/fault test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p6 / printed203; Figure7; section3.4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5">
              <w:r>
                <w:rPr>
                  <w:rStyle w:val="Hyperlink"/>
                </w:rPr>
                <w:t xml:space="preserve">https://www.usenix.org/system/files/atc22-choi-seungbeom.pdf</w:t>
              </w:r>
            </w:hyperlink>
          </w:p>
        </w:tc>
      </w:tr>
    </w:tbl>
    <w:bookmarkEnd w:id="131"/>
    <w:bookmarkStart w:id="132" w:name="e007-p004-additional-end-to-end-latency"/>
    <w:p>
      <w:pPr>
        <w:pStyle w:val="Heading2"/>
      </w:pPr>
      <w:r>
        <w:t xml:space="preserve">E007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307.02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2"/>
    <w:bookmarkStart w:id="133" w:name="e008-p004-additional-end-to-end-latency"/>
    <w:p>
      <w:pPr>
        <w:pStyle w:val="Heading2"/>
      </w:pPr>
      <w:r>
        <w:t xml:space="preserve">E008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5.40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3"/>
    <w:bookmarkStart w:id="134" w:name="e009-p004-additional-end-to-end-latency"/>
    <w:p>
      <w:pPr>
        <w:pStyle w:val="Heading2"/>
      </w:pPr>
      <w:r>
        <w:t xml:space="preserve">E009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232.25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4"/>
    <w:bookmarkStart w:id="135" w:name="e010-p004-additional-end-to-end-latency"/>
    <w:p>
      <w:pPr>
        <w:pStyle w:val="Heading2"/>
      </w:pPr>
      <w:r>
        <w:t xml:space="preserve">E010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5"/>
    <w:bookmarkStart w:id="136" w:name="e011-p004-additional-end-to-end-latency"/>
    <w:p>
      <w:pPr>
        <w:pStyle w:val="Heading2"/>
      </w:pPr>
      <w:r>
        <w:t xml:space="preserve">E011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204.52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6"/>
    <w:bookmarkStart w:id="137" w:name="e012-p004-additional-end-to-end-latency"/>
    <w:p>
      <w:pPr>
        <w:pStyle w:val="Heading2"/>
      </w:pPr>
      <w:r>
        <w:t xml:space="preserve">E012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5.57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7"/>
    <w:bookmarkStart w:id="138" w:name="e013-p004-additional-end-to-end-latency"/>
    <w:p>
      <w:pPr>
        <w:pStyle w:val="Heading2"/>
      </w:pPr>
      <w:r>
        <w:t xml:space="preserve">E013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259.20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8"/>
    <w:bookmarkStart w:id="139" w:name="e014-p004-additional-end-to-end-latency"/>
    <w:p>
      <w:pPr>
        <w:pStyle w:val="Heading2"/>
      </w:pPr>
      <w:r>
        <w:t xml:space="preserve">E014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7.66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39"/>
    <w:bookmarkStart w:id="140" w:name="e015-p004-additional-end-to-end-latency"/>
    <w:p>
      <w:pPr>
        <w:pStyle w:val="Heading2"/>
      </w:pPr>
      <w:r>
        <w:t xml:space="preserve">E015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193.05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40"/>
    <w:bookmarkStart w:id="141" w:name="e016-p004-additional-end-to-end-latency"/>
    <w:p>
      <w:pPr>
        <w:pStyle w:val="Heading2"/>
      </w:pPr>
      <w:r>
        <w:t xml:space="preserve">E016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34.56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41"/>
    <w:bookmarkStart w:id="142" w:name="e017-p004-additional-end-to-end-latency"/>
    <w:p>
      <w:pPr>
        <w:pStyle w:val="Heading2"/>
      </w:pPr>
      <w:r>
        <w:t xml:space="preserve">E017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338.25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0">
              <w:r>
                <w:rPr>
                  <w:rStyle w:val="Hyperlink"/>
                </w:rPr>
                <w:t xml:space="preserve">https://www.usenix.org/system/files/osdi20-bai.pdf</w:t>
              </w:r>
            </w:hyperlink>
          </w:p>
        </w:tc>
      </w:tr>
    </w:tbl>
    <w:bookmarkEnd w:id="142"/>
    <w:bookmarkStart w:id="143" w:name="e018-p005-overall-throughput-ratio"/>
    <w:p>
      <w:pPr>
        <w:pStyle w:val="Heading2"/>
      </w:pPr>
      <w:r>
        <w:t xml:space="preserve">E018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1.60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A:1 VGG19 RT client100req/s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Includes RT and BE requests; RT-only reference dedicates GPU to RT tasks.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3"/>
    <w:bookmarkStart w:id="144" w:name="e019-p005-rt-end-to-end-latency-overhead"/>
    <w:p>
      <w:pPr>
        <w:pStyle w:val="Heading2"/>
      </w:pPr>
      <w:r>
        <w:t xml:space="preserve">E019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A:1 VGG19 RT client100req/s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Described as negligible; not a p99 value or worst-case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4"/>
    <w:bookmarkStart w:id="145" w:name="e020-p005-overall-throughput-ratio"/>
    <w:p>
      <w:pPr>
        <w:pStyle w:val="Heading2"/>
      </w:pPr>
      <w:r>
        <w:t xml:space="preserve">E020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1.14</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B:1 VGG19 RT client220req/s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High RT load; differs from low-load DISB A.</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5"/>
    <w:bookmarkStart w:id="146" w:name="e021-p005-rt-end-to-end-latency-overhead"/>
    <w:p>
      <w:pPr>
        <w:pStyle w:val="Heading2"/>
      </w:pPr>
      <w:r>
        <w:t xml:space="preserve">E021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B:1 VGG19 RT client220req/s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About60 microseconds in prose; not a tail percentile.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6"/>
    <w:bookmarkStart w:id="147" w:name="e022-p005-rt-end-to-end-latency-overhead"/>
    <w:p>
      <w:pPr>
        <w:pStyle w:val="Heading2"/>
      </w:pPr>
      <w:r>
        <w:t xml:space="preserve">E022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C-E:multiple BE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Authors also state0.1ms; keep inequality and scenario range.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7"/>
    <w:bookmarkStart w:id="148" w:name="e023-p005-overall-throughput-ratio"/>
    <w:p>
      <w:pPr>
        <w:pStyle w:val="Heading2"/>
      </w:pPr>
      <w:r>
        <w:t xml:space="preserve">E023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D:5 RT model clients20req/s uniform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About25% lower throughput than GPUStreams; latency trade-off preserved.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8"/>
    <w:bookmarkStart w:id="149" w:name="e024-p005-overall-throughput-ratio"/>
    <w:p>
      <w:pPr>
        <w:pStyle w:val="Heading2"/>
      </w:pPr>
      <w:r>
        <w:t xml:space="preserve">E024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2.96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E:5 RT model clients20req/s Poisson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About25% lower throughput than GPUStreams; latency trade-off preserved.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49"/>
    <w:bookmarkStart w:id="150" w:name="e025-p005-overall-throughput-ratio"/>
    <w:p>
      <w:pPr>
        <w:pStyle w:val="Heading2"/>
      </w:pPr>
      <w:r>
        <w:t xml:space="preserve">E025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7.7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Apollo REAL trace about43 RTreq/s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Real-world trace mapped to representative DNN models; not production deployment measurement.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50"/>
    <w:bookmarkStart w:id="151" w:name="e026-p005-rt-end-to-end-latency-overhead"/>
    <w:p>
      <w:pPr>
        <w:pStyle w:val="Heading2"/>
      </w:pPr>
      <w:r>
        <w:t xml:space="preserve">E026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Apollo REAL trace about43 RTreq/s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Not a p99 latency claim or security/fault isolation test.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9">
              <w:r>
                <w:rPr>
                  <w:rStyle w:val="Hyperlink"/>
                </w:rPr>
                <w:t xml:space="preserve">https://www.usenix.org/system/files/osdi22-han.pdf</w:t>
              </w:r>
            </w:hyperlink>
          </w:p>
        </w:tc>
      </w:tr>
    </w:tbl>
    <w:bookmarkEnd w:id="151"/>
    <w:bookmarkStart w:id="152" w:name="e027-p006-resnet18-p99-reduction-factor"/>
    <w:p>
      <w:pPr>
        <w:pStyle w:val="Heading2"/>
      </w:pPr>
      <w:r>
        <w:t xml:space="preserve">E027 / P006 ResNet18 p99 reduction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CUDA-MS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Tesla T4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ResNet18+InceptionV3;lognormal sigma1.5/2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Author-reported approximate maximum; not uniform across loads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p10 / printed604; section7.1; Figure12 onPDFp11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1">
              <w:r>
                <w:rPr>
                  <w:rStyle w:val="Hyperlink"/>
                </w:rPr>
                <w:t xml:space="preserve">https://vincen.tl/files/ng23paella.pdf</w:t>
              </w:r>
            </w:hyperlink>
          </w:p>
        </w:tc>
      </w:tr>
    </w:tbl>
    <w:bookmarkEnd w:id="152"/>
    <w:bookmarkStart w:id="153" w:name="e028-p006-p90-instrumentation-overhead"/>
    <w:p>
      <w:pPr>
        <w:pStyle w:val="Heading2"/>
      </w:pPr>
      <w:r>
        <w:t xml:space="preserve">E028 / P006 p90 instrumentation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microseconds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Uninstrumented kernel</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Tesla T4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Empty kernel;160 blocks;instrumentation with aggregation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Microbenchmark; not inference request latency</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printed606; section7.3; Figure15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1">
              <w:r>
                <w:rPr>
                  <w:rStyle w:val="Hyperlink"/>
                </w:rPr>
                <w:t xml:space="preserve">https://vincen.tl/files/ng23paella.pdf</w:t>
              </w:r>
            </w:hyperlink>
          </w:p>
        </w:tc>
      </w:tr>
    </w:tbl>
    <w:bookmarkEnd w:id="153"/>
    <w:bookmarkStart w:id="154" w:name="e029-p007-aggregate-throughput-ratio"/>
    <w:p>
      <w:pPr>
        <w:pStyle w:val="Heading2"/>
      </w:pPr>
      <w:r>
        <w:t xml:space="preserve">E029 / P007 Aggregate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to7.3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Dedicated high-priority inference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V10016GB;A10040GB extension</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inference clients;Poisson;V100</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Maximum; includes best-effort work</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2">
              <w:r>
                <w:rPr>
                  <w:rStyle w:val="Hyperlink"/>
                </w:rPr>
                <w:t xml:space="preserve">https://fotstrt.github.io/files/2024-orion.pdf</w:t>
              </w:r>
            </w:hyperlink>
          </w:p>
        </w:tc>
      </w:tr>
    </w:tbl>
    <w:bookmarkEnd w:id="154"/>
    <w:bookmarkStart w:id="155" w:name="e030-p007-high-priority-p99-overhead"/>
    <w:p>
      <w:pPr>
        <w:pStyle w:val="Heading2"/>
      </w:pPr>
      <w:r>
        <w:t xml:space="preserve">E030 / P007 High-priority p99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Dedicated high-priority inference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V10016GB;A10040GB extension</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inference clients;Poisson;V100</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Authors summarize within15%; averaged across collocations, not worst-case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2">
              <w:r>
                <w:rPr>
                  <w:rStyle w:val="Hyperlink"/>
                </w:rPr>
                <w:t xml:space="preserve">https://fotstrt.github.io/files/2024-orion.pdf</w:t>
              </w:r>
            </w:hyperlink>
          </w:p>
        </w:tc>
      </w:tr>
    </w:tbl>
    <w:bookmarkEnd w:id="155"/>
    <w:bookmarkStart w:id="156" w:name="e031-p008-gpu-utilization-efficacy-gue"/>
    <w:p>
      <w:pPr>
        <w:pStyle w:val="Heading2"/>
      </w:pPr>
      <w:r>
        <w:t xml:space="preserve">E031 / P008 GPU utilization efficacy GUE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94.04</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composite score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Default MPS GUE38.82</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Alexnet+ResNet50;25ms target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Not percent GPU utilization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p9; printed p500; Table3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05">
              <w:r>
                <w:rPr>
                  <w:rStyle w:val="Hyperlink"/>
                </w:rPr>
                <w:t xml:space="preserve">https://www.cse.iitb.ac.in/approximately</w:t>
              </w:r>
            </w:hyperlink>
            <w:r>
              <w:rPr>
                <w:sz w:val="24"/>
              </w:rPr>
              <w:t xml:space="preserve"> </w:t>
            </w:r>
            <w:r>
              <w:rPr>
                <w:sz w:val="24"/>
              </w:rPr>
              <w:t xml:space="preserve">puru/courses/spring2024-25/downloads/gslice.pdf</w:t>
            </w:r>
          </w:p>
        </w:tc>
      </w:tr>
    </w:tbl>
    <w:bookmarkEnd w:id="156"/>
    <w:bookmarkStart w:id="157" w:name="e032-p008-signed-latency-improvement"/>
    <w:p>
      <w:pPr>
        <w:pStyle w:val="Heading2"/>
      </w:pPr>
      <w:r>
        <w:t xml:space="preserve">E032 / P008 Signed latency improvement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pP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TensorRT server19.02</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ResNet50;batch1;GPU-ready batch execution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Negative means worse latency; excludes transport overhead; single-model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p10; printed p501; Table4 and section4.3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05">
              <w:r>
                <w:rPr>
                  <w:rStyle w:val="Hyperlink"/>
                </w:rPr>
                <w:t xml:space="preserve">https://www.cse.iitb.ac.in/approximately</w:t>
              </w:r>
            </w:hyperlink>
            <w:r>
              <w:rPr>
                <w:sz w:val="24"/>
              </w:rPr>
              <w:t xml:space="preserve"> </w:t>
            </w:r>
            <w:r>
              <w:rPr>
                <w:sz w:val="24"/>
              </w:rPr>
              <w:t xml:space="preserve">puru/courses/spring2024-25/downloads/gslice.pdf</w:t>
            </w:r>
          </w:p>
        </w:tc>
      </w:tr>
    </w:tbl>
    <w:bookmarkEnd w:id="157"/>
    <w:bookmarkStart w:id="159" w:name="e033-p009-clockwork-goodput"/>
    <w:p>
      <w:pPr>
        <w:pStyle w:val="Heading2"/>
      </w:pPr>
      <w:r>
        <w:t xml:space="preserve">E033 / P009 Clockwork goodput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approximately800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requests/second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INFaaS on nonidentical EC2 setup</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V10032GB in section6.1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15</w:t>
            </w:r>
            <w:r>
              <w:rPr>
                <w:sz w:val="24"/>
              </w:rPr>
              <w:t xml:space="preserve"> </w:t>
            </w:r>
            <w:r>
              <w:rPr>
                <w:sz w:val="24"/>
              </w:rPr>
              <w:t xml:space="preserve">ResNet50 instances;16 clients/model;500ms SLO</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Within-SLO successes; comparator qualitative; not total throughput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58">
              <w:r>
                <w:rPr>
                  <w:rStyle w:val="Hyperlink"/>
                </w:rPr>
                <w:t xml:space="preserve">https://people.mpi-sws.org/approximately</w:t>
              </w:r>
            </w:hyperlink>
            <w:r>
              <w:rPr>
                <w:sz w:val="24"/>
              </w:rPr>
              <w:t xml:space="preserve"> </w:t>
            </w:r>
            <w:r>
              <w:rPr>
                <w:sz w:val="24"/>
              </w:rPr>
              <w:t xml:space="preserve">antoinek/documents/20osdi_clockwork.pdf</w:t>
            </w:r>
          </w:p>
        </w:tc>
      </w:tr>
    </w:tbl>
    <w:bookmarkEnd w:id="159"/>
    <w:bookmarkStart w:id="160" w:name="e034-p009-clockwork-request-latency"/>
    <w:p>
      <w:pPr>
        <w:pStyle w:val="Heading2"/>
      </w:pPr>
      <w:r>
        <w:t xml:space="preserve">E034 / P009 Clockwork request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approximately300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milliseconds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comparative ratio</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V10032GB in section6.1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15</w:t>
            </w:r>
            <w:r>
              <w:rPr>
                <w:sz w:val="24"/>
              </w:rPr>
              <w:t xml:space="preserve"> </w:t>
            </w:r>
            <w:r>
              <w:rPr>
                <w:sz w:val="24"/>
              </w:rPr>
              <w:t xml:space="preserve">ResNet50 instances;16 clients/model;500ms SLO</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Batch16 scheduling explanation; not a p99 value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58">
              <w:r>
                <w:rPr>
                  <w:rStyle w:val="Hyperlink"/>
                </w:rPr>
                <w:t xml:space="preserve">https://people.mpi-sws.org/approximately</w:t>
              </w:r>
            </w:hyperlink>
            <w:r>
              <w:rPr>
                <w:sz w:val="24"/>
              </w:rPr>
              <w:t xml:space="preserve"> </w:t>
            </w:r>
            <w:r>
              <w:rPr>
                <w:sz w:val="24"/>
              </w:rPr>
              <w:t xml:space="preserve">antoinek/documents/20osdi_clockwork.pdf</w:t>
            </w:r>
          </w:p>
        </w:tc>
      </w:tr>
    </w:tbl>
    <w:bookmarkEnd w:id="160"/>
    <w:bookmarkStart w:id="161" w:name="X4fa2439e0adfddbc008d90a9398c15a18a51ff2"/>
    <w:p>
      <w:pPr>
        <w:pStyle w:val="Heading2"/>
      </w:pPr>
      <w:r>
        <w:t xml:space="preserve">E035 / P010 Average P99 inference latency improvement factor, as reported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TaskSwitch (authors’ adapted temporal-switch baseline)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Tesla V100 16GB in section6.1; four-V100 host; separate section6.6 single A100 80GB LLM experiment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section6.1 single-V100 DNN inference+Swin-T; Light/Heavy/Burst/Skewed/MAF traces;300s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Author-reported average across tested workloads; not a uniform per-model speedup, and not a comparison to unmodified PipeSwitch.</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p1666; Figure10 discussion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09">
              <w:r>
                <w:rPr>
                  <w:rStyle w:val="Hyperlink"/>
                </w:rPr>
                <w:t xml:space="preserve">https://www.usenix.org/system/files/atc25-wang-jiali.pdf</w:t>
              </w:r>
            </w:hyperlink>
          </w:p>
        </w:tc>
      </w:tr>
    </w:tbl>
    <w:bookmarkEnd w:id="161"/>
    <w:bookmarkStart w:id="162" w:name="e036-p011-reported-throughput"/>
    <w:p>
      <w:pPr>
        <w:pStyle w:val="Heading2"/>
      </w:pPr>
      <w:r>
        <w:t xml:space="preserve">E036 / P011 Reported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446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same configuration with1 process (354requests/s)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A10080GB; Amazon p4de.24xlarge hosts with8 GPUs; extracted profiler point concerns one MIG segment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InceptionV3,1-GPC MIG instance,batch4;3 MPS processes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One local configuration, not fleet savings. Source is arXivv1; final published version not verified.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1">
              <w:r>
                <w:rPr>
                  <w:rStyle w:val="Hyperlink"/>
                </w:rPr>
                <w:t xml:space="preserve">https://arxiv.org/pdf/2409.14447</w:t>
              </w:r>
            </w:hyperlink>
          </w:p>
        </w:tc>
      </w:tr>
    </w:tbl>
    <w:bookmarkEnd w:id="162"/>
    <w:bookmarkStart w:id="163" w:name="X2c3675bcb1698dd93c51c6edb0bc4bbec4f8387"/>
    <w:p>
      <w:pPr>
        <w:pStyle w:val="Heading2"/>
      </w:pPr>
      <w:r>
        <w:t xml:space="preserve">E037 / P011 Reported inference latency; quantile unspecified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same configuration with1 process (11ms)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A10080GB; Amazon p4de.24xlarge hosts with8 GPUs; extracted profiler point concerns one MIG segment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InceptionV3,1-GPC MIG instance,batch4;3 MPS processes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Quantile/arrival model not established for this profiler point; do not label p99. Value is specific to the accessed author manuscript.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1">
              <w:r>
                <w:rPr>
                  <w:rStyle w:val="Hyperlink"/>
                </w:rPr>
                <w:t xml:space="preserve">https://arxiv.org/pdf/2409.14447</w:t>
              </w:r>
            </w:hyperlink>
          </w:p>
        </w:tc>
      </w:tr>
    </w:tbl>
    <w:bookmarkEnd w:id="163"/>
    <w:bookmarkStart w:id="164" w:name="X9595e356a6d05472533ab4c71d7d7578138a1a8"/>
    <w:p>
      <w:pPr>
        <w:pStyle w:val="Heading2"/>
      </w:pPr>
      <w:r>
        <w:t xml:space="preserve">E038 / P012 Reported single-GPU throughput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&gt;10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Native early binding at same offered function rate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V10032GB in local Figure8; evaluation worker has4 V10032GB GPUs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multiple ResNet152 functions on one V10032GB;10requests/minute/function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Lower bound reported by authors, not an exact10x; function count varies to saturate memory. No fleet cost claim.</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Figure8 and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3">
              <w:r>
                <w:rPr>
                  <w:rStyle w:val="Hyperlink"/>
                </w:rPr>
                <w:t xml:space="preserve">https://www.usenix.org/system/files/atc25-yu.pdf</w:t>
              </w:r>
            </w:hyperlink>
          </w:p>
        </w:tc>
      </w:tr>
    </w:tbl>
    <w:bookmarkEnd w:id="164"/>
    <w:bookmarkStart w:id="165" w:name="X09a69b820f26a411c631d99a043c8c89826817e"/>
    <w:p>
      <w:pPr>
        <w:pStyle w:val="Heading2"/>
      </w:pPr>
      <w:r>
        <w:t xml:space="preserve">E039 / P012 Reported P98 latency upper bound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&lt;50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Native under matched request-rate setting</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V10032GB in local Figure8; evaluation worker has4 V10032GB GPUs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 single-GPU low-rate ResNet152 test,10-80requests/minute/function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Bound from text, not a digitized point; default98th percentile from section7 metrics. Applies to this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default P98 metrics and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3">
              <w:r>
                <w:rPr>
                  <w:rStyle w:val="Hyperlink"/>
                </w:rPr>
                <w:t xml:space="preserve">https://www.usenix.org/system/files/atc25-yu.pdf</w:t>
              </w:r>
            </w:hyperlink>
          </w:p>
        </w:tc>
      </w:tr>
    </w:tbl>
    <w:bookmarkEnd w:id="165"/>
    <w:bookmarkStart w:id="166" w:name="X093abfc63a3190437104504396bf3c076983c7a"/>
    <w:p>
      <w:pPr>
        <w:pStyle w:val="Heading2"/>
      </w:pPr>
      <w:r>
        <w:t xml:space="preserve">E040 / P013 Author-reported average throughput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INFless with documented warm-up/pipelined loading/model sharing</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V10016GB,80CUs; host has4 GPUs; single-GPU multi-user test in section9.4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three workflow types,PyTorch/TensorFlow,Azure-derived invocation patterns; evaluated V100 setup</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Aggregate within-paper result across tested workflows; not universal or a matched cross-paper speedup. Batch/concurrency optimizations contribute.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p68; section9.1; Figure13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5">
              <w:r>
                <w:rPr>
                  <w:rStyle w:val="Hyperlink"/>
                </w:rPr>
                <w:t xml:space="preserve">https://www.usenix.org/system/files/atc24-wu-hao.pdf</w:t>
              </w:r>
            </w:hyperlink>
          </w:p>
        </w:tc>
      </w:tr>
    </w:tbl>
    <w:bookmarkEnd w:id="166"/>
    <w:bookmarkStart w:id="167" w:name="X31746c6808916b1d3504d61b0482bfe272bd469"/>
    <w:p>
      <w:pPr>
        <w:pStyle w:val="Heading2"/>
      </w:pPr>
      <w:r>
        <w:t xml:space="preserve">E041 / P013 Reported API-forwarding overhead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w:t>
            </w:r>
            <w:r>
              <w:rPr>
                <w:sz w:val="24"/>
              </w:rPr>
              <w:t xml:space="preserve">-5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microseconds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direct API path; instrumentation overhead measurement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V10016GB,80CUs; host has4 GPUs; single-GPU multi-user test in section9.4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GPU API forwarding with48concurrent functions on one GPU</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Per-API overhead, not end-to-end inference latency; many APIs asynchronous.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p13; printed p70; section9.3; Figure18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5">
              <w:r>
                <w:rPr>
                  <w:rStyle w:val="Hyperlink"/>
                </w:rPr>
                <w:t xml:space="preserve">https://www.usenix.org/system/files/atc24-wu-hao.pdf</w:t>
              </w:r>
            </w:hyperlink>
          </w:p>
        </w:tc>
      </w:tr>
    </w:tbl>
    <w:bookmarkEnd w:id="167"/>
    <w:bookmarkStart w:id="168" w:name="X7e8dcaa8f214037c4649ac582187d7354b81557"/>
    <w:p>
      <w:pPr>
        <w:pStyle w:val="Heading2"/>
      </w:pPr>
      <w:r>
        <w:t xml:space="preserve">E042 / P014 Reported average QoS violation rate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of requests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original soloP99 threshold (1%baseline violations by definition)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A10040GB for local quota/QoS tests; twoRTX4090 used for separate distributed-training test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Transformer-XL inference; batch8/16/32. Original rate is half solo maximum; shared test halves that rate again and assigns 50% time; tokens5-80ms.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Average across tested configurations; no claim that worst-case violation is1.23%. Threshold-relative metric, not latency in milliseconds.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pp12-13; printed pp1013-1014; section5.5; Figure17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7">
              <w:r>
                <w:rPr>
                  <w:rStyle w:val="Hyperlink"/>
                </w:rPr>
                <w:t xml:space="preserve">https://www.usenix.org/system/files/atc25-zhang-shulai.pdf</w:t>
              </w:r>
            </w:hyperlink>
          </w:p>
        </w:tc>
      </w:tr>
    </w:tbl>
    <w:bookmarkEnd w:id="168"/>
    <w:bookmarkStart w:id="169" w:name="Xeed692076041d557a56c738c90dccde8413f491"/>
    <w:p>
      <w:pPr>
        <w:pStyle w:val="Heading2"/>
      </w:pPr>
      <w:r>
        <w:t xml:space="preserve">E043 / P014 Reported kernel module host-memory footprint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4.8</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MB</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module; additional host memory cost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A10040GB for local quota/QoS tests; twoRTX4090 used for separate distributed-training test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kernel-space GPU sharing module on evaluated Linux host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Host memory, not GPU VRAM; separate monitoring thread also required.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p13; printed p1014; section5.7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17">
              <w:r>
                <w:rPr>
                  <w:rStyle w:val="Hyperlink"/>
                </w:rPr>
                <w:t xml:space="preserve">https://www.usenix.org/system/files/atc25-zhang-shulai.pdf</w:t>
              </w:r>
            </w:hyperlink>
          </w:p>
        </w:tc>
      </w:tr>
    </w:tbl>
    <w:bookmarkEnd w:id="169"/>
    <w:bookmarkStart w:id="170" w:name="X3d310b5613c9a7a2083981fe3b7465626b92869"/>
    <w:p>
      <w:pPr>
        <w:pStyle w:val="Heading2"/>
      </w:pPr>
      <w:r>
        <w:t xml:space="preserve">E044 / P015 Reported high-priorityP99 latency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 standalone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standalone high-priorityBert-large execution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GV100 for extracted Triton/Paella case; NPU/ASIC/FPGA results outside extracted GPU outcomes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twoBert-large clients ononeGV100;high-priority10req/s,backgroundcontinuous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Triton+XSched;not a rawmillisecond value. NativeTriton ratio1.53x;noNPUresultincluded.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8">
              <w:r>
                <w:rPr>
                  <w:rStyle w:val="Hyperlink"/>
                </w:rPr>
                <w:t xml:space="preserve">https://www.usenix.org/system/files/osdi25-shen-weihang.pdf</w:t>
              </w:r>
            </w:hyperlink>
          </w:p>
        </w:tc>
      </w:tr>
    </w:tbl>
    <w:bookmarkEnd w:id="170"/>
    <w:bookmarkStart w:id="171" w:name="X151067184d33c0b27ce31c852f46c523678e818"/>
    <w:p>
      <w:pPr>
        <w:pStyle w:val="Heading2"/>
      </w:pPr>
      <w:r>
        <w:t xml:space="preserve">E045 / P015 Author-reported P99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vanillaTriton (P99=1.53xstandalone)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GV100 for extracted Triton/Paella case; NPU/ASIC/FPGA results outside extracted GPU outcomes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 two-clientTriton/GV100case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Within-paper comparison only;author-rounded30.0%,not a universal bound.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68">
              <w:r>
                <w:rPr>
                  <w:rStyle w:val="Hyperlink"/>
                </w:rPr>
                <w:t xml:space="preserve">https://www.usenix.org/system/files/osdi25-shen-weihang.pdf</w:t>
              </w:r>
            </w:hyperlink>
          </w:p>
        </w:tc>
      </w:tr>
    </w:tbl>
    <w:bookmarkEnd w:id="171"/>
    <w:bookmarkStart w:id="172" w:name="e046-p018-slo-compliant-goodput"/>
    <w:p>
      <w:pPr>
        <w:pStyle w:val="Heading2"/>
      </w:pPr>
      <w:r>
        <w:t xml:space="preserve">E046 / P018 SLO-compliant goodput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524.29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Clockwork: 457.24 requests/s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Dell PowerEdgeR740; V10032GB; local synthetic co-running experiment and separate four-GPU realistic trace.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three-model load ratio 3:1:2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Local outcome, not four-GPU replay or p99</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0">
              <w:r>
                <w:rPr>
                  <w:rStyle w:val="Hyperlink"/>
                </w:rPr>
                <w:t xml:space="preserve">https://www.sciencedirect.com/science/article/pii/S0167739X23003187</w:t>
              </w:r>
            </w:hyperlink>
          </w:p>
        </w:tc>
      </w:tr>
    </w:tbl>
    <w:bookmarkEnd w:id="172"/>
    <w:bookmarkStart w:id="173" w:name="e047-p018-unfairness-ratio"/>
    <w:p>
      <w:pPr>
        <w:pStyle w:val="Heading2"/>
      </w:pPr>
      <w:r>
        <w:t xml:space="preserve">E047 / P018 Unfairness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ratio</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Clockwork: 1.50</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Dell PowerEdgeR740; V10032GB; local synthetic co-running experiment and separate four-GPU realistic trace.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three-model load ratio 3:1:2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Maximum/minimum model slowdown; not security isolation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0">
              <w:r>
                <w:rPr>
                  <w:rStyle w:val="Hyperlink"/>
                </w:rPr>
                <w:t xml:space="preserve">https://www.sciencedirect.com/science/article/pii/S0167739X23003187</w:t>
              </w:r>
            </w:hyperlink>
          </w:p>
        </w:tc>
      </w:tr>
    </w:tbl>
    <w:bookmarkEnd w:id="173"/>
    <w:bookmarkStart w:id="174" w:name="Xc181be57780c5d8448567f7a21bb71c4f881ab4"/>
    <w:p>
      <w:pPr>
        <w:pStyle w:val="Heading2"/>
      </w:pPr>
      <w:r>
        <w:t xml:space="preserve">E048 / P019 Pairs meeting twice-solo p99 QoS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tested pairs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 Non-ArkGPU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Five inference models paired with six training models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Count of tested pairs, not a universal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p11 / printed p314; section5.2; Figure14 on PDFp12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8">
              <w:r>
                <w:rPr>
                  <w:rStyle w:val="Hyperlink"/>
                </w:rPr>
                <w:t xml:space="preserve">https://doi.org/10.1007/s42514-023-00154-y</w:t>
              </w:r>
            </w:hyperlink>
          </w:p>
        </w:tc>
      </w:tr>
    </w:tbl>
    <w:bookmarkEnd w:id="174"/>
    <w:bookmarkStart w:id="175" w:name="e049-p019-low-contention-qps-loss"/>
    <w:p>
      <w:pPr>
        <w:pStyle w:val="Heading2"/>
      </w:pPr>
      <w:r>
        <w:t xml:space="preserve">E049 / P019 Low-contention QPS loss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about 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Unthrottled co-location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Low-contention tested pair settings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Regression retained; larger system-level goodput gains are not one-GPU results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 p315; section5.2; Figure16 on PDFp13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8">
              <w:r>
                <w:rPr>
                  <w:rStyle w:val="Hyperlink"/>
                </w:rPr>
                <w:t xml:space="preserve">https://doi.org/10.1007/s42514-023-00154-y</w:t>
              </w:r>
            </w:hyperlink>
          </w:p>
        </w:tc>
      </w:tr>
    </w:tbl>
    <w:bookmarkEnd w:id="175"/>
    <w:bookmarkStart w:id="176" w:name="X9f9b83379febdac0a58b9f68b59770854bbffc8"/>
    <w:p>
      <w:pPr>
        <w:pStyle w:val="Heading2"/>
      </w:pPr>
      <w:r>
        <w:t xml:space="preserve">E050 / P020 Effect of 15 percent prediction perturbation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8.09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makespan increase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Unperturbed predictor</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Two A30s,24GB each; CUDA12.2; driver535.171.04; DCGM3.1.3. Local sections4.2/4.3.1 use one A30. StaCon profiles2g.12gb+1g.6gb+1g.6gb.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Reported prediction sensitivity</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Sensitivity result; local JCT and cluster simulation are separate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pp13-14; section4.2; Figure12 on PDFp16</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6">
              <w:r>
                <w:rPr>
                  <w:rStyle w:val="Hyperlink"/>
                </w:rPr>
                <w:t xml:space="preserve">https://doi.org/10.1007/s10586-025-05284-2</w:t>
              </w:r>
            </w:hyperlink>
          </w:p>
        </w:tc>
      </w:tr>
    </w:tbl>
    <w:bookmarkEnd w:id="176"/>
    <w:bookmarkStart w:id="177" w:name="e051-p021-evaluated-latency-statistic"/>
    <w:p>
      <w:pPr>
        <w:pStyle w:val="Heading2"/>
      </w:pPr>
      <w:r>
        <w:t xml:space="preserve">E051 / P021 Evaluated latency statistic</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percentile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AMD unrestricted concurrency labelled MPSDefault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MI50/60CUs; dualEPYC7302/512GB; Ubuntu18.04; kernel5.4; ROCm4.5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 workers and heterogeneous pairs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Statistic definition, not a 95-percent latency improvement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Author PDF pp9-11; sectionVI; TableIII and Figure13b</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7">
              <w:r>
                <w:rPr>
                  <w:rStyle w:val="Hyperlink"/>
                </w:rPr>
                <w:t xml:space="preserve">https://danielwong.org/files/KRISP-HPCA2023.pdf</w:t>
              </w:r>
            </w:hyperlink>
          </w:p>
        </w:tc>
      </w:tr>
    </w:tbl>
    <w:bookmarkEnd w:id="177"/>
    <w:bookmarkStart w:id="178" w:name="X17422c031c94ec7d5f4c1542b023da2fbd9ece6"/>
    <w:p>
      <w:pPr>
        <w:pStyle w:val="Heading2"/>
      </w:pPr>
      <w:r>
        <w:t xml:space="preserve">E052 / P022 Normalized total system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ratio</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TGS: 1.65</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Shared A100 SXM 40GB; eight-GPU EC2 p4d host inventory is not an eight-GPU outcome; Ubuntu20.04/CUDA12.2/PyTorch2.2.0/ONNX Runtime GPU1.17.0/Hidet0.3.0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Ten percent idle-time setting</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Sum of normalized throughput of all concurrent workloads: Tally1.19 versus TGS1.65 at10% idle time. Not background throughput alone.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v3 PDF p10; section5.3; Figure6a on p11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79">
              <w:r>
                <w:rPr>
                  <w:rStyle w:val="Hyperlink"/>
                </w:rPr>
                <w:t xml:space="preserve">https://arxiv.org/pdf/2410.07381v3</w:t>
              </w:r>
            </w:hyperlink>
          </w:p>
        </w:tc>
      </w:tr>
    </w:tbl>
    <w:bookmarkEnd w:id="178"/>
    <w:bookmarkEnd w:id="179"/>
    <w:bookmarkStart w:id="180" w:name="calculated-quantities"/>
    <w:p>
      <w:pPr>
        <w:pStyle w:val="Heading1"/>
      </w:pPr>
      <w:r>
        <w:t xml:space="preserve">Calculated quantities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Calculation</w:t>
            </w:r>
          </w:p>
        </w:tc>
        <w:tc>
          <w:tcPr>
            <w:shd w:fill="E8EDF2"/>
          </w:tcPr>
          <w:p>
            <w:pPr>
              <w:pStyle w:val="Compact"/>
              <w:keepNext w:val="0"/>
              <w:spacing w:after="80"/>
              <w:jc w:val="left"/>
            </w:pPr>
            <w:r>
              <w:rPr>
                <w:bCs/>
                <w:b/>
                <w:sz w:val="24"/>
              </w:rPr>
              <w:t xml:space="preserve">Formula and input</w:t>
            </w:r>
          </w:p>
        </w:tc>
        <w:tc>
          <w:tcPr>
            <w:shd w:fill="E8EDF2"/>
          </w:tcPr>
          <w:p>
            <w:pPr>
              <w:pStyle w:val="Compact"/>
              <w:keepNext w:val="0"/>
              <w:spacing w:after="80"/>
              <w:jc w:val="left"/>
            </w:pPr>
            <w:r>
              <w:rPr>
                <w:bCs/>
                <w:b/>
                <w:sz w:val="24"/>
              </w:rPr>
              <w:t xml:space="preserve">Value / limit</w:t>
            </w:r>
          </w:p>
        </w:tc>
      </w:tr>
      <w:tr>
        <w:tc>
          <w:tcPr/>
          <w:p>
            <w:pPr>
              <w:pStyle w:val="Compact"/>
              <w:keepNext w:val="0"/>
              <w:spacing w:after="80"/>
              <w:jc w:val="left"/>
            </w:pPr>
            <w:r>
              <w:rPr>
                <w:sz w:val="24"/>
              </w:rPr>
              <w:t xml:space="preserve">C001 P011</w:t>
            </w:r>
          </w:p>
        </w:tc>
        <w:tc>
          <w:tcPr/>
          <w:p>
            <w:pPr>
              <w:pStyle w:val="Compact"/>
              <w:keepNext w:val="0"/>
              <w:spacing w:after="80"/>
              <w:jc w:val="left"/>
            </w:pPr>
            <w:r>
              <w:rPr>
                <w:sz w:val="24"/>
              </w:rPr>
              <w:t xml:space="preserve">(446/354-1)*100: 446requests/s at3processes;354requests/s at1process;InceptionV3,1-GPC,batch4</w:t>
            </w:r>
          </w:p>
        </w:tc>
        <w:tc>
          <w:tcPr/>
          <w:p>
            <w:pPr>
              <w:pStyle w:val="Compact"/>
              <w:keepNext w:val="0"/>
              <w:spacing w:after="80"/>
              <w:jc w:val="left"/>
            </w:pPr>
            <w:r>
              <w:rPr>
                <w:sz w:val="24"/>
              </w:rPr>
              <w:t xml:space="preserve">25.988700564971758</w:t>
            </w:r>
            <w:r>
              <w:rPr>
                <w:sz w:val="24"/>
              </w:rPr>
              <w:t xml:space="preserve"> </w:t>
            </w:r>
            <w:r>
              <w:rPr>
                <w:sz w:val="24"/>
              </w:rPr>
              <w:t xml:space="preserve">percent. calculated,not reported;based on accessed author manuscript</w:t>
            </w:r>
          </w:p>
        </w:tc>
      </w:tr>
      <w:tr>
        <w:tc>
          <w:tcPr/>
          <w:p>
            <w:pPr>
              <w:pStyle w:val="Compact"/>
              <w:keepNext w:val="0"/>
              <w:spacing w:after="80"/>
              <w:jc w:val="left"/>
            </w:pPr>
            <w:r>
              <w:rPr>
                <w:sz w:val="24"/>
              </w:rPr>
              <w:t xml:space="preserve">C002 P011</w:t>
            </w:r>
          </w:p>
        </w:tc>
        <w:tc>
          <w:tcPr/>
          <w:p>
            <w:pPr>
              <w:pStyle w:val="Compact"/>
              <w:keepNext w:val="0"/>
              <w:spacing w:after="80"/>
              <w:jc w:val="left"/>
            </w:pPr>
            <w:r>
              <w:rPr>
                <w:sz w:val="24"/>
              </w:rPr>
              <w:t xml:space="preserve">27</w:t>
            </w:r>
            <w:r>
              <w:rPr>
                <w:sz w:val="24"/>
              </w:rPr>
              <w:t xml:space="preserve">/11: 27ms at3processes;11ms at1process;same1-GPC/batch4configuration</w:t>
            </w:r>
          </w:p>
        </w:tc>
        <w:tc>
          <w:tcPr/>
          <w:p>
            <w:pPr>
              <w:pStyle w:val="Compact"/>
              <w:keepNext w:val="0"/>
              <w:spacing w:after="80"/>
              <w:jc w:val="left"/>
            </w:pPr>
            <w:r>
              <w:rPr>
                <w:sz w:val="24"/>
              </w:rPr>
              <w:t xml:space="preserve">2.4545454545454546</w:t>
            </w:r>
            <w:r>
              <w:rPr>
                <w:sz w:val="24"/>
              </w:rPr>
              <w:t xml:space="preserve"> </w:t>
            </w:r>
            <w:r>
              <w:rPr>
                <w:sz w:val="24"/>
              </w:rPr>
              <w:t xml:space="preserve">x. calculated,not reported;quantile unspecified;based on accessed author manuscript</w:t>
            </w:r>
          </w:p>
        </w:tc>
      </w:tr>
    </w:tbl>
    <w:bookmarkEnd w:id="180"/>
    <w:bookmarkStart w:id="181" w:name="guideline-deliverable-crosswalk"/>
    <w:p>
      <w:pPr>
        <w:pStyle w:val="Heading1"/>
      </w:pPr>
      <w:r>
        <w:t xml:space="preserve">Guideline deliverable crosswalk</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shd w:fill="E8EDF2"/>
          </w:tcPr>
          <w:p>
            <w:pPr>
              <w:pStyle w:val="Compact"/>
              <w:keepNext w:val="0"/>
              <w:spacing w:after="80"/>
              <w:jc w:val="left"/>
            </w:pPr>
            <w:r>
              <w:rPr>
                <w:bCs/>
                <w:b/>
                <w:sz w:val="24"/>
              </w:rPr>
              <w:t xml:space="preserve">Item</w:t>
            </w:r>
          </w:p>
        </w:tc>
        <w:tc>
          <w:tcPr>
            <w:shd w:fill="E8EDF2"/>
          </w:tcPr>
          <w:p>
            <w:pPr>
              <w:pStyle w:val="Compact"/>
              <w:keepNext w:val="0"/>
              <w:spacing w:after="80"/>
              <w:jc w:val="left"/>
            </w:pPr>
            <w:r>
              <w:rPr>
                <w:bCs/>
                <w:b/>
                <w:sz w:val="24"/>
              </w:rPr>
              <w:t xml:space="preserve">Requirement</w:t>
            </w:r>
          </w:p>
        </w:tc>
        <w:tc>
          <w:tcPr>
            <w:shd w:fill="E8EDF2"/>
          </w:tcPr>
          <w:p>
            <w:pPr>
              <w:pStyle w:val="Compact"/>
              <w:keepNext w:val="0"/>
              <w:spacing w:after="80"/>
              <w:jc w:val="left"/>
            </w:pPr>
            <w:r>
              <w:rPr>
                <w:bCs/>
                <w:b/>
                <w:sz w:val="24"/>
              </w:rPr>
              <w:t xml:space="preserve">Artifact</w:t>
            </w:r>
          </w:p>
        </w:tc>
        <w:tc>
          <w:tcPr>
            <w:shd w:fill="E8EDF2"/>
          </w:tcPr>
          <w:p>
            <w:pPr>
              <w:pStyle w:val="Compact"/>
              <w:keepNext w:val="0"/>
              <w:spacing w:after="80"/>
              <w:jc w:val="left"/>
            </w:pPr>
            <w:r>
              <w:rPr>
                <w:bCs/>
                <w:b/>
                <w:sz w:val="24"/>
              </w:rPr>
              <w:t xml:space="preserve">Status / qualification</w:t>
            </w:r>
          </w:p>
        </w:tc>
      </w:tr>
      <w:tr>
        <w:tc>
          <w:tcPr/>
          <w:p>
            <w:pPr>
              <w:pStyle w:val="Compact"/>
              <w:keepNext w:val="0"/>
              <w:spacing w:after="80"/>
            </w:pPr>
          </w:p>
        </w:tc>
        <w:tc>
          <w:tcPr/>
          <w:p>
            <w:pPr>
              <w:pStyle w:val="Compact"/>
              <w:keepNext w:val="0"/>
              <w:spacing w:after="80"/>
              <w:jc w:val="left"/>
            </w:pPr>
            <w:r>
              <w:rPr>
                <w:sz w:val="24"/>
              </w:rPr>
              <w:t xml:space="preserve">Final SLR report</w:t>
            </w:r>
          </w:p>
        </w:tc>
        <w:tc>
          <w:tcPr/>
          <w:p>
            <w:pPr>
              <w:pStyle w:val="Compact"/>
              <w:keepNext w:val="0"/>
              <w:spacing w:after="80"/>
              <w:jc w:val="left"/>
            </w:pPr>
            <w:r>
              <w:rPr>
                <w:sz w:val="24"/>
              </w:rPr>
              <w:t xml:space="preserve">report/main.pdf (draft)</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Engineering problem</w:t>
            </w:r>
          </w:p>
        </w:tc>
        <w:tc>
          <w:tcPr/>
          <w:p>
            <w:pPr>
              <w:pStyle w:val="Compact"/>
              <w:keepNext w:val="0"/>
              <w:spacing w:after="80"/>
              <w:jc w:val="left"/>
            </w:pPr>
            <w:r>
              <w:rPr>
                <w:sz w:val="24"/>
              </w:rPr>
              <w:t xml:space="preserve">report section 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objectives</w:t>
            </w:r>
          </w:p>
        </w:tc>
        <w:tc>
          <w:tcPr/>
          <w:p>
            <w:pPr>
              <w:pStyle w:val="Compact"/>
              <w:keepNext w:val="0"/>
              <w:spacing w:after="80"/>
              <w:jc w:val="left"/>
            </w:pPr>
            <w:r>
              <w:rPr>
                <w:sz w:val="24"/>
              </w:rPr>
              <w:t xml:space="preserve">report section 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questions</w:t>
            </w:r>
          </w:p>
        </w:tc>
        <w:tc>
          <w:tcPr/>
          <w:p>
            <w:pPr>
              <w:pStyle w:val="Compact"/>
              <w:keepNext w:val="0"/>
              <w:spacing w:after="80"/>
              <w:jc w:val="left"/>
            </w:pPr>
            <w:r>
              <w:rPr>
                <w:sz w:val="24"/>
              </w:rPr>
              <w:t xml:space="preserve">report section 2</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SLR protocol</w:t>
            </w:r>
          </w:p>
        </w:tc>
        <w:tc>
          <w:tcPr/>
          <w:p>
            <w:pPr>
              <w:pStyle w:val="Compact"/>
              <w:keepNext w:val="0"/>
              <w:spacing w:after="80"/>
              <w:jc w:val="left"/>
            </w:pPr>
            <w:r>
              <w:rPr>
                <w:sz w:val="24"/>
              </w:rPr>
              <w:t xml:space="preserve">../task1/submitted_protocol.pdf</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Database justification</w:t>
            </w:r>
          </w:p>
        </w:tc>
        <w:tc>
          <w:tcPr/>
          <w:p>
            <w:pPr>
              <w:pStyle w:val="Compact"/>
              <w:keepNext w:val="0"/>
              <w:spacing w:after="80"/>
              <w:jc w:val="left"/>
            </w:pPr>
            <w:r>
              <w:rPr>
                <w:sz w:val="24"/>
              </w:rPr>
              <w:t xml:space="preserve">report section 3</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Complete search strings</w:t>
            </w:r>
          </w:p>
        </w:tc>
        <w:tc>
          <w:tcPr/>
          <w:p>
            <w:pPr>
              <w:pStyle w:val="Compact"/>
              <w:keepNext w:val="0"/>
              <w:spacing w:after="80"/>
              <w:jc w:val="left"/>
            </w:pPr>
            <w:r>
              <w:rPr>
                <w:sz w:val="24"/>
              </w:rPr>
              <w:t xml:space="preserve">Search Log / appendix</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Inclusion/exclusion criteria</w:t>
            </w:r>
          </w:p>
        </w:tc>
        <w:tc>
          <w:tcPr/>
          <w:p>
            <w:pPr>
              <w:pStyle w:val="Compact"/>
              <w:keepNext w:val="0"/>
              <w:spacing w:after="80"/>
              <w:jc w:val="left"/>
            </w:pPr>
            <w:r>
              <w:rPr>
                <w:sz w:val="24"/>
              </w:rPr>
              <w:t xml:space="preserve">report section 3</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Database-wise results</w:t>
            </w:r>
          </w:p>
        </w:tc>
        <w:tc>
          <w:tcPr/>
          <w:p>
            <w:pPr>
              <w:pStyle w:val="Compact"/>
              <w:keepNext w:val="0"/>
              <w:spacing w:after="80"/>
              <w:jc w:val="left"/>
            </w:pPr>
            <w:r>
              <w:rPr>
                <w:sz w:val="24"/>
              </w:rPr>
              <w:t xml:space="preserve">report section 4</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Search and screening log</w:t>
            </w:r>
          </w:p>
        </w:tc>
        <w:tc>
          <w:tcPr/>
          <w:p>
            <w:pPr>
              <w:pStyle w:val="Compact"/>
              <w:keepNext w:val="0"/>
              <w:spacing w:after="80"/>
              <w:jc w:val="left"/>
            </w:pPr>
            <w:r>
              <w:rPr>
                <w:sz w:val="24"/>
              </w:rPr>
              <w:t xml:space="preserve">Screening Log / Search Log</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Duplicate record</w:t>
            </w:r>
          </w:p>
        </w:tc>
        <w:tc>
          <w:tcPr/>
          <w:p>
            <w:pPr>
              <w:pStyle w:val="Compact"/>
              <w:keepNext w:val="0"/>
              <w:spacing w:after="80"/>
              <w:jc w:val="left"/>
            </w:pPr>
            <w:r>
              <w:rPr>
                <w:sz w:val="24"/>
              </w:rPr>
              <w:t xml:space="preserve">Duplicate Removal</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PRISMA flow</w:t>
            </w:r>
          </w:p>
        </w:tc>
        <w:tc>
          <w:tcPr/>
          <w:p>
            <w:pPr>
              <w:pStyle w:val="Compact"/>
              <w:keepNext w:val="0"/>
              <w:spacing w:after="80"/>
              <w:jc w:val="left"/>
            </w:pPr>
            <w:r>
              <w:rPr>
                <w:sz w:val="24"/>
              </w:rPr>
              <w:t xml:space="preserve">baseline/PRISMA_2020_FLOW_DIAGRAM.pdf</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Quality checklist/scores</w:t>
            </w:r>
          </w:p>
        </w:tc>
        <w:tc>
          <w:tcPr/>
          <w:p>
            <w:pPr>
              <w:pStyle w:val="Compact"/>
              <w:keepNext w:val="0"/>
              <w:spacing w:after="80"/>
              <w:jc w:val="left"/>
            </w:pPr>
            <w:r>
              <w:rPr>
                <w:sz w:val="24"/>
              </w:rPr>
              <w:t xml:space="preserve">QA / QA Reconciliation</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Included primary studies</w:t>
            </w:r>
          </w:p>
        </w:tc>
        <w:tc>
          <w:tcPr/>
          <w:p>
            <w:pPr>
              <w:pStyle w:val="Compact"/>
              <w:keepNext w:val="0"/>
              <w:spacing w:after="80"/>
              <w:jc w:val="left"/>
            </w:pPr>
            <w:r>
              <w:rPr>
                <w:sz w:val="24"/>
              </w:rPr>
              <w:t xml:space="preserve">Studies / Source Register</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Extraction sheet</w:t>
            </w:r>
          </w:p>
        </w:tc>
        <w:tc>
          <w:tcPr/>
          <w:p>
            <w:pPr>
              <w:pStyle w:val="Compact"/>
              <w:keepNext w:val="0"/>
              <w:spacing w:after="80"/>
              <w:jc w:val="left"/>
            </w:pPr>
            <w:r>
              <w:rPr>
                <w:sz w:val="24"/>
              </w:rPr>
              <w:t xml:space="preserve">Extraction / Evidence</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Taxonomy</w:t>
            </w:r>
          </w:p>
        </w:tc>
        <w:tc>
          <w:tcPr/>
          <w:p>
            <w:pPr>
              <w:pStyle w:val="Compact"/>
              <w:keepNext w:val="0"/>
              <w:spacing w:after="80"/>
              <w:jc w:val="left"/>
            </w:pPr>
            <w:r>
              <w:rPr>
                <w:sz w:val="24"/>
              </w:rPr>
              <w:t xml:space="preserve">Taxonomy / report section 5</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Comparative matrix</w:t>
            </w:r>
          </w:p>
        </w:tc>
        <w:tc>
          <w:tcPr/>
          <w:p>
            <w:pPr>
              <w:pStyle w:val="Compact"/>
              <w:keepNext w:val="0"/>
              <w:spacing w:after="80"/>
              <w:jc w:val="left"/>
            </w:pPr>
            <w:r>
              <w:rPr>
                <w:sz w:val="24"/>
              </w:rPr>
              <w:t xml:space="preserve">Comparability / report section 7</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Trade-offs</w:t>
            </w:r>
          </w:p>
        </w:tc>
        <w:tc>
          <w:tcPr/>
          <w:p>
            <w:pPr>
              <w:pStyle w:val="Compact"/>
              <w:keepNext w:val="0"/>
              <w:spacing w:after="80"/>
              <w:jc w:val="left"/>
            </w:pPr>
            <w:r>
              <w:rPr>
                <w:sz w:val="24"/>
              </w:rPr>
              <w:t xml:space="preserve">report section 8</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Conflicting evidence</w:t>
            </w:r>
          </w:p>
        </w:tc>
        <w:tc>
          <w:tcPr/>
          <w:p>
            <w:pPr>
              <w:pStyle w:val="Compact"/>
              <w:keepNext w:val="0"/>
              <w:spacing w:after="80"/>
              <w:jc w:val="left"/>
            </w:pPr>
            <w:r>
              <w:rPr>
                <w:sz w:val="24"/>
              </w:rPr>
              <w:t xml:space="preserve">Comparability / report section 9</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All RQ answers</w:t>
            </w:r>
          </w:p>
        </w:tc>
        <w:tc>
          <w:tcPr/>
          <w:p>
            <w:pPr>
              <w:pStyle w:val="Compact"/>
              <w:keepNext w:val="0"/>
              <w:spacing w:after="80"/>
              <w:jc w:val="left"/>
            </w:pPr>
            <w:r>
              <w:rPr>
                <w:sz w:val="24"/>
              </w:rPr>
              <w:t xml:space="preserve">report section 6</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Engineering recommendation</w:t>
            </w:r>
          </w:p>
        </w:tc>
        <w:tc>
          <w:tcPr/>
          <w:p>
            <w:pPr>
              <w:pStyle w:val="Compact"/>
              <w:keepNext w:val="0"/>
              <w:spacing w:after="80"/>
              <w:jc w:val="left"/>
            </w:pPr>
            <w:r>
              <w:rPr>
                <w:sz w:val="24"/>
              </w:rPr>
              <w:t xml:space="preserve">Recommendations / report section 10</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gaps</w:t>
            </w:r>
          </w:p>
        </w:tc>
        <w:tc>
          <w:tcPr/>
          <w:p>
            <w:pPr>
              <w:pStyle w:val="Compact"/>
              <w:keepNext w:val="0"/>
              <w:spacing w:after="80"/>
              <w:jc w:val="left"/>
            </w:pPr>
            <w:r>
              <w:rPr>
                <w:sz w:val="24"/>
              </w:rPr>
              <w:t xml:space="preserve">Research Gaps / report section 11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Threats to validity</w:t>
            </w:r>
          </w:p>
        </w:tc>
        <w:tc>
          <w:tcPr/>
          <w:p>
            <w:pPr>
              <w:pStyle w:val="Compact"/>
              <w:keepNext w:val="0"/>
              <w:spacing w:after="80"/>
              <w:jc w:val="left"/>
            </w:pPr>
            <w:r>
              <w:rPr>
                <w:sz w:val="24"/>
              </w:rPr>
              <w:t xml:space="preserve">Validity / report section 12</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References</w:t>
            </w:r>
          </w:p>
        </w:tc>
        <w:tc>
          <w:tcPr/>
          <w:p>
            <w:pPr>
              <w:pStyle w:val="Compact"/>
              <w:keepNext w:val="0"/>
              <w:spacing w:after="80"/>
              <w:jc w:val="left"/>
            </w:pPr>
            <w:r>
              <w:rPr>
                <w:sz w:val="24"/>
              </w:rPr>
              <w:t xml:space="preserve">report references</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Supporting verification files</w:t>
            </w:r>
          </w:p>
        </w:tc>
        <w:tc>
          <w:tcPr/>
          <w:p>
            <w:pPr>
              <w:pStyle w:val="Compact"/>
              <w:keepNext w:val="0"/>
              <w:spacing w:after="80"/>
              <w:jc w:val="left"/>
            </w:pPr>
            <w:r>
              <w:rPr>
                <w:sz w:val="24"/>
              </w:rPr>
              <w:t xml:space="preserve">logs / baseline / scripts</w:t>
            </w:r>
          </w:p>
        </w:tc>
        <w:tc>
          <w:tcPr/>
          <w:p>
            <w:pPr>
              <w:pStyle w:val="Compact"/>
              <w:keepNext w:val="0"/>
              <w:spacing w:after="80"/>
              <w:jc w:val="left"/>
            </w:pPr>
            <w:r>
              <w:rPr>
                <w:sz w:val="24"/>
              </w:rPr>
              <w:t xml:space="preserve">Draft present; verify before final submission</w:t>
            </w:r>
          </w:p>
        </w:tc>
      </w:tr>
    </w:tbl>
    <w:bookmarkEnd w:id="181"/>
    <w:bookmarkStart w:id="182" w:name="journal-benchmark-and-drafting-standard"/>
    <w:p>
      <w:pPr>
        <w:pStyle w:val="Heading1"/>
      </w:pPr>
      <w:r>
        <w:t xml:space="preserve">Journal benchmark and drafting standard</w:t>
      </w:r>
    </w:p>
    <w:p>
      <w:pPr>
        <w:pStyle w:val="FirstParagraph"/>
      </w:pPr>
      <w:r>
        <w:t xml:space="preserve">The organizational benchmark is Hong et al. [28]. Its layer-based taxonomy and comparison structure inform the draft. The current review adds the instructor-required search, selection and appraisal records. Journal standing is contextual and does not certify the draft as publishable. See the separate benchmark note for the dated publisher-metric check.</w:t>
      </w:r>
    </w:p>
    <w:bookmarkEnd w:id="182"/>
    <w:bookmarkStart w:id="183" w:name="files-timestamps-and-remaining-checks"/>
    <w:p>
      <w:pPr>
        <w:pStyle w:val="Heading1"/>
      </w:pPr>
      <w:r>
        <w:t xml:space="preserve">Files, timestamps and remaining checks</w:t>
      </w:r>
    </w:p>
    <w:p>
      <w:pPr>
        <w:pStyle w:val="FirstParagraph"/>
      </w:pPr>
      <w:r>
        <w:t xml:space="preserve">The frozen 14-tab workbook is preserved separately. The active workbook integrates the current source corrections and retains the screening and duplicate registers alongside analytical and audit tabs. The complete 4,075-row screening log and 114 duplicate links remain electronically accessible rather than being expanded into hundreds of print pages. New activity timestamps are in UTC and Pakistan time; historical batch/build values retain their original meaning.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Priority task</w:t>
            </w:r>
          </w:p>
        </w:tc>
        <w:tc>
          <w:tcPr>
            <w:shd w:fill="E8EDF2"/>
          </w:tcPr>
          <w:p>
            <w:pPr>
              <w:pStyle w:val="Compact"/>
              <w:keepNext w:val="0"/>
              <w:spacing w:after="80"/>
              <w:jc w:val="left"/>
            </w:pPr>
            <w:r>
              <w:rPr>
                <w:bCs/>
                <w:b/>
                <w:sz w:val="24"/>
              </w:rPr>
              <w:t xml:space="preserve">Evidence required</w:t>
            </w:r>
          </w:p>
        </w:tc>
      </w:tr>
      <w:tr>
        <w:tc>
          <w:tcPr/>
          <w:p>
            <w:pPr>
              <w:pStyle w:val="Compact"/>
              <w:keepNext w:val="0"/>
              <w:spacing w:after="80"/>
              <w:jc w:val="left"/>
            </w:pPr>
            <w:r>
              <w:rPr>
                <w:sz w:val="24"/>
              </w:rPr>
              <w:t xml:space="preserve">Close559-record scope</w:t>
            </w:r>
          </w:p>
        </w:tc>
        <w:tc>
          <w:tcPr/>
          <w:p>
            <w:pPr>
              <w:pStyle w:val="Compact"/>
              <w:keepNext w:val="0"/>
              <w:spacing w:after="80"/>
              <w:jc w:val="left"/>
            </w:pPr>
            <w:r>
              <w:rPr>
                <w:sz w:val="24"/>
              </w:rPr>
              <w:t xml:space="preserve">Dated scope decision or completed screening/full-text logs. 20study target satisfied; bounded selection still disclosed</w:t>
            </w:r>
          </w:p>
        </w:tc>
      </w:tr>
      <w:tr>
        <w:tc>
          <w:tcPr/>
          <w:p>
            <w:pPr>
              <w:pStyle w:val="Compact"/>
              <w:keepNext w:val="0"/>
              <w:spacing w:after="80"/>
              <w:jc w:val="left"/>
            </w:pPr>
            <w:r>
              <w:rPr>
                <w:sz w:val="24"/>
              </w:rPr>
              <w:t xml:space="preserve">Complete20study source access</w:t>
            </w:r>
          </w:p>
        </w:tc>
        <w:tc>
          <w:tcPr/>
          <w:p>
            <w:pPr>
              <w:pStyle w:val="Compact"/>
              <w:keepNext w:val="0"/>
              <w:spacing w:after="80"/>
              <w:jc w:val="left"/>
            </w:pPr>
            <w:r>
              <w:rPr>
                <w:sz w:val="24"/>
              </w:rPr>
              <w:t xml:space="preserve">All20primary copies plus REEFcompanion inspected. InferFair source gap closed; no missing assigned study copy</w:t>
            </w:r>
          </w:p>
        </w:tc>
      </w:tr>
      <w:tr>
        <w:tc>
          <w:tcPr/>
          <w:p>
            <w:pPr>
              <w:pStyle w:val="Compact"/>
              <w:keepNext w:val="0"/>
              <w:spacing w:after="80"/>
              <w:jc w:val="left"/>
            </w:pPr>
            <w:r>
              <w:rPr>
                <w:sz w:val="24"/>
              </w:rPr>
              <w:t xml:space="preserve">Independent check of prepared claims/forms</w:t>
            </w:r>
          </w:p>
        </w:tc>
        <w:tc>
          <w:tcPr/>
          <w:p>
            <w:pPr>
              <w:pStyle w:val="Compact"/>
              <w:keepNext w:val="0"/>
              <w:spacing w:after="80"/>
              <w:jc w:val="left"/>
            </w:pPr>
            <w:r>
              <w:rPr>
                <w:sz w:val="24"/>
              </w:rPr>
              <w:t xml:space="preserve">Actual name,time,initial judgment,source anchor and adjudication. All200QAitems,126included-reportICitems,52outcomes have first-pass source entries</w:t>
            </w:r>
          </w:p>
        </w:tc>
      </w:tr>
      <w:tr>
        <w:tc>
          <w:tcPr/>
          <w:p>
            <w:pPr>
              <w:pStyle w:val="Compact"/>
              <w:keepNext w:val="0"/>
              <w:spacing w:after="80"/>
              <w:jc w:val="left"/>
            </w:pPr>
            <w:r>
              <w:rPr>
                <w:sz w:val="24"/>
              </w:rPr>
              <w:t xml:space="preserve">Check final-version condition</w:t>
            </w:r>
          </w:p>
        </w:tc>
        <w:tc>
          <w:tcPr/>
          <w:p>
            <w:pPr>
              <w:pStyle w:val="Compact"/>
              <w:keepNext w:val="0"/>
              <w:spacing w:after="80"/>
              <w:jc w:val="left"/>
            </w:pPr>
            <w:r>
              <w:rPr>
                <w:sz w:val="24"/>
              </w:rPr>
              <w:t xml:space="preserve">ParvaGPU final text comparison or explicit version limitation. REEF mapping and iGniter final-copy checks complete; Tallyv3 pinned</w:t>
            </w:r>
          </w:p>
        </w:tc>
      </w:tr>
      <w:tr>
        <w:tc>
          <w:tcPr/>
          <w:p>
            <w:pPr>
              <w:pStyle w:val="Compact"/>
              <w:keepNext w:val="0"/>
              <w:spacing w:after="80"/>
              <w:jc w:val="left"/>
            </w:pPr>
            <w:r>
              <w:rPr>
                <w:sz w:val="24"/>
              </w:rPr>
              <w:t xml:space="preserve">Close search evidence gaps</w:t>
            </w:r>
          </w:p>
        </w:tc>
        <w:tc>
          <w:tcPr/>
          <w:p>
            <w:pPr>
              <w:pStyle w:val="Compact"/>
              <w:keepNext w:val="0"/>
              <w:spacing w:after="80"/>
              <w:jc w:val="left"/>
            </w:pPr>
            <w:r>
              <w:rPr>
                <w:sz w:val="24"/>
              </w:rPr>
              <w:t xml:space="preserve">Original run/file/facet receipts or retained explicit limitations. No manufactured exact times or archive byte checks</w:t>
            </w:r>
          </w:p>
        </w:tc>
      </w:tr>
    </w:tbl>
    <w:bookmarkEnd w:id="183"/>
    <w:sectPr>
      <w:footerReference w:type="default" r:id="rId9"/>
      <w:pgSz w:w="11906" w:h="16838"/>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Times New Roman" w:hAnsi="Times New Roman"/>
      <w:color w:val="000000"/>
      <w:sz w:val="24"/>
    </w:rPr>
  </w:style>
  <w:style w:styleId="BodyText" w:type="paragraph">
    <w:name w:val="Body Text"/>
    <w:basedOn w:val="Normal"/>
    <w:link w:val="BodyTextChar"/>
    <w:pPr>
      <w:spacing w:after="120" w:before="180" w:line="252" w:lineRule="auto"/>
    </w:pPr>
    <w:qFormat/>
    <w:rPr>
      <w:rFonts w:ascii="Times New Roman" w:hAnsi="Times New Roman"/>
      <w:color w:val="000000"/>
      <w:sz w:val="24"/>
    </w:rPr>
  </w:style>
  <w:style w:customStyle="1" w:styleId="FirstParagraph" w:type="paragraph">
    <w:name w:val="First Paragraph"/>
    <w:basedOn w:val="BodyText"/>
    <w:next w:val="BodyText"/>
    <w:qFormat/>
    <w:pPr>
      <w:spacing w:after="120" w:line="252" w:lineRule="auto"/>
    </w:pPr>
    <w:rPr>
      <w:rFonts w:ascii="Times New Roman" w:hAnsi="Times New Roman"/>
      <w:color w:val="000000"/>
      <w:sz w:val="24"/>
    </w:rPr>
  </w:style>
  <w:style w:customStyle="1" w:styleId="Compact" w:type="paragraph">
    <w:name w:val="Compact"/>
    <w:basedOn w:val="BodyText"/>
    <w:qFormat/>
    <w:pPr>
      <w:spacing w:after="120" w:before="36" w:line="252" w:lineRule="auto"/>
    </w:pPr>
    <w:rPr>
      <w:rFonts w:ascii="Times New Roman" w:hAnsi="Times New Roman"/>
      <w:color w:val="000000"/>
      <w:sz w:val="24"/>
    </w:rPr>
  </w:style>
  <w:style w:styleId="Title" w:type="paragraph">
    <w:name w:val="Title"/>
    <w:basedOn w:val="Normal"/>
    <w:next w:val="BodyText"/>
    <w:qFormat/>
    <w:pPr>
      <w:keepNext/>
      <w:keepLines/>
      <w:spacing w:after="120" w:before="480" w:line="252" w:lineRule="auto"/>
      <w:jc w:val="center"/>
    </w:pPr>
    <w:rPr>
      <w:rFonts w:asciiTheme="majorHAnsi" w:cstheme="majorBidi" w:eastAsiaTheme="majorEastAsia" w:hAnsiTheme="majorHAnsi" w:ascii="Times New Roman" w:hAnsi="Times New Roman"/>
      <w:b/>
      <w:bCs/>
      <w:color w:val="000000"/>
      <w:sz w:val="44"/>
      <w:szCs w:val="36"/>
    </w:rPr>
  </w:style>
  <w:style w:styleId="Subtitle" w:type="paragraph">
    <w:name w:val="Subtitle"/>
    <w:basedOn w:val="Title"/>
    <w:next w:val="BodyText"/>
    <w:qFormat/>
    <w:pPr>
      <w:keepNext/>
      <w:keepLines/>
      <w:spacing w:after="120" w:before="240" w:line="252" w:lineRule="auto"/>
      <w:jc w:val="center"/>
    </w:pPr>
    <w:rPr>
      <w:rFonts w:ascii="Times New Roman" w:hAnsi="Times New Roman"/>
      <w:color w:val="000000"/>
      <w:sz w:val="24"/>
      <w:szCs w:val="30"/>
    </w:rPr>
  </w:style>
  <w:style w:customStyle="1" w:styleId="Author" w:type="paragraph">
    <w:name w:val="Author"/>
    <w:next w:val="BodyText"/>
    <w:qFormat/>
    <w:pPr>
      <w:keepNext/>
      <w:keepLines/>
      <w:spacing w:after="120" w:line="252" w:lineRule="auto"/>
      <w:jc w:val="center"/>
    </w:pPr>
    <w:rPr>
      <w:rFonts w:ascii="Times New Roman" w:hAnsi="Times New Roman"/>
      <w:color w:val="000000"/>
      <w:sz w:val="24"/>
    </w:rPr>
  </w:style>
  <w:style w:styleId="Date" w:type="paragraph">
    <w:name w:val="Date"/>
    <w:next w:val="BodyText"/>
    <w:qFormat/>
    <w:pPr>
      <w:keepNext/>
      <w:keepLines/>
      <w:spacing w:after="120" w:line="252" w:lineRule="auto"/>
      <w:jc w:val="center"/>
    </w:pPr>
    <w:rPr>
      <w:rFonts w:ascii="Times New Roman" w:hAnsi="Times New Roman"/>
      <w:color w:val="000000"/>
      <w:sz w:val="24"/>
    </w:rPr>
  </w:style>
  <w:style w:customStyle="1" w:styleId="AbstractTitle" w:type="paragraph">
    <w:name w:val="Abstract Title"/>
    <w:basedOn w:val="Normal"/>
    <w:next w:val="Abstract"/>
    <w:qFormat/>
    <w:pPr>
      <w:keepNext/>
      <w:keepLines/>
      <w:jc w:val="center"/>
      <w:spacing w:after="120" w:before="300" w:line="252" w:lineRule="auto"/>
    </w:pPr>
    <w:rPr>
      <w:color w:val="000000"/>
      <w:sz w:val="24"/>
      <w:szCs w:val="20"/>
      <w:rFonts w:ascii="Times New Roman" w:hAnsi="Times New Roman"/>
      <w:b/>
    </w:rPr>
  </w:style>
  <w:style w:customStyle="1" w:styleId="Abstract" w:type="paragraph">
    <w:name w:val="Abstract"/>
    <w:basedOn w:val="Normal"/>
    <w:next w:val="BodyText"/>
    <w:qFormat/>
    <w:pPr>
      <w:keepNext/>
      <w:keepLines/>
      <w:spacing w:after="120" w:before="100" w:line="252" w:lineRule="auto"/>
    </w:pPr>
    <w:rPr>
      <w:rFonts w:ascii="Times New Roman" w:hAnsi="Times New Roman"/>
      <w:color w:val="000000"/>
      <w:sz w:val="24"/>
      <w:szCs w:val="20"/>
    </w:rPr>
  </w:style>
  <w:style w:styleId="Bibliography" w:type="paragraph">
    <w:name w:val="Bibliography"/>
    <w:basedOn w:val="Normal"/>
    <w:next w:val="Bibliography"/>
    <w:qFormat/>
    <w:pPr>
      <w:spacing w:after="120" w:line="252" w:lineRule="auto"/>
    </w:pPr>
    <w:rPr>
      <w:rFonts w:ascii="Times New Roman" w:hAnsi="Times New Roman"/>
      <w:color w:val="000000"/>
      <w:sz w:val="24"/>
    </w:rPr>
  </w:style>
  <w:style w:styleId="Heading1" w:type="paragraph">
    <w:name w:val="Heading 1"/>
    <w:basedOn w:val="Normal"/>
    <w:next w:val="BodyText"/>
    <w:uiPriority w:val="9"/>
    <w:qFormat/>
    <w:pPr>
      <w:keepNext/>
      <w:keepLines/>
      <w:spacing w:after="120" w:before="480" w:line="252" w:lineRule="auto"/>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20" w:before="200" w:line="252" w:lineRule="auto"/>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20" w:before="200" w:line="252" w:lineRule="auto"/>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200" w:line="252" w:lineRule="auto"/>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120" w:before="200" w:line="252" w:lineRule="auto"/>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120" w:before="200" w:line="252" w:lineRule="auto"/>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120" w:before="200" w:line="252" w:lineRule="auto"/>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120" w:before="200" w:line="252" w:lineRule="auto"/>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120" w:before="200" w:line="252" w:lineRule="auto"/>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20" w:before="100" w:line="252"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after="120" w:line="252" w:lineRule="auto"/>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52" w:lineRule="auto"/>
    </w:pPr>
    <w:rPr>
      <w:rFonts w:ascii="Times New Roman" w:hAnsi="Times New Roman"/>
      <w:b/>
      <w:color w:val="000000"/>
      <w:sz w:val="24"/>
    </w:rPr>
  </w:style>
  <w:style w:customStyle="1" w:styleId="Definition" w:type="paragraph">
    <w:name w:val="Definition"/>
    <w:basedOn w:val="Normal"/>
    <w:pPr>
      <w:spacing w:after="120" w:line="252" w:lineRule="auto"/>
    </w:pPr>
    <w:rPr>
      <w:rFonts w:ascii="Times New Roman" w:hAnsi="Times New Roman"/>
      <w:color w:val="000000"/>
      <w:sz w:val="24"/>
    </w:rPr>
  </w:style>
  <w:style w:styleId="Caption" w:type="paragraph">
    <w:name w:val="Caption"/>
    <w:basedOn w:val="Normal"/>
    <w:link w:val="BodyTextChar"/>
    <w:pPr>
      <w:spacing w:after="120" w:before="0" w:line="252" w:lineRule="auto"/>
    </w:pPr>
    <w:rPr>
      <w:rFonts w:ascii="Times New Roman" w:hAnsi="Times New Roman"/>
      <w:i/>
      <w:color w:val="000000"/>
      <w:sz w:val="24"/>
    </w:rPr>
  </w:style>
  <w:style w:customStyle="1" w:styleId="TableCaption" w:type="paragraph">
    <w:name w:val="Table Caption"/>
    <w:basedOn w:val="Caption"/>
    <w:pPr>
      <w:keepNext/>
      <w:spacing w:after="120" w:line="252" w:lineRule="auto"/>
    </w:pPr>
    <w:rPr>
      <w:rFonts w:ascii="Times New Roman" w:hAnsi="Times New Roman"/>
      <w:color w:val="000000"/>
      <w:sz w:val="24"/>
    </w:rPr>
  </w:style>
  <w:style w:customStyle="1" w:styleId="ImageCaption" w:type="paragraph">
    <w:name w:val="Image Caption"/>
    <w:basedOn w:val="Caption"/>
    <w:pPr>
      <w:spacing w:after="120" w:line="252" w:lineRule="auto"/>
    </w:pPr>
    <w:rPr>
      <w:rFonts w:ascii="Times New Roman" w:hAnsi="Times New Roman"/>
      <w:color w:val="000000"/>
      <w:sz w:val="24"/>
    </w:rPr>
  </w:style>
  <w:style w:customStyle="1" w:styleId="Figure" w:type="paragraph">
    <w:name w:val="Figure"/>
    <w:basedOn w:val="Normal"/>
    <w:pPr>
      <w:spacing w:after="120" w:line="252" w:lineRule="auto"/>
    </w:pPr>
    <w:rPr>
      <w:rFonts w:ascii="Times New Roman" w:hAnsi="Times New Roman"/>
      <w:color w:val="000000"/>
      <w:sz w:val="24"/>
    </w:rPr>
  </w:style>
  <w:style w:customStyle="1" w:styleId="CaptionedFigure" w:type="paragraph">
    <w:name w:val="Captioned Figure"/>
    <w:basedOn w:val="Figure"/>
    <w:pPr>
      <w:keepNext/>
      <w:spacing w:after="120" w:line="252" w:lineRule="auto"/>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2"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SourceCode">
    <w:name w:val="Source Code"/>
    <w:basedOn w:val="Normal"/>
    <w:link w:val="VerbatimChar"/>
    <w:pPr>
      <w:wordWrap w:val="off"/>
      <w:spacing w:after="120" w:line="252" w:lineRule="auto"/>
    </w:pPr>
    <w:rPr>
      <w:rFonts w:ascii="Times New Roman" w:hAnsi="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111" Type="http://schemas.openxmlformats.org/officeDocument/2006/relationships/hyperlink" Target="https://arxiv.org/pdf/2409.14447" TargetMode="External"/><Relationship Id="rId79" Type="http://schemas.openxmlformats.org/officeDocument/2006/relationships/hyperlink" Target="https://arxiv.org/pdf/2410.07381v3" TargetMode="External"/><Relationship Id="rId77" Type="http://schemas.openxmlformats.org/officeDocument/2006/relationships/hyperlink" Target="https://danielwong.org/files/KRISP-HPCA2023.pdf" TargetMode="External"/><Relationship Id="rId76" Type="http://schemas.openxmlformats.org/officeDocument/2006/relationships/hyperlink" Target="https://doi.org/10.1007/s10586-025-05284-2" TargetMode="External"/><Relationship Id="rId78" Type="http://schemas.openxmlformats.org/officeDocument/2006/relationships/hyperlink" Target="https://doi.org/10.1007/s42514-023-00154-y" TargetMode="External"/><Relationship Id="rId72" Type="http://schemas.openxmlformats.org/officeDocument/2006/relationships/hyperlink" Target="https://fotstrt.github.io/files/2024-orion.pdf" TargetMode="External"/><Relationship Id="rId82" Type="http://schemas.openxmlformats.org/officeDocument/2006/relationships/hyperlink" Target="https://github.com/Raazia-Imran/os_CEPPPPPP/blob/main/evidence/imports/group-a/imported_records.json" TargetMode="External"/><Relationship Id="rId73" Type="http://schemas.openxmlformats.org/officeDocument/2006/relationships/hyperlink" Target="https://jcst.ict.ac.cn/en/article/pdf/preview/10.1007/s11390-024-3773-5.pdf" TargetMode="External"/><Relationship Id="rId158" Type="http://schemas.openxmlformats.org/officeDocument/2006/relationships/hyperlink" Target="https://people.mpi-sws.org/approximately" TargetMode="External"/><Relationship Id="rId74" Type="http://schemas.openxmlformats.org/officeDocument/2006/relationships/hyperlink" Target="https://prefer-nsf.org/pdf/IEEE%20TPDS%20_%20igniter%202023.pdf" TargetMode="External"/><Relationship Id="rId71" Type="http://schemas.openxmlformats.org/officeDocument/2006/relationships/hyperlink" Target="https://vincen.tl/files/ng23paella.pdf" TargetMode="External"/><Relationship Id="rId105" Type="http://schemas.openxmlformats.org/officeDocument/2006/relationships/hyperlink" Target="https://www.cse.iitb.ac.in/approximately" TargetMode="External"/><Relationship Id="rId80" Type="http://schemas.openxmlformats.org/officeDocument/2006/relationships/hyperlink" Target="https://www.sciencedirect.com/science/article/pii/S0167739X23003187" TargetMode="External"/><Relationship Id="rId75" Type="http://schemas.openxmlformats.org/officeDocument/2006/relationships/hyperlink" Target="https://www.usenix.org/system/files/atc22-choi-seungbeom.pdf" TargetMode="External"/><Relationship Id="rId115" Type="http://schemas.openxmlformats.org/officeDocument/2006/relationships/hyperlink" Target="https://www.usenix.org/system/files/atc24-wu-hao.pdf" TargetMode="External"/><Relationship Id="rId109" Type="http://schemas.openxmlformats.org/officeDocument/2006/relationships/hyperlink" Target="https://www.usenix.org/system/files/atc25-wang-jiali.pdf" TargetMode="External"/><Relationship Id="rId113" Type="http://schemas.openxmlformats.org/officeDocument/2006/relationships/hyperlink" Target="https://www.usenix.org/system/files/atc25-yu.pdf" TargetMode="External"/><Relationship Id="rId117" Type="http://schemas.openxmlformats.org/officeDocument/2006/relationships/hyperlink" Target="https://www.usenix.org/system/files/atc25-zhang-shulai.pdf" TargetMode="External"/><Relationship Id="rId70" Type="http://schemas.openxmlformats.org/officeDocument/2006/relationships/hyperlink" Target="https://www.usenix.org/system/files/osdi20-bai.pdf" TargetMode="External"/><Relationship Id="rId107" Type="http://schemas.openxmlformats.org/officeDocument/2006/relationships/hyperlink" Target="https://www.usenix.org/system/files/osdi20-gujarati.pdf" TargetMode="External"/><Relationship Id="rId69" Type="http://schemas.openxmlformats.org/officeDocument/2006/relationships/hyperlink" Target="https://www.usenix.org/system/files/osdi22-han.pdf" TargetMode="External"/><Relationship Id="rId68" Type="http://schemas.openxmlformats.org/officeDocument/2006/relationships/hyperlink" Target="https://www.usenix.org/system/files/osdi25-shen-weihang.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1" Type="http://schemas.openxmlformats.org/officeDocument/2006/relationships/hyperlink" Target="https://arxiv.org/pdf/2409.14447" TargetMode="External"/><Relationship Id="rId79" Type="http://schemas.openxmlformats.org/officeDocument/2006/relationships/hyperlink" Target="https://arxiv.org/pdf/2410.07381v3" TargetMode="External"/><Relationship Id="rId77" Type="http://schemas.openxmlformats.org/officeDocument/2006/relationships/hyperlink" Target="https://danielwong.org/files/KRISP-HPCA2023.pdf" TargetMode="External"/><Relationship Id="rId76" Type="http://schemas.openxmlformats.org/officeDocument/2006/relationships/hyperlink" Target="https://doi.org/10.1007/s10586-025-05284-2" TargetMode="External"/><Relationship Id="rId78" Type="http://schemas.openxmlformats.org/officeDocument/2006/relationships/hyperlink" Target="https://doi.org/10.1007/s42514-023-00154-y" TargetMode="External"/><Relationship Id="rId72" Type="http://schemas.openxmlformats.org/officeDocument/2006/relationships/hyperlink" Target="https://fotstrt.github.io/files/2024-orion.pdf" TargetMode="External"/><Relationship Id="rId82" Type="http://schemas.openxmlformats.org/officeDocument/2006/relationships/hyperlink" Target="https://github.com/Raazia-Imran/os_CEPPPPPP/blob/main/evidence/imports/group-a/imported_records.json" TargetMode="External"/><Relationship Id="rId73" Type="http://schemas.openxmlformats.org/officeDocument/2006/relationships/hyperlink" Target="https://jcst.ict.ac.cn/en/article/pdf/preview/10.1007/s11390-024-3773-5.pdf" TargetMode="External"/><Relationship Id="rId158" Type="http://schemas.openxmlformats.org/officeDocument/2006/relationships/hyperlink" Target="https://people.mpi-sws.org/approximately" TargetMode="External"/><Relationship Id="rId74" Type="http://schemas.openxmlformats.org/officeDocument/2006/relationships/hyperlink" Target="https://prefer-nsf.org/pdf/IEEE%20TPDS%20_%20igniter%202023.pdf" TargetMode="External"/><Relationship Id="rId71" Type="http://schemas.openxmlformats.org/officeDocument/2006/relationships/hyperlink" Target="https://vincen.tl/files/ng23paella.pdf" TargetMode="External"/><Relationship Id="rId105" Type="http://schemas.openxmlformats.org/officeDocument/2006/relationships/hyperlink" Target="https://www.cse.iitb.ac.in/approximately" TargetMode="External"/><Relationship Id="rId80" Type="http://schemas.openxmlformats.org/officeDocument/2006/relationships/hyperlink" Target="https://www.sciencedirect.com/science/article/pii/S0167739X23003187" TargetMode="External"/><Relationship Id="rId75" Type="http://schemas.openxmlformats.org/officeDocument/2006/relationships/hyperlink" Target="https://www.usenix.org/system/files/atc22-choi-seungbeom.pdf" TargetMode="External"/><Relationship Id="rId115" Type="http://schemas.openxmlformats.org/officeDocument/2006/relationships/hyperlink" Target="https://www.usenix.org/system/files/atc24-wu-hao.pdf" TargetMode="External"/><Relationship Id="rId109" Type="http://schemas.openxmlformats.org/officeDocument/2006/relationships/hyperlink" Target="https://www.usenix.org/system/files/atc25-wang-jiali.pdf" TargetMode="External"/><Relationship Id="rId113" Type="http://schemas.openxmlformats.org/officeDocument/2006/relationships/hyperlink" Target="https://www.usenix.org/system/files/atc25-yu.pdf" TargetMode="External"/><Relationship Id="rId117" Type="http://schemas.openxmlformats.org/officeDocument/2006/relationships/hyperlink" Target="https://www.usenix.org/system/files/atc25-zhang-shulai.pdf" TargetMode="External"/><Relationship Id="rId70" Type="http://schemas.openxmlformats.org/officeDocument/2006/relationships/hyperlink" Target="https://www.usenix.org/system/files/osdi20-bai.pdf" TargetMode="External"/><Relationship Id="rId107" Type="http://schemas.openxmlformats.org/officeDocument/2006/relationships/hyperlink" Target="https://www.usenix.org/system/files/osdi20-gujarati.pdf" TargetMode="External"/><Relationship Id="rId69" Type="http://schemas.openxmlformats.org/officeDocument/2006/relationships/hyperlink" Target="https://www.usenix.org/system/files/osdi22-han.pdf" TargetMode="External"/><Relationship Id="rId68" Type="http://schemas.openxmlformats.org/officeDocument/2006/relationships/hyperlink" Target="https://www.usenix.org/system/files/osdi25-shen-weiha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2026-10-22T11:11:06Z</dcterms:created>
  <dcterms:modified xsi:type="dcterms:W3CDTF">2026-10-22T11:11:06Z</dcterms:modified>
</cp:coreProperties>
</file>

<file path=docProps/custom.xml><?xml version="1.0" encoding="utf-8"?>
<Properties xmlns="http://schemas.openxmlformats.org/officeDocument/2006/custom-properties" xmlns:vt="http://schemas.openxmlformats.org/officeDocument/2006/docPropsVTypes"/>
</file>