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First Draft: Team Handover and Checklist</w:t>
      </w:r>
    </w:p>
    <w:p>
      <w:r>
        <w:t>Operating Systems CEP | Topic 23 | 22 October 2026</w:t>
      </w:r>
    </w:p>
    <w:p>
      <w:r>
        <w:t>The current report, master workbook and all three individual review packages are integrated. This is the complete first-draft package for team review. Its limitations are written into the report; it is not certified as an exhaustive final SLR.</w:t>
      </w:r>
    </w:p>
    <w:p>
      <w:r>
        <w:t>Use 20 unique primary studies. Sir’s clarified target is 20; the written guideline says 15–20. The 21 reports include two REEF versions belonging to one study. No extra three studies are needed merely to increase the number.</w:t>
      </w:r>
    </w:p>
    <w:tbl>
      <w:tblPr>
        <w:tblStyle w:val="LightShading-Accent1"/>
        <w:tblW w:type="auto" w:w="0"/>
        <w:tblLayout w:type="fixed"/>
        <w:tblLook w:firstColumn="1" w:firstRow="1" w:lastColumn="0" w:lastRow="0" w:noHBand="0" w:noVBand="1" w:val="04A0"/>
      </w:tblPr>
      <w:tblGrid>
        <w:gridCol w:w="2438"/>
        <w:gridCol w:w="1134"/>
        <w:gridCol w:w="6293"/>
      </w:tblGrid>
      <w:tr>
        <w:trPr>
          <w:tblHeader/>
        </w:trPr>
        <w:tc>
          <w:tcPr>
            <w:tcW w:type="dxa" w:w="3400"/>
          </w:tcPr>
          <w:p>
            <w:r>
              <w:t>Meaning</w:t>
            </w:r>
          </w:p>
        </w:tc>
        <w:tc>
          <w:tcPr>
            <w:tcW w:type="dxa" w:w="3400"/>
          </w:tcPr>
          <w:p>
            <w:r>
              <w:t>Status</w:t>
            </w:r>
          </w:p>
        </w:tc>
        <w:tc>
          <w:tcPr>
            <w:tcW w:type="dxa" w:w="3400"/>
          </w:tcPr>
          <w:p>
            <w:r>
              <w:t>How to read this guide</w:t>
            </w:r>
          </w:p>
        </w:tc>
      </w:tr>
      <w:tr>
        <w:trPr>
          <w:cantSplit/>
        </w:trPr>
        <w:tc>
          <w:tcPr>
            <w:tcW w:type="dxa" w:w="2438"/>
          </w:tcPr>
          <w:p>
            <w:pPr>
              <w:spacing w:after="80"/>
            </w:pPr>
            <w:r>
              <w:rPr>
                <w:sz w:val="20"/>
              </w:rPr>
              <w:t>Prepared and integrated</w:t>
            </w:r>
          </w:p>
        </w:tc>
        <w:tc>
          <w:tcPr>
            <w:tcW w:type="dxa" w:w="1134"/>
            <w:shd w:fill="E2F0D9"/>
          </w:tcPr>
          <w:p>
            <w:pPr>
              <w:spacing w:after="80"/>
            </w:pPr>
            <w:r>
              <w:rPr>
                <w:sz w:val="20"/>
              </w:rPr>
              <w:t>Green</w:t>
            </w:r>
          </w:p>
        </w:tc>
        <w:tc>
          <w:tcPr>
            <w:tcW w:type="dxa" w:w="6293"/>
          </w:tcPr>
          <w:p>
            <w:pPr>
              <w:spacing w:after="80"/>
            </w:pPr>
            <w:r>
              <w:rPr>
                <w:sz w:val="20"/>
              </w:rPr>
              <w:t>The stated first-draft artifact or source-review task is done.</w:t>
            </w:r>
          </w:p>
        </w:tc>
      </w:tr>
      <w:tr>
        <w:trPr>
          <w:cantSplit/>
        </w:trPr>
        <w:tc>
          <w:tcPr>
            <w:tcW w:type="dxa" w:w="2438"/>
          </w:tcPr>
          <w:p>
            <w:pPr>
              <w:spacing w:after="80"/>
            </w:pPr>
            <w:r>
              <w:rPr>
                <w:sz w:val="20"/>
              </w:rPr>
              <w:t>Partly closed</w:t>
            </w:r>
          </w:p>
        </w:tc>
        <w:tc>
          <w:tcPr>
            <w:tcW w:type="dxa" w:w="1134"/>
            <w:shd w:fill="FFF2CC"/>
          </w:tcPr>
          <w:p>
            <w:pPr>
              <w:spacing w:after="80"/>
            </w:pPr>
            <w:r>
              <w:rPr>
                <w:sz w:val="20"/>
              </w:rPr>
              <w:t>Yellow</w:t>
            </w:r>
          </w:p>
        </w:tc>
        <w:tc>
          <w:tcPr>
            <w:tcW w:type="dxa" w:w="6293"/>
          </w:tcPr>
          <w:p>
            <w:pPr>
              <w:spacing w:after="80"/>
            </w:pPr>
            <w:r>
              <w:rPr>
                <w:sz w:val="20"/>
              </w:rPr>
              <w:t>The artifact exists, but a method, source-version or verification condition remains.</w:t>
            </w:r>
          </w:p>
        </w:tc>
      </w:tr>
      <w:tr>
        <w:trPr>
          <w:cantSplit/>
        </w:trPr>
        <w:tc>
          <w:tcPr>
            <w:tcW w:type="dxa" w:w="2438"/>
          </w:tcPr>
          <w:p>
            <w:pPr>
              <w:spacing w:after="80"/>
            </w:pPr>
            <w:r>
              <w:rPr>
                <w:sz w:val="20"/>
              </w:rPr>
              <w:t>Not performed</w:t>
            </w:r>
          </w:p>
        </w:tc>
        <w:tc>
          <w:tcPr>
            <w:tcW w:type="dxa" w:w="1134"/>
            <w:shd w:fill="FCE4D6"/>
          </w:tcPr>
          <w:p>
            <w:pPr>
              <w:spacing w:after="80"/>
            </w:pPr>
            <w:r>
              <w:rPr>
                <w:sz w:val="20"/>
              </w:rPr>
              <w:t>Red</w:t>
            </w:r>
          </w:p>
        </w:tc>
        <w:tc>
          <w:tcPr>
            <w:tcW w:type="dxa" w:w="6293"/>
          </w:tcPr>
          <w:p>
            <w:pPr>
              <w:spacing w:after="80"/>
            </w:pPr>
            <w:r>
              <w:rPr>
                <w:sz w:val="20"/>
              </w:rPr>
              <w:t>The specified research action or actual human vote is absent.</w:t>
            </w:r>
          </w:p>
        </w:tc>
      </w:tr>
    </w:tbl>
    <w:tbl>
      <w:tblPr>
        <w:tblStyle w:val="LightShading-Accent1"/>
        <w:tblW w:type="auto" w:w="0"/>
        <w:tblLayout w:type="fixed"/>
        <w:tblLook w:firstColumn="1" w:firstRow="1" w:lastColumn="0" w:lastRow="0" w:noHBand="0" w:noVBand="1" w:val="04A0"/>
      </w:tblPr>
      <w:tblGrid>
        <w:gridCol w:w="2324"/>
        <w:gridCol w:w="3798"/>
        <w:gridCol w:w="3742"/>
      </w:tblGrid>
      <w:tr>
        <w:trPr>
          <w:tblHeader/>
        </w:trPr>
        <w:tc>
          <w:tcPr>
            <w:tcW w:type="dxa" w:w="3400"/>
          </w:tcPr>
          <w:p>
            <w:r>
              <w:t>Member package</w:t>
            </w:r>
          </w:p>
        </w:tc>
        <w:tc>
          <w:tcPr>
            <w:tcW w:type="dxa" w:w="3400"/>
          </w:tcPr>
          <w:p>
            <w:r>
              <w:t>Source review completed</w:t>
            </w:r>
          </w:p>
        </w:tc>
        <w:tc>
          <w:tcPr>
            <w:tcW w:type="dxa" w:w="3400"/>
          </w:tcPr>
          <w:p>
            <w:r>
              <w:t>What is still personal work</w:t>
            </w:r>
          </w:p>
        </w:tc>
      </w:tr>
      <w:tr>
        <w:trPr>
          <w:cantSplit/>
        </w:trPr>
        <w:tc>
          <w:tcPr>
            <w:tcW w:type="dxa" w:w="2324"/>
          </w:tcPr>
          <w:p>
            <w:pPr>
              <w:spacing w:after="80"/>
            </w:pPr>
            <w:r>
              <w:rPr>
                <w:sz w:val="20"/>
              </w:rPr>
              <w:t>Eshaal: S001–S007 + P023</w:t>
            </w:r>
          </w:p>
        </w:tc>
        <w:tc>
          <w:tcPr>
            <w:tcW w:type="dxa" w:w="3798"/>
          </w:tcPr>
          <w:p>
            <w:pPr>
              <w:spacing w:after="80"/>
            </w:pPr>
            <w:r>
              <w:rPr>
                <w:sz w:val="20"/>
              </w:rPr>
              <w:t>8 report copies; 70 QA items; 48 inclusion checks; 30 outcomes.</w:t>
            </w:r>
          </w:p>
        </w:tc>
        <w:tc>
          <w:tcPr>
            <w:tcW w:type="dxa" w:w="3742"/>
          </w:tcPr>
          <w:p>
            <w:pPr>
              <w:spacing w:after="80"/>
            </w:pPr>
            <w:r>
              <w:rPr>
                <w:sz w:val="20"/>
              </w:rPr>
              <w:t>Independent check of Raazia’s S008–S014.</w:t>
            </w:r>
          </w:p>
        </w:tc>
      </w:tr>
      <w:tr>
        <w:trPr>
          <w:cantSplit/>
        </w:trPr>
        <w:tc>
          <w:tcPr>
            <w:tcW w:type="dxa" w:w="2324"/>
          </w:tcPr>
          <w:p>
            <w:pPr>
              <w:spacing w:after="80"/>
            </w:pPr>
            <w:r>
              <w:rPr>
                <w:sz w:val="20"/>
              </w:rPr>
              <w:t>Raazia: S008–S014</w:t>
            </w:r>
          </w:p>
        </w:tc>
        <w:tc>
          <w:tcPr>
            <w:tcW w:type="dxa" w:w="3798"/>
          </w:tcPr>
          <w:p>
            <w:pPr>
              <w:spacing w:after="80"/>
            </w:pPr>
            <w:r>
              <w:rPr>
                <w:sz w:val="20"/>
              </w:rPr>
              <w:t>7 copies; 70 QA items; 42 inclusion checks; 13 outcomes.</w:t>
            </w:r>
          </w:p>
        </w:tc>
        <w:tc>
          <w:tcPr>
            <w:tcW w:type="dxa" w:w="3742"/>
          </w:tcPr>
          <w:p>
            <w:pPr>
              <w:spacing w:after="80"/>
            </w:pPr>
            <w:r>
              <w:rPr>
                <w:sz w:val="20"/>
              </w:rPr>
              <w:t>Independent check of Rameen’s S015–S020; reconcile team returns.</w:t>
            </w:r>
          </w:p>
        </w:tc>
      </w:tr>
      <w:tr>
        <w:trPr>
          <w:cantSplit/>
        </w:trPr>
        <w:tc>
          <w:tcPr>
            <w:tcW w:type="dxa" w:w="2324"/>
          </w:tcPr>
          <w:p>
            <w:pPr>
              <w:spacing w:after="80"/>
            </w:pPr>
            <w:r>
              <w:rPr>
                <w:sz w:val="20"/>
              </w:rPr>
              <w:t>Rameen: S015–S020</w:t>
            </w:r>
          </w:p>
        </w:tc>
        <w:tc>
          <w:tcPr>
            <w:tcW w:type="dxa" w:w="3798"/>
          </w:tcPr>
          <w:p>
            <w:pPr>
              <w:spacing w:after="80"/>
            </w:pPr>
            <w:r>
              <w:rPr>
                <w:sz w:val="20"/>
              </w:rPr>
              <w:t>6 copies; 60 QA items; 36 inclusion checks; 9 outcomes.</w:t>
            </w:r>
          </w:p>
        </w:tc>
        <w:tc>
          <w:tcPr>
            <w:tcW w:type="dxa" w:w="3742"/>
          </w:tcPr>
          <w:p>
            <w:pPr>
              <w:spacing w:after="80"/>
            </w:pPr>
            <w:r>
              <w:rPr>
                <w:sz w:val="20"/>
              </w:rPr>
              <w:t>Independent check of Eshaal’s S001–S007 + REEF companion.</w:t>
            </w:r>
          </w:p>
        </w:tc>
      </w:tr>
    </w:tbl>
    <w:p>
      <w:r>
        <w:t>All 200 included-study QA items and all 52 retained outcomes now have source-review entries. InferFair access and its two outcomes are closed. Master integration is complete. The original baseline and protocol remain unchanged.</w:t>
      </w:r>
    </w:p>
    <w:p>
      <w:r>
        <w:br w:type="page"/>
      </w:r>
    </w:p>
    <w:p>
      <w:pPr>
        <w:pStyle w:val="Heading1"/>
      </w:pPr>
      <w:r>
        <w:t>1. Open these files first</w:t>
      </w:r>
    </w:p>
    <w:tbl>
      <w:tblPr>
        <w:tblStyle w:val="LightShading-Accent1"/>
        <w:tblW w:type="auto" w:w="0"/>
        <w:tblLayout w:type="fixed"/>
        <w:tblLook w:firstColumn="1" w:firstRow="1" w:lastColumn="0" w:lastRow="0" w:noHBand="0" w:noVBand="1" w:val="04A0"/>
      </w:tblPr>
      <w:tblGrid>
        <w:gridCol w:w="3969"/>
        <w:gridCol w:w="5896"/>
      </w:tblGrid>
      <w:tr>
        <w:trPr>
          <w:tblHeader/>
        </w:trPr>
        <w:tc>
          <w:tcPr>
            <w:tcW w:type="dxa" w:w="5100"/>
          </w:tcPr>
          <w:p>
            <w:r>
              <w:t>File in the complete ZIP</w:t>
            </w:r>
          </w:p>
        </w:tc>
        <w:tc>
          <w:tcPr>
            <w:tcW w:type="dxa" w:w="5100"/>
          </w:tcPr>
          <w:p>
            <w:r>
              <w:t>Purpose</w:t>
            </w:r>
          </w:p>
        </w:tc>
      </w:tr>
      <w:tr>
        <w:trPr>
          <w:cantSplit/>
        </w:trPr>
        <w:tc>
          <w:tcPr>
            <w:tcW w:type="dxa" w:w="3969"/>
          </w:tcPr>
          <w:p>
            <w:pPr>
              <w:spacing w:after="80"/>
            </w:pPr>
            <w:r>
              <w:rPr>
                <w:sz w:val="20"/>
              </w:rPr>
              <w:t>01_Report/CEP_Task3_First_Draft.pdf</w:t>
            </w:r>
          </w:p>
        </w:tc>
        <w:tc>
          <w:tcPr>
            <w:tcW w:type="dxa" w:w="5896"/>
          </w:tcPr>
          <w:p>
            <w:pPr>
              <w:spacing w:after="80"/>
            </w:pPr>
            <w:r>
              <w:rPr>
                <w:sz w:val="20"/>
              </w:rPr>
              <w:t>Read this as the main CEP first draft. It includes the analytical report, references and audit appendices.</w:t>
            </w:r>
          </w:p>
        </w:tc>
      </w:tr>
      <w:tr>
        <w:trPr>
          <w:cantSplit/>
        </w:trPr>
        <w:tc>
          <w:tcPr>
            <w:tcW w:type="dxa" w:w="3969"/>
          </w:tcPr>
          <w:p>
            <w:pPr>
              <w:spacing w:after="80"/>
            </w:pPr>
            <w:r>
              <w:rPr>
                <w:sz w:val="20"/>
              </w:rPr>
              <w:t>01_Report/CEP_Task3_First_Draft.docx</w:t>
            </w:r>
          </w:p>
        </w:tc>
        <w:tc>
          <w:tcPr>
            <w:tcW w:type="dxa" w:w="5896"/>
          </w:tcPr>
          <w:p>
            <w:pPr>
              <w:spacing w:after="80"/>
            </w:pPr>
            <w:r>
              <w:rPr>
                <w:sz w:val="20"/>
              </w:rPr>
              <w:t>Editable version of the same report content.</w:t>
            </w:r>
          </w:p>
        </w:tc>
      </w:tr>
      <w:tr>
        <w:trPr>
          <w:cantSplit/>
        </w:trPr>
        <w:tc>
          <w:tcPr>
            <w:tcW w:type="dxa" w:w="3969"/>
          </w:tcPr>
          <w:p>
            <w:pPr>
              <w:spacing w:after="80"/>
            </w:pPr>
            <w:r>
              <w:rPr>
                <w:sz w:val="20"/>
              </w:rPr>
              <w:t>02_Master/CEP_Task3_Evidence_Workbook.xlsx</w:t>
            </w:r>
          </w:p>
        </w:tc>
        <w:tc>
          <w:tcPr>
            <w:tcW w:type="dxa" w:w="5896"/>
          </w:tcPr>
          <w:p>
            <w:pPr>
              <w:spacing w:after="80"/>
            </w:pPr>
            <w:r>
              <w:rPr>
                <w:sz w:val="20"/>
              </w:rPr>
              <w:t>Current master: screening, study IDs, QA, outcomes, analysis and source-review audit.</w:t>
            </w:r>
          </w:p>
        </w:tc>
      </w:tr>
      <w:tr>
        <w:trPr>
          <w:cantSplit/>
        </w:trPr>
        <w:tc>
          <w:tcPr>
            <w:tcW w:type="dxa" w:w="3969"/>
          </w:tcPr>
          <w:p>
            <w:pPr>
              <w:spacing w:after="80"/>
            </w:pPr>
            <w:r>
              <w:rPr>
                <w:sz w:val="20"/>
              </w:rPr>
              <w:t>03_Member_Reviews/Eshaal, Raazia, Rameen</w:t>
            </w:r>
          </w:p>
        </w:tc>
        <w:tc>
          <w:tcPr>
            <w:tcW w:type="dxa" w:w="5896"/>
          </w:tcPr>
          <w:p>
            <w:pPr>
              <w:spacing w:after="80"/>
            </w:pPr>
            <w:r>
              <w:rPr>
                <w:sz w:val="20"/>
              </w:rPr>
              <w:t>Each member’s report, workbook, source checks and corrections. These are supporting files, not three separate final CEP reports.</w:t>
            </w:r>
          </w:p>
        </w:tc>
      </w:tr>
      <w:tr>
        <w:trPr>
          <w:cantSplit/>
        </w:trPr>
        <w:tc>
          <w:tcPr>
            <w:tcW w:type="dxa" w:w="3969"/>
          </w:tcPr>
          <w:p>
            <w:pPr>
              <w:spacing w:after="80"/>
            </w:pPr>
            <w:r>
              <w:rPr>
                <w:sz w:val="20"/>
              </w:rPr>
              <w:t>04_Team/First_Draft_Team_Plan.pdf</w:t>
            </w:r>
          </w:p>
        </w:tc>
        <w:tc>
          <w:tcPr>
            <w:tcW w:type="dxa" w:w="5896"/>
          </w:tcPr>
          <w:p>
            <w:pPr>
              <w:spacing w:after="80"/>
            </w:pPr>
            <w:r>
              <w:rPr>
                <w:sz w:val="20"/>
              </w:rPr>
              <w:t>This guide and the specific teammate return instructions.</w:t>
            </w:r>
          </w:p>
        </w:tc>
      </w:tr>
      <w:tr>
        <w:trPr>
          <w:cantSplit/>
        </w:trPr>
        <w:tc>
          <w:tcPr>
            <w:tcW w:type="dxa" w:w="3969"/>
          </w:tcPr>
          <w:p>
            <w:pPr>
              <w:spacing w:after="80"/>
            </w:pPr>
            <w:r>
              <w:rPr>
                <w:sz w:val="20"/>
              </w:rPr>
              <w:t>05_Methodology/methodology_corrections.csv</w:t>
            </w:r>
          </w:p>
        </w:tc>
        <w:tc>
          <w:tcPr>
            <w:tcW w:type="dxa" w:w="5896"/>
          </w:tcPr>
          <w:p>
            <w:pPr>
              <w:spacing w:after="80"/>
            </w:pPr>
            <w:r>
              <w:rPr>
                <w:sz w:val="20"/>
              </w:rPr>
              <w:t>Each audit issue, supporting evidence, justified correction or explicit remaining limitation.</w:t>
            </w:r>
          </w:p>
        </w:tc>
      </w:tr>
      <w:tr>
        <w:trPr>
          <w:cantSplit/>
        </w:trPr>
        <w:tc>
          <w:tcPr>
            <w:tcW w:type="dxa" w:w="3969"/>
          </w:tcPr>
          <w:p>
            <w:pPr>
              <w:spacing w:after="80"/>
            </w:pPr>
            <w:r>
              <w:rPr>
                <w:sz w:val="20"/>
              </w:rPr>
              <w:t>05_Methodology/Remaining_559_Screening_Queue.csv</w:t>
            </w:r>
          </w:p>
        </w:tc>
        <w:tc>
          <w:tcPr>
            <w:tcW w:type="dxa" w:w="5896"/>
          </w:tcPr>
          <w:p>
            <w:pPr>
              <w:spacing w:after="80"/>
            </w:pPr>
            <w:r>
              <w:rPr>
                <w:sz w:val="20"/>
              </w:rPr>
              <w:t>All 559 retained records, available abstract text, reviewer assignments and blank decision fields.</w:t>
            </w:r>
          </w:p>
        </w:tc>
      </w:tr>
      <w:tr>
        <w:trPr>
          <w:cantSplit/>
        </w:trPr>
        <w:tc>
          <w:tcPr>
            <w:tcW w:type="dxa" w:w="3969"/>
          </w:tcPr>
          <w:p>
            <w:pPr>
              <w:spacing w:after="80"/>
            </w:pPr>
            <w:r>
              <w:rPr>
                <w:sz w:val="20"/>
              </w:rPr>
              <w:t>06_Protocol_and_Guidelines</w:t>
            </w:r>
          </w:p>
        </w:tc>
        <w:tc>
          <w:tcPr>
            <w:tcW w:type="dxa" w:w="5896"/>
          </w:tcPr>
          <w:p>
            <w:pPr>
              <w:spacing w:after="80"/>
            </w:pPr>
            <w:r>
              <w:rPr>
                <w:sz w:val="20"/>
              </w:rPr>
              <w:t>Submitted protocol and Sir’s requirements; amendments are separate.</w:t>
            </w:r>
          </w:p>
        </w:tc>
      </w:tr>
      <w:tr>
        <w:trPr>
          <w:cantSplit/>
        </w:trPr>
        <w:tc>
          <w:tcPr>
            <w:tcW w:type="dxa" w:w="3969"/>
          </w:tcPr>
          <w:p>
            <w:pPr>
              <w:spacing w:after="80"/>
            </w:pPr>
            <w:r>
              <w:rPr>
                <w:sz w:val="20"/>
              </w:rPr>
              <w:t>07_Evidence_and_Reproducibility</w:t>
            </w:r>
          </w:p>
        </w:tc>
        <w:tc>
          <w:tcPr>
            <w:tcW w:type="dxa" w:w="5896"/>
          </w:tcPr>
          <w:p>
            <w:pPr>
              <w:spacing w:after="80"/>
            </w:pPr>
            <w:r>
              <w:rPr>
                <w:sz w:val="20"/>
              </w:rPr>
              <w:t>Frozen baseline, current CSVs, available search exports, logs and build scripts.</w:t>
            </w:r>
          </w:p>
        </w:tc>
      </w:tr>
    </w:tbl>
    <w:p>
      <w:r>
        <w:t>Third-party reading PDFs are kept outside the public package/repository. The source catalogue gives URLs, report versions, hashes and page anchors. Thus “complete work package” means all project deliverables and available research records, not redistribution of licensed papers or recovery of missing historical exports.</w:t>
      </w:r>
    </w:p>
    <w:p>
      <w:r>
        <w:t>Older smaller review ZIPs are superseded by the new complete ZIP. Do not submit an older team-review-only ZIP as the whole Task 3.</w:t>
      </w:r>
    </w:p>
    <w:p>
      <w:r>
        <w:br w:type="page"/>
      </w:r>
    </w:p>
    <w:p>
      <w:pPr>
        <w:pStyle w:val="Heading1"/>
      </w:pPr>
      <w:r>
        <w:t>2. What Rameen and Eshaal should do now</w:t>
      </w:r>
    </w:p>
    <w:p>
      <w:r>
        <w:t>An independent check means reading the cited original source and recording your own initial judgment before comparing it with the prepared answer. Reading only the CEP draft is useful editing, but it does not replace the protocol’s separate source checks.</w:t>
      </w:r>
    </w:p>
    <w:tbl>
      <w:tblPr>
        <w:tblStyle w:val="LightShading-Accent1"/>
        <w:tblW w:type="auto" w:w="0"/>
        <w:tblLayout w:type="fixed"/>
        <w:tblLook w:firstColumn="1" w:firstRow="1" w:lastColumn="0" w:lastRow="0" w:noHBand="0" w:noVBand="1" w:val="04A0"/>
      </w:tblPr>
      <w:tblGrid>
        <w:gridCol w:w="1247"/>
        <w:gridCol w:w="4592"/>
        <w:gridCol w:w="4025"/>
      </w:tblGrid>
      <w:tr>
        <w:trPr>
          <w:tblHeader/>
        </w:trPr>
        <w:tc>
          <w:tcPr>
            <w:tcW w:type="dxa" w:w="3400"/>
          </w:tcPr>
          <w:p>
            <w:r>
              <w:t>Person</w:t>
            </w:r>
          </w:p>
        </w:tc>
        <w:tc>
          <w:tcPr>
            <w:tcW w:type="dxa" w:w="3400"/>
          </w:tcPr>
          <w:p>
            <w:r>
              <w:t>Exact assignment</w:t>
            </w:r>
          </w:p>
        </w:tc>
        <w:tc>
          <w:tcPr>
            <w:tcW w:type="dxa" w:w="3400"/>
          </w:tcPr>
          <w:p>
            <w:r>
              <w:t>Return</w:t>
            </w:r>
          </w:p>
        </w:tc>
      </w:tr>
      <w:tr>
        <w:trPr>
          <w:cantSplit/>
        </w:trPr>
        <w:tc>
          <w:tcPr>
            <w:tcW w:type="dxa" w:w="1247"/>
          </w:tcPr>
          <w:p>
            <w:pPr>
              <w:spacing w:after="80"/>
            </w:pPr>
            <w:r>
              <w:rPr>
                <w:sz w:val="20"/>
              </w:rPr>
              <w:t>Rameen</w:t>
            </w:r>
          </w:p>
        </w:tc>
        <w:tc>
          <w:tcPr>
            <w:tcW w:type="dxa" w:w="4592"/>
          </w:tcPr>
          <w:p>
            <w:pPr>
              <w:spacing w:after="80"/>
            </w:pPr>
            <w:r>
              <w:rPr>
                <w:sz w:val="20"/>
              </w:rPr>
              <w:t>Check Eshaal’s P001–P007 and companion P023: 70 QA items, 48 inclusion checks, 30 outcomes and REEF version linkage.</w:t>
            </w:r>
          </w:p>
        </w:tc>
        <w:tc>
          <w:tcPr>
            <w:tcW w:type="dxa" w:w="4025"/>
          </w:tcPr>
          <w:p>
            <w:pPr>
              <w:spacing w:after="80"/>
            </w:pPr>
            <w:r>
              <w:rPr>
                <w:sz w:val="20"/>
              </w:rPr>
              <w:t>Your own score/decision for each assigned item, source page/table, actual name/time, corrections and disagreements.</w:t>
            </w:r>
          </w:p>
        </w:tc>
      </w:tr>
      <w:tr>
        <w:trPr>
          <w:cantSplit/>
        </w:trPr>
        <w:tc>
          <w:tcPr>
            <w:tcW w:type="dxa" w:w="1247"/>
          </w:tcPr>
          <w:p>
            <w:pPr>
              <w:spacing w:after="80"/>
            </w:pPr>
            <w:r>
              <w:rPr>
                <w:sz w:val="20"/>
              </w:rPr>
              <w:t>Eshaal</w:t>
            </w:r>
          </w:p>
        </w:tc>
        <w:tc>
          <w:tcPr>
            <w:tcW w:type="dxa" w:w="4592"/>
          </w:tcPr>
          <w:p>
            <w:pPr>
              <w:spacing w:after="80"/>
            </w:pPr>
            <w:r>
              <w:rPr>
                <w:sz w:val="20"/>
              </w:rPr>
              <w:t>Check Raazia’s P008–P014: 70 QA items, 42 inclusion checks and 13 outcomes. Keep ParvaGPU manuscript/final condition visible.</w:t>
            </w:r>
          </w:p>
        </w:tc>
        <w:tc>
          <w:tcPr>
            <w:tcW w:type="dxa" w:w="4025"/>
          </w:tcPr>
          <w:p>
            <w:pPr>
              <w:spacing w:after="80"/>
            </w:pPr>
            <w:r>
              <w:rPr>
                <w:sz w:val="20"/>
              </w:rPr>
              <w:t>The same item-level return; do not mark a source checked unless you opened it.</w:t>
            </w:r>
          </w:p>
        </w:tc>
      </w:tr>
      <w:tr>
        <w:trPr>
          <w:cantSplit/>
        </w:trPr>
        <w:tc>
          <w:tcPr>
            <w:tcW w:type="dxa" w:w="1247"/>
          </w:tcPr>
          <w:p>
            <w:pPr>
              <w:spacing w:after="80"/>
            </w:pPr>
            <w:r>
              <w:rPr>
                <w:sz w:val="20"/>
              </w:rPr>
              <w:t>Raazia</w:t>
            </w:r>
          </w:p>
        </w:tc>
        <w:tc>
          <w:tcPr>
            <w:tcW w:type="dxa" w:w="4592"/>
          </w:tcPr>
          <w:p>
            <w:pPr>
              <w:spacing w:after="80"/>
            </w:pPr>
            <w:r>
              <w:rPr>
                <w:sz w:val="20"/>
              </w:rPr>
              <w:t>Check Rameen’s P015, P018–P022: 60 QA items, 36 inclusion checks and 9 outcomes. Resolve disagreements after independent returns.</w:t>
            </w:r>
          </w:p>
        </w:tc>
        <w:tc>
          <w:tcPr>
            <w:tcW w:type="dxa" w:w="4025"/>
          </w:tcPr>
          <w:p>
            <w:pPr>
              <w:spacing w:after="80"/>
            </w:pPr>
            <w:r>
              <w:rPr>
                <w:sz w:val="20"/>
              </w:rPr>
              <w:t>An adjudication log with original judgments, source-based resolution and report/workbook changes.</w:t>
            </w:r>
          </w:p>
        </w:tc>
      </w:tr>
    </w:tbl>
    <w:p>
      <w:r>
        <w:t>1. Open the assigned member workbook and the cited source version. Keep your initial decisions in the independent fields or a separate return copy.</w:t>
      </w:r>
    </w:p>
    <w:p>
      <w:r>
        <w:t>2. For each retained number, verify metric, units, baseline, GPU/model/load, figure/table and whether it is a maximum, mean or percentile.</w:t>
      </w:r>
    </w:p>
    <w:p>
      <w:r>
        <w:t>3. For each QA and inclusion criterion, record your own evidence-based judgment. Missing reporting stays missing; performance protection is not proof of security.</w:t>
      </w:r>
    </w:p>
    <w:p>
      <w:r>
        <w:t>4. Enter your real name and actual time. Preserve disagreement before discussion. Resolve disagreements with a source anchor and a reason.</w:t>
      </w:r>
    </w:p>
    <w:p>
      <w:r>
        <w:t>5. After adjudication, read the main CEP draft together for clarity, citations, tables, consistency and the conditional recommendation.</w:t>
      </w:r>
    </w:p>
    <w:p>
      <w:r>
        <w:t>No independent human signatures have been supplied yet. The return template is: reviewer | actual UTC/timezone | study/report/version | item/evidence ID | initial judgment | source page/table | correction | reason | adjudicated result.</w:t>
      </w:r>
    </w:p>
    <w:p>
      <w:r>
        <w:br w:type="page"/>
      </w:r>
    </w:p>
    <w:p>
      <w:pPr>
        <w:pStyle w:val="Heading1"/>
      </w:pPr>
      <w:r>
        <w:t>3. After Task 2: headings 15–22</w:t>
      </w:r>
    </w:p>
    <w:tbl>
      <w:tblPr>
        <w:tblStyle w:val="LightShading-Accent1"/>
        <w:tblW w:type="auto" w:w="0"/>
        <w:tblLayout w:type="fixed"/>
        <w:tblLook w:firstColumn="1" w:firstRow="1" w:lastColumn="0" w:lastRow="0" w:noHBand="0" w:noVBand="1" w:val="04A0"/>
      </w:tblPr>
      <w:tblGrid>
        <w:gridCol w:w="2154"/>
        <w:gridCol w:w="1361"/>
        <w:gridCol w:w="6350"/>
      </w:tblGrid>
      <w:tr>
        <w:trPr>
          <w:tblHeader/>
        </w:trPr>
        <w:tc>
          <w:tcPr>
            <w:tcW w:type="dxa" w:w="3400"/>
          </w:tcPr>
          <w:p>
            <w:r>
              <w:t>Heading</w:t>
            </w:r>
          </w:p>
        </w:tc>
        <w:tc>
          <w:tcPr>
            <w:tcW w:type="dxa" w:w="3400"/>
          </w:tcPr>
          <w:p>
            <w:r>
              <w:t>Preparation</w:t>
            </w:r>
          </w:p>
        </w:tc>
        <w:tc>
          <w:tcPr>
            <w:tcW w:type="dxa" w:w="3400"/>
          </w:tcPr>
          <w:p>
            <w:r>
              <w:t>What the draft now contains</w:t>
            </w:r>
          </w:p>
        </w:tc>
      </w:tr>
      <w:tr>
        <w:trPr>
          <w:cantSplit/>
        </w:trPr>
        <w:tc>
          <w:tcPr>
            <w:tcW w:type="dxa" w:w="2154"/>
          </w:tcPr>
          <w:p>
            <w:pPr>
              <w:spacing w:after="80"/>
            </w:pPr>
            <w:r>
              <w:rPr>
                <w:sz w:val="20"/>
              </w:rPr>
              <w:t>15 Taxonomy</w:t>
            </w:r>
          </w:p>
        </w:tc>
        <w:tc>
          <w:tcPr>
            <w:tcW w:type="dxa" w:w="1361"/>
            <w:shd w:fill="E2F0D9"/>
          </w:tcPr>
          <w:p>
            <w:pPr>
              <w:spacing w:after="80"/>
            </w:pPr>
            <w:r>
              <w:rPr>
                <w:sz w:val="20"/>
              </w:rPr>
              <w:t>Green</w:t>
            </w:r>
          </w:p>
        </w:tc>
        <w:tc>
          <w:tcPr>
            <w:tcW w:type="dxa" w:w="6350"/>
          </w:tcPr>
          <w:p>
            <w:pPr>
              <w:spacing w:after="80"/>
            </w:pPr>
            <w:r>
              <w:rPr>
                <w:sz w:val="20"/>
              </w:rPr>
              <w:t>Temporal, spatial/partition and runtime/API controls; assumptions and boundaries.</w:t>
            </w:r>
          </w:p>
        </w:tc>
      </w:tr>
      <w:tr>
        <w:trPr>
          <w:cantSplit/>
        </w:trPr>
        <w:tc>
          <w:tcPr>
            <w:tcW w:type="dxa" w:w="2154"/>
          </w:tcPr>
          <w:p>
            <w:pPr>
              <w:spacing w:after="80"/>
            </w:pPr>
            <w:r>
              <w:rPr>
                <w:sz w:val="20"/>
              </w:rPr>
              <w:t>16 Comparison</w:t>
            </w:r>
          </w:p>
        </w:tc>
        <w:tc>
          <w:tcPr>
            <w:tcW w:type="dxa" w:w="1361"/>
            <w:shd w:fill="E2F0D9"/>
          </w:tcPr>
          <w:p>
            <w:pPr>
              <w:spacing w:after="80"/>
            </w:pPr>
            <w:r>
              <w:rPr>
                <w:sz w:val="20"/>
              </w:rPr>
              <w:t>Green</w:t>
            </w:r>
          </w:p>
        </w:tc>
        <w:tc>
          <w:tcPr>
            <w:tcW w:type="dxa" w:w="6350"/>
          </w:tcPr>
          <w:p>
            <w:pPr>
              <w:spacing w:after="80"/>
            </w:pPr>
            <w:r>
              <w:rPr>
                <w:sz w:val="20"/>
              </w:rPr>
              <w:t>Within-source contrasts and context-aware matrix; Tally metric and REEF mapping corrected.</w:t>
            </w:r>
          </w:p>
        </w:tc>
      </w:tr>
      <w:tr>
        <w:trPr>
          <w:cantSplit/>
        </w:trPr>
        <w:tc>
          <w:tcPr>
            <w:tcW w:type="dxa" w:w="2154"/>
          </w:tcPr>
          <w:p>
            <w:pPr>
              <w:spacing w:after="80"/>
            </w:pPr>
            <w:r>
              <w:rPr>
                <w:sz w:val="20"/>
              </w:rPr>
              <w:t>17 Trade-offs</w:t>
            </w:r>
          </w:p>
        </w:tc>
        <w:tc>
          <w:tcPr>
            <w:tcW w:type="dxa" w:w="1361"/>
            <w:shd w:fill="E2F0D9"/>
          </w:tcPr>
          <w:p>
            <w:pPr>
              <w:spacing w:after="80"/>
            </w:pPr>
            <w:r>
              <w:rPr>
                <w:sz w:val="20"/>
              </w:rPr>
              <w:t>Green</w:t>
            </w:r>
          </w:p>
        </w:tc>
        <w:tc>
          <w:tcPr>
            <w:tcW w:type="dxa" w:w="6350"/>
          </w:tcPr>
          <w:p>
            <w:pPr>
              <w:spacing w:after="80"/>
            </w:pPr>
            <w:r>
              <w:rPr>
                <w:sz w:val="20"/>
              </w:rPr>
              <w:t>Latency/utilization, foreground protection, memory/transfer, trust and implementation costs; adverse findings retained.</w:t>
            </w:r>
          </w:p>
        </w:tc>
      </w:tr>
      <w:tr>
        <w:trPr>
          <w:cantSplit/>
        </w:trPr>
        <w:tc>
          <w:tcPr>
            <w:tcW w:type="dxa" w:w="2154"/>
          </w:tcPr>
          <w:p>
            <w:pPr>
              <w:spacing w:after="80"/>
            </w:pPr>
            <w:r>
              <w:rPr>
                <w:sz w:val="20"/>
              </w:rPr>
              <w:t>18 Conflicting evidence</w:t>
            </w:r>
          </w:p>
        </w:tc>
        <w:tc>
          <w:tcPr>
            <w:tcW w:type="dxa" w:w="1361"/>
            <w:shd w:fill="E2F0D9"/>
          </w:tcPr>
          <w:p>
            <w:pPr>
              <w:spacing w:after="80"/>
            </w:pPr>
            <w:r>
              <w:rPr>
                <w:sz w:val="20"/>
              </w:rPr>
              <w:t>Green</w:t>
            </w:r>
          </w:p>
        </w:tc>
        <w:tc>
          <w:tcPr>
            <w:tcW w:type="dxa" w:w="6350"/>
          </w:tcPr>
          <w:p>
            <w:pPr>
              <w:spacing w:after="80"/>
            </w:pPr>
            <w:r>
              <w:rPr>
                <w:sz w:val="20"/>
              </w:rPr>
              <w:t>Different setups are distinguished from true disagreement; within-source tensions explained.</w:t>
            </w:r>
          </w:p>
        </w:tc>
      </w:tr>
      <w:tr>
        <w:trPr>
          <w:cantSplit/>
        </w:trPr>
        <w:tc>
          <w:tcPr>
            <w:tcW w:type="dxa" w:w="2154"/>
          </w:tcPr>
          <w:p>
            <w:pPr>
              <w:spacing w:after="80"/>
            </w:pPr>
            <w:r>
              <w:rPr>
                <w:sz w:val="20"/>
              </w:rPr>
              <w:t>19 Synthesis</w:t>
            </w:r>
          </w:p>
        </w:tc>
        <w:tc>
          <w:tcPr>
            <w:tcW w:type="dxa" w:w="1361"/>
            <w:shd w:fill="E2F0D9"/>
          </w:tcPr>
          <w:p>
            <w:pPr>
              <w:spacing w:after="80"/>
            </w:pPr>
            <w:r>
              <w:rPr>
                <w:sz w:val="20"/>
              </w:rPr>
              <w:t>Green</w:t>
            </w:r>
          </w:p>
        </w:tc>
        <w:tc>
          <w:tcPr>
            <w:tcW w:type="dxa" w:w="6350"/>
          </w:tcPr>
          <w:p>
            <w:pPr>
              <w:spacing w:after="80"/>
            </w:pPr>
            <w:r>
              <w:rPr>
                <w:sz w:val="20"/>
              </w:rPr>
              <w:t>All five protocol RQs answered with linked evidence and comparability limits.</w:t>
            </w:r>
          </w:p>
        </w:tc>
      </w:tr>
      <w:tr>
        <w:trPr>
          <w:cantSplit/>
        </w:trPr>
        <w:tc>
          <w:tcPr>
            <w:tcW w:type="dxa" w:w="2154"/>
          </w:tcPr>
          <w:p>
            <w:pPr>
              <w:spacing w:after="80"/>
            </w:pPr>
            <w:r>
              <w:rPr>
                <w:sz w:val="20"/>
              </w:rPr>
              <w:t>20 Recommendation</w:t>
            </w:r>
          </w:p>
        </w:tc>
        <w:tc>
          <w:tcPr>
            <w:tcW w:type="dxa" w:w="1361"/>
            <w:shd w:fill="E2F0D9"/>
          </w:tcPr>
          <w:p>
            <w:pPr>
              <w:spacing w:after="80"/>
            </w:pPr>
            <w:r>
              <w:rPr>
                <w:sz w:val="20"/>
              </w:rPr>
              <w:t>Green</w:t>
            </w:r>
          </w:p>
        </w:tc>
        <w:tc>
          <w:tcPr>
            <w:tcW w:type="dxa" w:w="6350"/>
          </w:tcPr>
          <w:p>
            <w:pPr>
              <w:spacing w:after="80"/>
            </w:pPr>
            <w:r>
              <w:rPr>
                <w:sz w:val="20"/>
              </w:rPr>
              <w:t>Conditional choices, benefits, sacrifices, alternatives and local validation; InferFair source results integrated.</w:t>
            </w:r>
          </w:p>
        </w:tc>
      </w:tr>
      <w:tr>
        <w:trPr>
          <w:cantSplit/>
        </w:trPr>
        <w:tc>
          <w:tcPr>
            <w:tcW w:type="dxa" w:w="2154"/>
          </w:tcPr>
          <w:p>
            <w:pPr>
              <w:spacing w:after="80"/>
            </w:pPr>
            <w:r>
              <w:rPr>
                <w:sz w:val="20"/>
              </w:rPr>
              <w:t>21 Research gaps</w:t>
            </w:r>
          </w:p>
        </w:tc>
        <w:tc>
          <w:tcPr>
            <w:tcW w:type="dxa" w:w="1361"/>
            <w:shd w:fill="E2F0D9"/>
          </w:tcPr>
          <w:p>
            <w:pPr>
              <w:spacing w:after="80"/>
            </w:pPr>
            <w:r>
              <w:rPr>
                <w:sz w:val="20"/>
              </w:rPr>
              <w:t>Green</w:t>
            </w:r>
          </w:p>
        </w:tc>
        <w:tc>
          <w:tcPr>
            <w:tcW w:type="dxa" w:w="6350"/>
          </w:tcPr>
          <w:p>
            <w:pPr>
              <w:spacing w:after="80"/>
            </w:pPr>
            <w:r>
              <w:rPr>
                <w:sz w:val="20"/>
              </w:rPr>
              <w:t>Corpus-derived gaps and prior-survey comparison; no “first survey” or worldwide-absence claim.</w:t>
            </w:r>
          </w:p>
        </w:tc>
      </w:tr>
      <w:tr>
        <w:trPr>
          <w:cantSplit/>
        </w:trPr>
        <w:tc>
          <w:tcPr>
            <w:tcW w:type="dxa" w:w="2154"/>
          </w:tcPr>
          <w:p>
            <w:pPr>
              <w:spacing w:after="80"/>
            </w:pPr>
            <w:r>
              <w:rPr>
                <w:sz w:val="20"/>
              </w:rPr>
              <w:t>22 Validity</w:t>
            </w:r>
          </w:p>
        </w:tc>
        <w:tc>
          <w:tcPr>
            <w:tcW w:type="dxa" w:w="1361"/>
            <w:shd w:fill="E2F0D9"/>
          </w:tcPr>
          <w:p>
            <w:pPr>
              <w:spacing w:after="80"/>
            </w:pPr>
            <w:r>
              <w:rPr>
                <w:sz w:val="20"/>
              </w:rPr>
              <w:t>Green</w:t>
            </w:r>
          </w:p>
        </w:tc>
        <w:tc>
          <w:tcPr>
            <w:tcW w:type="dxa" w:w="6350"/>
          </w:tcPr>
          <w:p>
            <w:pPr>
              <w:spacing w:after="80"/>
            </w:pPr>
            <w:r>
              <w:rPr>
                <w:sz w:val="20"/>
              </w:rPr>
              <w:t>559 selection branch, title-only decisions, search provenance, source versions and independent-review gaps explicitly reported.</w:t>
            </w:r>
          </w:p>
        </w:tc>
      </w:tr>
    </w:tbl>
    <w:p>
      <w:r>
        <w:t>These sections have been written and integrated. They do not need to be started again. Their independent source verification remains Yellow until the real teammate returns are recorded. New eligible studies from further screening would require an update.</w:t>
      </w:r>
    </w:p>
    <w:p>
      <w:r>
        <w:t>Current key corrections: InferFair 524.29 SLO-compliant requests/s and unfairness 1.05 under the specific Table 3 setup; ArkGPU’s low-contention regression retained; Dyna-P sensitivity tied to its local experiment; KRISP kept in its AMD emulation context; Tally’s 1.19 versus 1.65 denotes total normalized system throughput.</w:t>
      </w:r>
    </w:p>
    <w:p>
      <w:r>
        <w:br w:type="page"/>
      </w:r>
    </w:p>
    <w:p>
      <w:pPr>
        <w:pStyle w:val="Heading1"/>
      </w:pPr>
      <w:r>
        <w:t>4. Heading 23: mandatory deliverables (1–13)</w:t>
      </w:r>
    </w:p>
    <w:tbl>
      <w:tblPr>
        <w:tblStyle w:val="LightShading-Accent1"/>
        <w:tblW w:type="auto" w:w="0"/>
        <w:tblLayout w:type="fixed"/>
        <w:tblLook w:firstColumn="1" w:firstRow="1" w:lastColumn="0" w:lastRow="0" w:noHBand="0" w:noVBand="1" w:val="04A0"/>
      </w:tblPr>
      <w:tblGrid>
        <w:gridCol w:w="2891"/>
        <w:gridCol w:w="1134"/>
        <w:gridCol w:w="5839"/>
      </w:tblGrid>
      <w:tr>
        <w:trPr>
          <w:tblHeader/>
        </w:trPr>
        <w:tc>
          <w:tcPr>
            <w:tcW w:type="dxa" w:w="3400"/>
          </w:tcPr>
          <w:p>
            <w:r>
              <w:t>Deliverable</w:t>
            </w:r>
          </w:p>
        </w:tc>
        <w:tc>
          <w:tcPr>
            <w:tcW w:type="dxa" w:w="3400"/>
          </w:tcPr>
          <w:p>
            <w:r>
              <w:t>Status</w:t>
            </w:r>
          </w:p>
        </w:tc>
        <w:tc>
          <w:tcPr>
            <w:tcW w:type="dxa" w:w="3400"/>
          </w:tcPr>
          <w:p>
            <w:r>
              <w:t>Evidence / condition</w:t>
            </w:r>
          </w:p>
        </w:tc>
      </w:tr>
      <w:tr>
        <w:trPr>
          <w:cantSplit/>
        </w:trPr>
        <w:tc>
          <w:tcPr>
            <w:tcW w:type="dxa" w:w="2891"/>
          </w:tcPr>
          <w:p>
            <w:pPr>
              <w:spacing w:after="80"/>
            </w:pPr>
            <w:r>
              <w:rPr>
                <w:sz w:val="20"/>
              </w:rPr>
              <w:t>1 Final SLR report</w:t>
            </w:r>
          </w:p>
        </w:tc>
        <w:tc>
          <w:tcPr>
            <w:tcW w:type="dxa" w:w="1134"/>
            <w:shd w:fill="E2F0D9"/>
          </w:tcPr>
          <w:p>
            <w:pPr>
              <w:spacing w:after="80"/>
            </w:pPr>
            <w:r>
              <w:rPr>
                <w:sz w:val="20"/>
              </w:rPr>
              <w:t>Green</w:t>
            </w:r>
          </w:p>
        </w:tc>
        <w:tc>
          <w:tcPr>
            <w:tcW w:type="dxa" w:w="5839"/>
          </w:tcPr>
          <w:p>
            <w:pPr>
              <w:spacing w:after="80"/>
            </w:pPr>
            <w:r>
              <w:rPr>
                <w:sz w:val="20"/>
              </w:rPr>
              <w:t>Complete first draft in PDF and Word; bounded-method limitations remain.</w:t>
            </w:r>
          </w:p>
        </w:tc>
      </w:tr>
      <w:tr>
        <w:trPr>
          <w:cantSplit/>
        </w:trPr>
        <w:tc>
          <w:tcPr>
            <w:tcW w:type="dxa" w:w="2891"/>
          </w:tcPr>
          <w:p>
            <w:pPr>
              <w:spacing w:after="80"/>
            </w:pPr>
            <w:r>
              <w:rPr>
                <w:sz w:val="20"/>
              </w:rPr>
              <w:t>2 Engineering problem</w:t>
            </w:r>
          </w:p>
        </w:tc>
        <w:tc>
          <w:tcPr>
            <w:tcW w:type="dxa" w:w="1134"/>
            <w:shd w:fill="E2F0D9"/>
          </w:tcPr>
          <w:p>
            <w:pPr>
              <w:spacing w:after="80"/>
            </w:pPr>
            <w:r>
              <w:rPr>
                <w:sz w:val="20"/>
              </w:rPr>
              <w:t>Green</w:t>
            </w:r>
          </w:p>
        </w:tc>
        <w:tc>
          <w:tcPr>
            <w:tcW w:type="dxa" w:w="5839"/>
          </w:tcPr>
          <w:p>
            <w:pPr>
              <w:spacing w:after="80"/>
            </w:pPr>
            <w:r>
              <w:rPr>
                <w:sz w:val="20"/>
              </w:rPr>
              <w:t>Report §1: decision, alternatives and conflicting requirements.</w:t>
            </w:r>
          </w:p>
        </w:tc>
      </w:tr>
      <w:tr>
        <w:trPr>
          <w:cantSplit/>
        </w:trPr>
        <w:tc>
          <w:tcPr>
            <w:tcW w:type="dxa" w:w="2891"/>
          </w:tcPr>
          <w:p>
            <w:pPr>
              <w:spacing w:after="80"/>
            </w:pPr>
            <w:r>
              <w:rPr>
                <w:sz w:val="20"/>
              </w:rPr>
              <w:t>3 Objectives</w:t>
            </w:r>
          </w:p>
        </w:tc>
        <w:tc>
          <w:tcPr>
            <w:tcW w:type="dxa" w:w="1134"/>
            <w:shd w:fill="E2F0D9"/>
          </w:tcPr>
          <w:p>
            <w:pPr>
              <w:spacing w:after="80"/>
            </w:pPr>
            <w:r>
              <w:rPr>
                <w:sz w:val="20"/>
              </w:rPr>
              <w:t>Green</w:t>
            </w:r>
          </w:p>
        </w:tc>
        <w:tc>
          <w:tcPr>
            <w:tcW w:type="dxa" w:w="5839"/>
          </w:tcPr>
          <w:p>
            <w:pPr>
              <w:spacing w:after="80"/>
            </w:pPr>
            <w:r>
              <w:rPr>
                <w:sz w:val="20"/>
              </w:rPr>
              <w:t>Report §1.</w:t>
            </w:r>
          </w:p>
        </w:tc>
      </w:tr>
      <w:tr>
        <w:trPr>
          <w:cantSplit/>
        </w:trPr>
        <w:tc>
          <w:tcPr>
            <w:tcW w:type="dxa" w:w="2891"/>
          </w:tcPr>
          <w:p>
            <w:pPr>
              <w:spacing w:after="80"/>
            </w:pPr>
            <w:r>
              <w:rPr>
                <w:sz w:val="20"/>
              </w:rPr>
              <w:t>4 3–5 RQs</w:t>
            </w:r>
          </w:p>
        </w:tc>
        <w:tc>
          <w:tcPr>
            <w:tcW w:type="dxa" w:w="1134"/>
            <w:shd w:fill="E2F0D9"/>
          </w:tcPr>
          <w:p>
            <w:pPr>
              <w:spacing w:after="80"/>
            </w:pPr>
            <w:r>
              <w:rPr>
                <w:sz w:val="20"/>
              </w:rPr>
              <w:t>Green</w:t>
            </w:r>
          </w:p>
        </w:tc>
        <w:tc>
          <w:tcPr>
            <w:tcW w:type="dxa" w:w="5839"/>
          </w:tcPr>
          <w:p>
            <w:pPr>
              <w:spacing w:after="80"/>
            </w:pPr>
            <w:r>
              <w:rPr>
                <w:sz w:val="20"/>
              </w:rPr>
              <w:t>Five submitted-protocol questions, report §2.</w:t>
            </w:r>
          </w:p>
        </w:tc>
      </w:tr>
      <w:tr>
        <w:trPr>
          <w:cantSplit/>
        </w:trPr>
        <w:tc>
          <w:tcPr>
            <w:tcW w:type="dxa" w:w="2891"/>
          </w:tcPr>
          <w:p>
            <w:pPr>
              <w:spacing w:after="80"/>
            </w:pPr>
            <w:r>
              <w:rPr>
                <w:sz w:val="20"/>
              </w:rPr>
              <w:t>5 SLR protocol</w:t>
            </w:r>
          </w:p>
        </w:tc>
        <w:tc>
          <w:tcPr>
            <w:tcW w:type="dxa" w:w="1134"/>
            <w:shd w:fill="E2F0D9"/>
          </w:tcPr>
          <w:p>
            <w:pPr>
              <w:spacing w:after="80"/>
            </w:pPr>
            <w:r>
              <w:rPr>
                <w:sz w:val="20"/>
              </w:rPr>
              <w:t>Green</w:t>
            </w:r>
          </w:p>
        </w:tc>
        <w:tc>
          <w:tcPr>
            <w:tcW w:type="dxa" w:w="5839"/>
          </w:tcPr>
          <w:p>
            <w:pPr>
              <w:spacing w:after="80"/>
            </w:pPr>
            <w:r>
              <w:rPr>
                <w:sz w:val="20"/>
              </w:rPr>
              <w:t>Original submitted PDF preserved; amendments separate.</w:t>
            </w:r>
          </w:p>
        </w:tc>
      </w:tr>
      <w:tr>
        <w:trPr>
          <w:cantSplit/>
        </w:trPr>
        <w:tc>
          <w:tcPr>
            <w:tcW w:type="dxa" w:w="2891"/>
          </w:tcPr>
          <w:p>
            <w:pPr>
              <w:spacing w:after="80"/>
            </w:pPr>
            <w:r>
              <w:rPr>
                <w:sz w:val="20"/>
              </w:rPr>
              <w:t>6 Databases and justification</w:t>
            </w:r>
          </w:p>
        </w:tc>
        <w:tc>
          <w:tcPr>
            <w:tcW w:type="dxa" w:w="1134"/>
            <w:shd w:fill="E2F0D9"/>
          </w:tcPr>
          <w:p>
            <w:pPr>
              <w:spacing w:after="80"/>
            </w:pPr>
            <w:r>
              <w:rPr>
                <w:sz w:val="20"/>
              </w:rPr>
              <w:t>Green</w:t>
            </w:r>
          </w:p>
        </w:tc>
        <w:tc>
          <w:tcPr>
            <w:tcW w:type="dxa" w:w="5839"/>
          </w:tcPr>
          <w:p>
            <w:pPr>
              <w:spacing w:after="80"/>
            </w:pPr>
            <w:r>
              <w:rPr>
                <w:sz w:val="20"/>
              </w:rPr>
              <w:t>Report §3 and Search Log.</w:t>
            </w:r>
          </w:p>
        </w:tc>
      </w:tr>
      <w:tr>
        <w:trPr>
          <w:cantSplit/>
        </w:trPr>
        <w:tc>
          <w:tcPr>
            <w:tcW w:type="dxa" w:w="2891"/>
          </w:tcPr>
          <w:p>
            <w:pPr>
              <w:spacing w:after="80"/>
            </w:pPr>
            <w:r>
              <w:rPr>
                <w:sz w:val="20"/>
              </w:rPr>
              <w:t>7 Complete search strings</w:t>
            </w:r>
          </w:p>
        </w:tc>
        <w:tc>
          <w:tcPr>
            <w:tcW w:type="dxa" w:w="1134"/>
            <w:shd w:fill="FFF2CC"/>
          </w:tcPr>
          <w:p>
            <w:pPr>
              <w:spacing w:after="80"/>
            </w:pPr>
            <w:r>
              <w:rPr>
                <w:sz w:val="20"/>
              </w:rPr>
              <w:t>Yellow</w:t>
            </w:r>
          </w:p>
        </w:tc>
        <w:tc>
          <w:tcPr>
            <w:tcW w:type="dxa" w:w="5839"/>
          </w:tcPr>
          <w:p>
            <w:pPr>
              <w:spacing w:after="80"/>
            </w:pPr>
            <w:r>
              <w:rPr>
                <w:sz w:val="20"/>
              </w:rPr>
              <w:t>Recorded strings supplied; historical fields/run mapping incomplete.</w:t>
            </w:r>
          </w:p>
        </w:tc>
      </w:tr>
      <w:tr>
        <w:trPr>
          <w:cantSplit/>
        </w:trPr>
        <w:tc>
          <w:tcPr>
            <w:tcW w:type="dxa" w:w="2891"/>
          </w:tcPr>
          <w:p>
            <w:pPr>
              <w:spacing w:after="80"/>
            </w:pPr>
            <w:r>
              <w:rPr>
                <w:sz w:val="20"/>
              </w:rPr>
              <w:t>8 Inclusion/exclusion criteria</w:t>
            </w:r>
          </w:p>
        </w:tc>
        <w:tc>
          <w:tcPr>
            <w:tcW w:type="dxa" w:w="1134"/>
            <w:shd w:fill="E2F0D9"/>
          </w:tcPr>
          <w:p>
            <w:pPr>
              <w:spacing w:after="80"/>
            </w:pPr>
            <w:r>
              <w:rPr>
                <w:sz w:val="20"/>
              </w:rPr>
              <w:t>Green</w:t>
            </w:r>
          </w:p>
        </w:tc>
        <w:tc>
          <w:tcPr>
            <w:tcW w:type="dxa" w:w="5839"/>
          </w:tcPr>
          <w:p>
            <w:pPr>
              <w:spacing w:after="80"/>
            </w:pPr>
            <w:r>
              <w:rPr>
                <w:sz w:val="20"/>
              </w:rPr>
              <w:t>Report §3; implementation deviations retained.</w:t>
            </w:r>
          </w:p>
        </w:tc>
      </w:tr>
      <w:tr>
        <w:trPr>
          <w:cantSplit/>
        </w:trPr>
        <w:tc>
          <w:tcPr>
            <w:tcW w:type="dxa" w:w="2891"/>
          </w:tcPr>
          <w:p>
            <w:pPr>
              <w:spacing w:after="80"/>
            </w:pPr>
            <w:r>
              <w:rPr>
                <w:sz w:val="20"/>
              </w:rPr>
              <w:t>9 Database-wise search results</w:t>
            </w:r>
          </w:p>
        </w:tc>
        <w:tc>
          <w:tcPr>
            <w:tcW w:type="dxa" w:w="1134"/>
            <w:shd w:fill="FFF2CC"/>
          </w:tcPr>
          <w:p>
            <w:pPr>
              <w:spacing w:after="80"/>
            </w:pPr>
            <w:r>
              <w:rPr>
                <w:sz w:val="20"/>
              </w:rPr>
              <w:t>Yellow</w:t>
            </w:r>
          </w:p>
        </w:tc>
        <w:tc>
          <w:tcPr>
            <w:tcW w:type="dxa" w:w="5839"/>
          </w:tcPr>
          <w:p>
            <w:pPr>
              <w:spacing w:after="80"/>
            </w:pPr>
            <w:r>
              <w:rPr>
                <w:sz w:val="20"/>
              </w:rPr>
              <w:t>Recorded counts retained; display/export discrepancies unresolved.</w:t>
            </w:r>
          </w:p>
        </w:tc>
      </w:tr>
      <w:tr>
        <w:trPr>
          <w:cantSplit/>
        </w:trPr>
        <w:tc>
          <w:tcPr>
            <w:tcW w:type="dxa" w:w="2891"/>
          </w:tcPr>
          <w:p>
            <w:pPr>
              <w:spacing w:after="80"/>
            </w:pPr>
            <w:r>
              <w:rPr>
                <w:sz w:val="20"/>
              </w:rPr>
              <w:t>10 Search/screening log</w:t>
            </w:r>
          </w:p>
        </w:tc>
        <w:tc>
          <w:tcPr>
            <w:tcW w:type="dxa" w:w="1134"/>
            <w:shd w:fill="FFF2CC"/>
          </w:tcPr>
          <w:p>
            <w:pPr>
              <w:spacing w:after="80"/>
            </w:pPr>
            <w:r>
              <w:rPr>
                <w:sz w:val="20"/>
              </w:rPr>
              <w:t>Yellow</w:t>
            </w:r>
          </w:p>
        </w:tc>
        <w:tc>
          <w:tcPr>
            <w:tcW w:type="dxa" w:w="5839"/>
          </w:tcPr>
          <w:p>
            <w:pPr>
              <w:spacing w:after="80"/>
            </w:pPr>
            <w:r>
              <w:rPr>
                <w:sz w:val="20"/>
              </w:rPr>
              <w:t>4,075 canonical rows; 559 not advanced; title-only limits disclosed.</w:t>
            </w:r>
          </w:p>
        </w:tc>
      </w:tr>
      <w:tr>
        <w:trPr>
          <w:cantSplit/>
        </w:trPr>
        <w:tc>
          <w:tcPr>
            <w:tcW w:type="dxa" w:w="2891"/>
          </w:tcPr>
          <w:p>
            <w:pPr>
              <w:spacing w:after="80"/>
            </w:pPr>
            <w:r>
              <w:rPr>
                <w:sz w:val="20"/>
              </w:rPr>
              <w:t>11 Duplicate-removal record</w:t>
            </w:r>
          </w:p>
        </w:tc>
        <w:tc>
          <w:tcPr>
            <w:tcW w:type="dxa" w:w="1134"/>
            <w:shd w:fill="E2F0D9"/>
          </w:tcPr>
          <w:p>
            <w:pPr>
              <w:spacing w:after="80"/>
            </w:pPr>
            <w:r>
              <w:rPr>
                <w:sz w:val="20"/>
              </w:rPr>
              <w:t>Green</w:t>
            </w:r>
          </w:p>
        </w:tc>
        <w:tc>
          <w:tcPr>
            <w:tcW w:type="dxa" w:w="5839"/>
          </w:tcPr>
          <w:p>
            <w:pPr>
              <w:spacing w:after="80"/>
            </w:pPr>
            <w:r>
              <w:rPr>
                <w:sz w:val="20"/>
              </w:rPr>
              <w:t>114 unique removed IDs with valid canonical targets; semantic pair audit separate.</w:t>
            </w:r>
          </w:p>
        </w:tc>
      </w:tr>
      <w:tr>
        <w:trPr>
          <w:cantSplit/>
        </w:trPr>
        <w:tc>
          <w:tcPr>
            <w:tcW w:type="dxa" w:w="2891"/>
          </w:tcPr>
          <w:p>
            <w:pPr>
              <w:spacing w:after="80"/>
            </w:pPr>
            <w:r>
              <w:rPr>
                <w:sz w:val="20"/>
              </w:rPr>
              <w:t>12 PRISMA 2020 flow</w:t>
            </w:r>
          </w:p>
        </w:tc>
        <w:tc>
          <w:tcPr>
            <w:tcW w:type="dxa" w:w="1134"/>
            <w:shd w:fill="FFF2CC"/>
          </w:tcPr>
          <w:p>
            <w:pPr>
              <w:spacing w:after="80"/>
            </w:pPr>
            <w:r>
              <w:rPr>
                <w:sz w:val="20"/>
              </w:rPr>
              <w:t>Yellow</w:t>
            </w:r>
          </w:p>
        </w:tc>
        <w:tc>
          <w:tcPr>
            <w:tcW w:type="dxa" w:w="5839"/>
          </w:tcPr>
          <w:p>
            <w:pPr>
              <w:spacing w:after="80"/>
            </w:pPr>
            <w:r>
              <w:rPr>
                <w:sz w:val="20"/>
              </w:rPr>
              <w:t>Arithmetic and bounded branch documented; exhaustive selection not established.</w:t>
            </w:r>
          </w:p>
        </w:tc>
      </w:tr>
      <w:tr>
        <w:trPr>
          <w:cantSplit/>
        </w:trPr>
        <w:tc>
          <w:tcPr>
            <w:tcW w:type="dxa" w:w="2891"/>
          </w:tcPr>
          <w:p>
            <w:pPr>
              <w:spacing w:after="80"/>
            </w:pPr>
            <w:r>
              <w:rPr>
                <w:sz w:val="20"/>
              </w:rPr>
              <w:t>13 QA checklist/scores</w:t>
            </w:r>
          </w:p>
        </w:tc>
        <w:tc>
          <w:tcPr>
            <w:tcW w:type="dxa" w:w="1134"/>
            <w:shd w:fill="FFF2CC"/>
          </w:tcPr>
          <w:p>
            <w:pPr>
              <w:spacing w:after="80"/>
            </w:pPr>
            <w:r>
              <w:rPr>
                <w:sz w:val="20"/>
              </w:rPr>
              <w:t>Yellow</w:t>
            </w:r>
          </w:p>
        </w:tc>
        <w:tc>
          <w:tcPr>
            <w:tcW w:type="dxa" w:w="5839"/>
          </w:tcPr>
          <w:p>
            <w:pPr>
              <w:spacing w:after="80"/>
            </w:pPr>
            <w:r>
              <w:rPr>
                <w:sz w:val="20"/>
              </w:rPr>
              <w:t>200 source-reviewed items, current 338/396 applicable points; independent votes absent.</w:t>
            </w:r>
          </w:p>
        </w:tc>
      </w:tr>
    </w:tbl>
    <w:p>
      <w:r>
        <w:br w:type="page"/>
      </w:r>
    </w:p>
    <w:p>
      <w:pPr>
        <w:pStyle w:val="Heading1"/>
      </w:pPr>
      <w:r>
        <w:t>4. Heading 23: mandatory deliverables (14–25)</w:t>
      </w:r>
    </w:p>
    <w:tbl>
      <w:tblPr>
        <w:tblStyle w:val="LightShading-Accent1"/>
        <w:tblW w:type="auto" w:w="0"/>
        <w:tblLayout w:type="fixed"/>
        <w:tblLook w:firstColumn="1" w:firstRow="1" w:lastColumn="0" w:lastRow="0" w:noHBand="0" w:noVBand="1" w:val="04A0"/>
      </w:tblPr>
      <w:tblGrid>
        <w:gridCol w:w="2891"/>
        <w:gridCol w:w="1134"/>
        <w:gridCol w:w="5839"/>
      </w:tblGrid>
      <w:tr>
        <w:trPr>
          <w:tblHeader/>
        </w:trPr>
        <w:tc>
          <w:tcPr>
            <w:tcW w:type="dxa" w:w="3400"/>
          </w:tcPr>
          <w:p>
            <w:r>
              <w:t>Deliverable</w:t>
            </w:r>
          </w:p>
        </w:tc>
        <w:tc>
          <w:tcPr>
            <w:tcW w:type="dxa" w:w="3400"/>
          </w:tcPr>
          <w:p>
            <w:r>
              <w:t>Status</w:t>
            </w:r>
          </w:p>
        </w:tc>
        <w:tc>
          <w:tcPr>
            <w:tcW w:type="dxa" w:w="3400"/>
          </w:tcPr>
          <w:p>
            <w:r>
              <w:t>Evidence / condition</w:t>
            </w:r>
          </w:p>
        </w:tc>
      </w:tr>
      <w:tr>
        <w:trPr>
          <w:cantSplit/>
        </w:trPr>
        <w:tc>
          <w:tcPr>
            <w:tcW w:type="dxa" w:w="2891"/>
          </w:tcPr>
          <w:p>
            <w:pPr>
              <w:spacing w:after="80"/>
            </w:pPr>
            <w:r>
              <w:rPr>
                <w:sz w:val="20"/>
              </w:rPr>
              <w:t>14 Included primary studies</w:t>
            </w:r>
          </w:p>
        </w:tc>
        <w:tc>
          <w:tcPr>
            <w:tcW w:type="dxa" w:w="1134"/>
            <w:shd w:fill="E2F0D9"/>
          </w:tcPr>
          <w:p>
            <w:pPr>
              <w:spacing w:after="80"/>
            </w:pPr>
            <w:r>
              <w:rPr>
                <w:sz w:val="20"/>
              </w:rPr>
              <w:t>Green</w:t>
            </w:r>
          </w:p>
        </w:tc>
        <w:tc>
          <w:tcPr>
            <w:tcW w:type="dxa" w:w="5839"/>
          </w:tcPr>
          <w:p>
            <w:pPr>
              <w:spacing w:after="80"/>
            </w:pPr>
            <w:r>
              <w:rPr>
                <w:sz w:val="20"/>
              </w:rPr>
              <w:t>20 unique studies / 21 reports; target met. ParvaGPU version condition disclosed.</w:t>
            </w:r>
          </w:p>
        </w:tc>
      </w:tr>
      <w:tr>
        <w:trPr>
          <w:cantSplit/>
        </w:trPr>
        <w:tc>
          <w:tcPr>
            <w:tcW w:type="dxa" w:w="2891"/>
          </w:tcPr>
          <w:p>
            <w:pPr>
              <w:spacing w:after="80"/>
            </w:pPr>
            <w:r>
              <w:rPr>
                <w:sz w:val="20"/>
              </w:rPr>
              <w:t>15 Extraction sheet</w:t>
            </w:r>
          </w:p>
        </w:tc>
        <w:tc>
          <w:tcPr>
            <w:tcW w:type="dxa" w:w="1134"/>
            <w:shd w:fill="E2F0D9"/>
          </w:tcPr>
          <w:p>
            <w:pPr>
              <w:spacing w:after="80"/>
            </w:pPr>
            <w:r>
              <w:rPr>
                <w:sz w:val="20"/>
              </w:rPr>
              <w:t>Green</w:t>
            </w:r>
          </w:p>
        </w:tc>
        <w:tc>
          <w:tcPr>
            <w:tcW w:type="dxa" w:w="5839"/>
          </w:tcPr>
          <w:p>
            <w:pPr>
              <w:spacing w:after="80"/>
            </w:pPr>
            <w:r>
              <w:rPr>
                <w:sz w:val="20"/>
              </w:rPr>
              <w:t>52 retained outcomes source-checked; two transparent calculations.</w:t>
            </w:r>
          </w:p>
        </w:tc>
      </w:tr>
      <w:tr>
        <w:trPr>
          <w:cantSplit/>
        </w:trPr>
        <w:tc>
          <w:tcPr>
            <w:tcW w:type="dxa" w:w="2891"/>
          </w:tcPr>
          <w:p>
            <w:pPr>
              <w:spacing w:after="80"/>
            </w:pPr>
            <w:r>
              <w:rPr>
                <w:sz w:val="20"/>
              </w:rPr>
              <w:t>16 Taxonomy</w:t>
            </w:r>
          </w:p>
        </w:tc>
        <w:tc>
          <w:tcPr>
            <w:tcW w:type="dxa" w:w="1134"/>
            <w:shd w:fill="E2F0D9"/>
          </w:tcPr>
          <w:p>
            <w:pPr>
              <w:spacing w:after="80"/>
            </w:pPr>
            <w:r>
              <w:rPr>
                <w:sz w:val="20"/>
              </w:rPr>
              <w:t>Green</w:t>
            </w:r>
          </w:p>
        </w:tc>
        <w:tc>
          <w:tcPr>
            <w:tcW w:type="dxa" w:w="5839"/>
          </w:tcPr>
          <w:p>
            <w:pPr>
              <w:spacing w:after="80"/>
            </w:pPr>
            <w:r>
              <w:rPr>
                <w:sz w:val="20"/>
              </w:rPr>
              <w:t>Mechanism-based classification in report/workbook.</w:t>
            </w:r>
          </w:p>
        </w:tc>
      </w:tr>
      <w:tr>
        <w:trPr>
          <w:cantSplit/>
        </w:trPr>
        <w:tc>
          <w:tcPr>
            <w:tcW w:type="dxa" w:w="2891"/>
          </w:tcPr>
          <w:p>
            <w:pPr>
              <w:spacing w:after="80"/>
            </w:pPr>
            <w:r>
              <w:rPr>
                <w:sz w:val="20"/>
              </w:rPr>
              <w:t>17 Comparative matrix</w:t>
            </w:r>
          </w:p>
        </w:tc>
        <w:tc>
          <w:tcPr>
            <w:tcW w:type="dxa" w:w="1134"/>
            <w:shd w:fill="E2F0D9"/>
          </w:tcPr>
          <w:p>
            <w:pPr>
              <w:spacing w:after="80"/>
            </w:pPr>
            <w:r>
              <w:rPr>
                <w:sz w:val="20"/>
              </w:rPr>
              <w:t>Green</w:t>
            </w:r>
          </w:p>
        </w:tc>
        <w:tc>
          <w:tcPr>
            <w:tcW w:type="dxa" w:w="5839"/>
          </w:tcPr>
          <w:p>
            <w:pPr>
              <w:spacing w:after="80"/>
            </w:pPr>
            <w:r>
              <w:rPr>
                <w:sz w:val="20"/>
              </w:rPr>
              <w:t>Context-aware comparisons integrated.</w:t>
            </w:r>
          </w:p>
        </w:tc>
      </w:tr>
      <w:tr>
        <w:trPr>
          <w:cantSplit/>
        </w:trPr>
        <w:tc>
          <w:tcPr>
            <w:tcW w:type="dxa" w:w="2891"/>
          </w:tcPr>
          <w:p>
            <w:pPr>
              <w:spacing w:after="80"/>
            </w:pPr>
            <w:r>
              <w:rPr>
                <w:sz w:val="20"/>
              </w:rPr>
              <w:t>18 Trade-off analysis</w:t>
            </w:r>
          </w:p>
        </w:tc>
        <w:tc>
          <w:tcPr>
            <w:tcW w:type="dxa" w:w="1134"/>
            <w:shd w:fill="E2F0D9"/>
          </w:tcPr>
          <w:p>
            <w:pPr>
              <w:spacing w:after="80"/>
            </w:pPr>
            <w:r>
              <w:rPr>
                <w:sz w:val="20"/>
              </w:rPr>
              <w:t>Green</w:t>
            </w:r>
          </w:p>
        </w:tc>
        <w:tc>
          <w:tcPr>
            <w:tcW w:type="dxa" w:w="5839"/>
          </w:tcPr>
          <w:p>
            <w:pPr>
              <w:spacing w:after="80"/>
            </w:pPr>
            <w:r>
              <w:rPr>
                <w:sz w:val="20"/>
              </w:rPr>
              <w:t>Benefits and sacrifices tied to conditions.</w:t>
            </w:r>
          </w:p>
        </w:tc>
      </w:tr>
      <w:tr>
        <w:trPr>
          <w:cantSplit/>
        </w:trPr>
        <w:tc>
          <w:tcPr>
            <w:tcW w:type="dxa" w:w="2891"/>
          </w:tcPr>
          <w:p>
            <w:pPr>
              <w:spacing w:after="80"/>
            </w:pPr>
            <w:r>
              <w:rPr>
                <w:sz w:val="20"/>
              </w:rPr>
              <w:t>19 Conflicting evidence</w:t>
            </w:r>
          </w:p>
        </w:tc>
        <w:tc>
          <w:tcPr>
            <w:tcW w:type="dxa" w:w="1134"/>
            <w:shd w:fill="E2F0D9"/>
          </w:tcPr>
          <w:p>
            <w:pPr>
              <w:spacing w:after="80"/>
            </w:pPr>
            <w:r>
              <w:rPr>
                <w:sz w:val="20"/>
              </w:rPr>
              <w:t>Green</w:t>
            </w:r>
          </w:p>
        </w:tc>
        <w:tc>
          <w:tcPr>
            <w:tcW w:type="dxa" w:w="5839"/>
          </w:tcPr>
          <w:p>
            <w:pPr>
              <w:spacing w:after="80"/>
            </w:pPr>
            <w:r>
              <w:rPr>
                <w:sz w:val="20"/>
              </w:rPr>
              <w:t>Source tensions and unmatched comparisons distinguished.</w:t>
            </w:r>
          </w:p>
        </w:tc>
      </w:tr>
      <w:tr>
        <w:trPr>
          <w:cantSplit/>
        </w:trPr>
        <w:tc>
          <w:tcPr>
            <w:tcW w:type="dxa" w:w="2891"/>
          </w:tcPr>
          <w:p>
            <w:pPr>
              <w:spacing w:after="80"/>
            </w:pPr>
            <w:r>
              <w:rPr>
                <w:sz w:val="20"/>
              </w:rPr>
              <w:t>20 All RQ answers</w:t>
            </w:r>
          </w:p>
        </w:tc>
        <w:tc>
          <w:tcPr>
            <w:tcW w:type="dxa" w:w="1134"/>
            <w:shd w:fill="E2F0D9"/>
          </w:tcPr>
          <w:p>
            <w:pPr>
              <w:spacing w:after="80"/>
            </w:pPr>
            <w:r>
              <w:rPr>
                <w:sz w:val="20"/>
              </w:rPr>
              <w:t>Green</w:t>
            </w:r>
          </w:p>
        </w:tc>
        <w:tc>
          <w:tcPr>
            <w:tcW w:type="dxa" w:w="5839"/>
          </w:tcPr>
          <w:p>
            <w:pPr>
              <w:spacing w:after="80"/>
            </w:pPr>
            <w:r>
              <w:rPr>
                <w:sz w:val="20"/>
              </w:rPr>
              <w:t>Five synthesis answers in report §6.</w:t>
            </w:r>
          </w:p>
        </w:tc>
      </w:tr>
      <w:tr>
        <w:trPr>
          <w:cantSplit/>
        </w:trPr>
        <w:tc>
          <w:tcPr>
            <w:tcW w:type="dxa" w:w="2891"/>
          </w:tcPr>
          <w:p>
            <w:pPr>
              <w:spacing w:after="80"/>
            </w:pPr>
            <w:r>
              <w:rPr>
                <w:sz w:val="20"/>
              </w:rPr>
              <w:t>21 Engineering recommendation</w:t>
            </w:r>
          </w:p>
        </w:tc>
        <w:tc>
          <w:tcPr>
            <w:tcW w:type="dxa" w:w="1134"/>
            <w:shd w:fill="E2F0D9"/>
          </w:tcPr>
          <w:p>
            <w:pPr>
              <w:spacing w:after="80"/>
            </w:pPr>
            <w:r>
              <w:rPr>
                <w:sz w:val="20"/>
              </w:rPr>
              <w:t>Green</w:t>
            </w:r>
          </w:p>
        </w:tc>
        <w:tc>
          <w:tcPr>
            <w:tcW w:type="dxa" w:w="5839"/>
          </w:tcPr>
          <w:p>
            <w:pPr>
              <w:spacing w:after="80"/>
            </w:pPr>
            <w:r>
              <w:rPr>
                <w:sz w:val="20"/>
              </w:rPr>
              <w:t>Conditional matrix in report §10; supported source corrections applied.</w:t>
            </w:r>
          </w:p>
        </w:tc>
      </w:tr>
      <w:tr>
        <w:trPr>
          <w:cantSplit/>
        </w:trPr>
        <w:tc>
          <w:tcPr>
            <w:tcW w:type="dxa" w:w="2891"/>
          </w:tcPr>
          <w:p>
            <w:pPr>
              <w:spacing w:after="80"/>
            </w:pPr>
            <w:r>
              <w:rPr>
                <w:sz w:val="20"/>
              </w:rPr>
              <w:t>22 Research gaps</w:t>
            </w:r>
          </w:p>
        </w:tc>
        <w:tc>
          <w:tcPr>
            <w:tcW w:type="dxa" w:w="1134"/>
            <w:shd w:fill="E2F0D9"/>
          </w:tcPr>
          <w:p>
            <w:pPr>
              <w:spacing w:after="80"/>
            </w:pPr>
            <w:r>
              <w:rPr>
                <w:sz w:val="20"/>
              </w:rPr>
              <w:t>Green</w:t>
            </w:r>
          </w:p>
        </w:tc>
        <w:tc>
          <w:tcPr>
            <w:tcW w:type="dxa" w:w="5839"/>
          </w:tcPr>
          <w:p>
            <w:pPr>
              <w:spacing w:after="80"/>
            </w:pPr>
            <w:r>
              <w:rPr>
                <w:sz w:val="20"/>
              </w:rPr>
              <w:t>Corpus-scoped gaps and future experiments.</w:t>
            </w:r>
          </w:p>
        </w:tc>
      </w:tr>
      <w:tr>
        <w:trPr>
          <w:cantSplit/>
        </w:trPr>
        <w:tc>
          <w:tcPr>
            <w:tcW w:type="dxa" w:w="2891"/>
          </w:tcPr>
          <w:p>
            <w:pPr>
              <w:spacing w:after="80"/>
            </w:pPr>
            <w:r>
              <w:rPr>
                <w:sz w:val="20"/>
              </w:rPr>
              <w:t>23 Threats to validity</w:t>
            </w:r>
          </w:p>
        </w:tc>
        <w:tc>
          <w:tcPr>
            <w:tcW w:type="dxa" w:w="1134"/>
            <w:shd w:fill="E2F0D9"/>
          </w:tcPr>
          <w:p>
            <w:pPr>
              <w:spacing w:after="80"/>
            </w:pPr>
            <w:r>
              <w:rPr>
                <w:sz w:val="20"/>
              </w:rPr>
              <w:t>Green</w:t>
            </w:r>
          </w:p>
        </w:tc>
        <w:tc>
          <w:tcPr>
            <w:tcW w:type="dxa" w:w="5839"/>
          </w:tcPr>
          <w:p>
            <w:pPr>
              <w:spacing w:after="80"/>
            </w:pPr>
            <w:r>
              <w:rPr>
                <w:sz w:val="20"/>
              </w:rPr>
              <w:t>Limitations and applied mitigations in report §12.</w:t>
            </w:r>
          </w:p>
        </w:tc>
      </w:tr>
      <w:tr>
        <w:trPr>
          <w:cantSplit/>
        </w:trPr>
        <w:tc>
          <w:tcPr>
            <w:tcW w:type="dxa" w:w="2891"/>
          </w:tcPr>
          <w:p>
            <w:pPr>
              <w:spacing w:after="80"/>
            </w:pPr>
            <w:r>
              <w:rPr>
                <w:sz w:val="20"/>
              </w:rPr>
              <w:t>24 Complete references</w:t>
            </w:r>
          </w:p>
        </w:tc>
        <w:tc>
          <w:tcPr>
            <w:tcW w:type="dxa" w:w="1134"/>
            <w:shd w:fill="FFF2CC"/>
          </w:tcPr>
          <w:p>
            <w:pPr>
              <w:spacing w:after="80"/>
            </w:pPr>
            <w:r>
              <w:rPr>
                <w:sz w:val="20"/>
              </w:rPr>
              <w:t>Yellow</w:t>
            </w:r>
          </w:p>
        </w:tc>
        <w:tc>
          <w:tcPr>
            <w:tcW w:type="dxa" w:w="5839"/>
          </w:tcPr>
          <w:p>
            <w:pPr>
              <w:spacing w:after="80"/>
            </w:pPr>
            <w:r>
              <w:rPr>
                <w:sz w:val="20"/>
              </w:rPr>
              <w:t>IEEE-style references present; ParvaGPU final-text equivalence not verified.</w:t>
            </w:r>
          </w:p>
        </w:tc>
      </w:tr>
      <w:tr>
        <w:trPr>
          <w:cantSplit/>
        </w:trPr>
        <w:tc>
          <w:tcPr>
            <w:tcW w:type="dxa" w:w="2891"/>
          </w:tcPr>
          <w:p>
            <w:pPr>
              <w:spacing w:after="80"/>
            </w:pPr>
            <w:r>
              <w:rPr>
                <w:sz w:val="20"/>
              </w:rPr>
              <w:t>25 Supporting verification files</w:t>
            </w:r>
          </w:p>
        </w:tc>
        <w:tc>
          <w:tcPr>
            <w:tcW w:type="dxa" w:w="1134"/>
            <w:shd w:fill="E2F0D9"/>
          </w:tcPr>
          <w:p>
            <w:pPr>
              <w:spacing w:after="80"/>
            </w:pPr>
            <w:r>
              <w:rPr>
                <w:sz w:val="20"/>
              </w:rPr>
              <w:t>Green</w:t>
            </w:r>
          </w:p>
        </w:tc>
        <w:tc>
          <w:tcPr>
            <w:tcW w:type="dxa" w:w="5839"/>
          </w:tcPr>
          <w:p>
            <w:pPr>
              <w:spacing w:after="80"/>
            </w:pPr>
            <w:r>
              <w:rPr>
                <w:sz w:val="20"/>
              </w:rPr>
              <w:t>Current and frozen data, three member packages, methods audit and scripts included.</w:t>
            </w:r>
          </w:p>
        </w:tc>
      </w:tr>
    </w:tbl>
    <w:p>
      <w:r>
        <w:t>Green certifies the stated preparation task. It does not mean the historical search is fully reproducible or the independent-review requirement has been met. The report preserves those separate limitations.</w:t>
      </w:r>
    </w:p>
    <w:p>
      <w:r>
        <w:br w:type="page"/>
      </w:r>
    </w:p>
    <w:p>
      <w:pPr>
        <w:pStyle w:val="Heading1"/>
      </w:pPr>
      <w:r>
        <w:t>5. Heading 24: report structure</w:t>
      </w:r>
    </w:p>
    <w:tbl>
      <w:tblPr>
        <w:tblStyle w:val="LightShading-Accent1"/>
        <w:tblW w:type="auto" w:w="0"/>
        <w:tblLayout w:type="fixed"/>
        <w:tblLook w:firstColumn="1" w:firstRow="1" w:lastColumn="0" w:lastRow="0" w:noHBand="0" w:noVBand="1" w:val="04A0"/>
      </w:tblPr>
      <w:tblGrid>
        <w:gridCol w:w="3061"/>
        <w:gridCol w:w="6803"/>
      </w:tblGrid>
      <w:tr>
        <w:trPr>
          <w:tblHeader/>
        </w:trPr>
        <w:tc>
          <w:tcPr>
            <w:tcW w:type="dxa" w:w="5100"/>
          </w:tcPr>
          <w:p>
            <w:r>
              <w:t>Required part</w:t>
            </w:r>
          </w:p>
        </w:tc>
        <w:tc>
          <w:tcPr>
            <w:tcW w:type="dxa" w:w="5100"/>
          </w:tcPr>
          <w:p>
            <w:r>
              <w:t>Written and integrated content</w:t>
            </w:r>
          </w:p>
        </w:tc>
      </w:tr>
      <w:tr>
        <w:trPr>
          <w:cantSplit/>
        </w:trPr>
        <w:tc>
          <w:tcPr>
            <w:tcW w:type="dxa" w:w="3061"/>
          </w:tcPr>
          <w:p>
            <w:pPr>
              <w:spacing w:after="80"/>
            </w:pPr>
            <w:r>
              <w:rPr>
                <w:sz w:val="20"/>
              </w:rPr>
              <w:t>1 Introduction</w:t>
            </w:r>
          </w:p>
        </w:tc>
        <w:tc>
          <w:tcPr>
            <w:tcW w:type="dxa" w:w="6803"/>
          </w:tcPr>
          <w:p>
            <w:pPr>
              <w:spacing w:after="80"/>
            </w:pPr>
            <w:r>
              <w:rPr>
                <w:sz w:val="20"/>
              </w:rPr>
              <w:t>Background, engineering decision, motivation, objectives and bounded contribution.</w:t>
            </w:r>
          </w:p>
        </w:tc>
      </w:tr>
      <w:tr>
        <w:trPr>
          <w:cantSplit/>
        </w:trPr>
        <w:tc>
          <w:tcPr>
            <w:tcW w:type="dxa" w:w="3061"/>
          </w:tcPr>
          <w:p>
            <w:pPr>
              <w:spacing w:after="80"/>
            </w:pPr>
            <w:r>
              <w:rPr>
                <w:sz w:val="20"/>
              </w:rPr>
              <w:t>2 Research questions</w:t>
            </w:r>
          </w:p>
        </w:tc>
        <w:tc>
          <w:tcPr>
            <w:tcW w:type="dxa" w:w="6803"/>
          </w:tcPr>
          <w:p>
            <w:pPr>
              <w:spacing w:after="80"/>
            </w:pPr>
            <w:r>
              <w:rPr>
                <w:sz w:val="20"/>
              </w:rPr>
              <w:t>Five original protocol RQs.</w:t>
            </w:r>
          </w:p>
        </w:tc>
      </w:tr>
      <w:tr>
        <w:trPr>
          <w:cantSplit/>
        </w:trPr>
        <w:tc>
          <w:tcPr>
            <w:tcW w:type="dxa" w:w="3061"/>
          </w:tcPr>
          <w:p>
            <w:pPr>
              <w:spacing w:after="80"/>
            </w:pPr>
            <w:r>
              <w:rPr>
                <w:sz w:val="20"/>
              </w:rPr>
              <w:t>3 Research methodology</w:t>
            </w:r>
          </w:p>
        </w:tc>
        <w:tc>
          <w:tcPr>
            <w:tcW w:type="dxa" w:w="6803"/>
          </w:tcPr>
          <w:p>
            <w:pPr>
              <w:spacing w:after="80"/>
            </w:pPr>
            <w:r>
              <w:rPr>
                <w:sz w:val="20"/>
              </w:rPr>
              <w:t>Protocol; databases; strings; eligibility; source review; appraisal; extraction; synthesis; actual deviations.</w:t>
            </w:r>
          </w:p>
        </w:tc>
      </w:tr>
      <w:tr>
        <w:trPr>
          <w:cantSplit/>
        </w:trPr>
        <w:tc>
          <w:tcPr>
            <w:tcW w:type="dxa" w:w="3061"/>
          </w:tcPr>
          <w:p>
            <w:pPr>
              <w:spacing w:after="80"/>
            </w:pPr>
            <w:r>
              <w:rPr>
                <w:sz w:val="20"/>
              </w:rPr>
              <w:t>4 PRISMA study selection</w:t>
            </w:r>
          </w:p>
        </w:tc>
        <w:tc>
          <w:tcPr>
            <w:tcW w:type="dxa" w:w="6803"/>
          </w:tcPr>
          <w:p>
            <w:pPr>
              <w:spacing w:after="80"/>
            </w:pPr>
            <w:r>
              <w:rPr>
                <w:sz w:val="20"/>
              </w:rPr>
              <w:t>Counts, screening, eligibility, included reports/studies and bounded flow.</w:t>
            </w:r>
          </w:p>
        </w:tc>
      </w:tr>
      <w:tr>
        <w:trPr>
          <w:cantSplit/>
        </w:trPr>
        <w:tc>
          <w:tcPr>
            <w:tcW w:type="dxa" w:w="3061"/>
          </w:tcPr>
          <w:p>
            <w:pPr>
              <w:spacing w:after="80"/>
            </w:pPr>
            <w:r>
              <w:rPr>
                <w:sz w:val="20"/>
              </w:rPr>
              <w:t>5 Classification / taxonomy</w:t>
            </w:r>
          </w:p>
        </w:tc>
        <w:tc>
          <w:tcPr>
            <w:tcW w:type="dxa" w:w="6803"/>
          </w:tcPr>
          <w:p>
            <w:pPr>
              <w:spacing w:after="80"/>
            </w:pPr>
            <w:r>
              <w:rPr>
                <w:sz w:val="20"/>
              </w:rPr>
              <w:t>Mechanisms, assumptions and control boundaries.</w:t>
            </w:r>
          </w:p>
        </w:tc>
      </w:tr>
      <w:tr>
        <w:trPr>
          <w:cantSplit/>
        </w:trPr>
        <w:tc>
          <w:tcPr>
            <w:tcW w:type="dxa" w:w="3061"/>
          </w:tcPr>
          <w:p>
            <w:pPr>
              <w:spacing w:after="80"/>
            </w:pPr>
            <w:r>
              <w:rPr>
                <w:sz w:val="20"/>
              </w:rPr>
              <w:t>6 Results and evidence synthesis</w:t>
            </w:r>
          </w:p>
        </w:tc>
        <w:tc>
          <w:tcPr>
            <w:tcW w:type="dxa" w:w="6803"/>
          </w:tcPr>
          <w:p>
            <w:pPr>
              <w:spacing w:after="80"/>
            </w:pPr>
            <w:r>
              <w:rPr>
                <w:sz w:val="20"/>
              </w:rPr>
              <w:t>Organized by RQ, not one summary per paper.</w:t>
            </w:r>
          </w:p>
        </w:tc>
      </w:tr>
      <w:tr>
        <w:trPr>
          <w:cantSplit/>
        </w:trPr>
        <w:tc>
          <w:tcPr>
            <w:tcW w:type="dxa" w:w="3061"/>
          </w:tcPr>
          <w:p>
            <w:pPr>
              <w:spacing w:after="80"/>
            </w:pPr>
            <w:r>
              <w:rPr>
                <w:sz w:val="20"/>
              </w:rPr>
              <w:t>7 Comparative analysis</w:t>
            </w:r>
          </w:p>
        </w:tc>
        <w:tc>
          <w:tcPr>
            <w:tcW w:type="dxa" w:w="6803"/>
          </w:tcPr>
          <w:p>
            <w:pPr>
              <w:spacing w:after="80"/>
            </w:pPr>
            <w:r>
              <w:rPr>
                <w:sz w:val="20"/>
              </w:rPr>
              <w:t>Metric/context matrix and limits of comparisons.</w:t>
            </w:r>
          </w:p>
        </w:tc>
      </w:tr>
      <w:tr>
        <w:trPr>
          <w:cantSplit/>
        </w:trPr>
        <w:tc>
          <w:tcPr>
            <w:tcW w:type="dxa" w:w="3061"/>
          </w:tcPr>
          <w:p>
            <w:pPr>
              <w:spacing w:after="80"/>
            </w:pPr>
            <w:r>
              <w:rPr>
                <w:sz w:val="20"/>
              </w:rPr>
              <w:t>8 Engineering trade-offs</w:t>
            </w:r>
          </w:p>
        </w:tc>
        <w:tc>
          <w:tcPr>
            <w:tcW w:type="dxa" w:w="6803"/>
          </w:tcPr>
          <w:p>
            <w:pPr>
              <w:spacing w:after="80"/>
            </w:pPr>
            <w:r>
              <w:rPr>
                <w:sz w:val="20"/>
              </w:rPr>
              <w:t>Benefits, sacrifices, costs and adverse outcomes.</w:t>
            </w:r>
          </w:p>
        </w:tc>
      </w:tr>
      <w:tr>
        <w:trPr>
          <w:cantSplit/>
        </w:trPr>
        <w:tc>
          <w:tcPr>
            <w:tcW w:type="dxa" w:w="3061"/>
          </w:tcPr>
          <w:p>
            <w:pPr>
              <w:spacing w:after="80"/>
            </w:pPr>
            <w:r>
              <w:rPr>
                <w:sz w:val="20"/>
              </w:rPr>
              <w:t>9 Discussion</w:t>
            </w:r>
          </w:p>
        </w:tc>
        <w:tc>
          <w:tcPr>
            <w:tcW w:type="dxa" w:w="6803"/>
          </w:tcPr>
          <w:p>
            <w:pPr>
              <w:spacing w:after="80"/>
            </w:pPr>
            <w:r>
              <w:rPr>
                <w:sz w:val="20"/>
              </w:rPr>
              <w:t>Conditions, apparent conflicts, version effects and strength of evidence.</w:t>
            </w:r>
          </w:p>
        </w:tc>
      </w:tr>
      <w:tr>
        <w:trPr>
          <w:cantSplit/>
        </w:trPr>
        <w:tc>
          <w:tcPr>
            <w:tcW w:type="dxa" w:w="3061"/>
          </w:tcPr>
          <w:p>
            <w:pPr>
              <w:spacing w:after="80"/>
            </w:pPr>
            <w:r>
              <w:rPr>
                <w:sz w:val="20"/>
              </w:rPr>
              <w:t>10 Engineering recommendation</w:t>
            </w:r>
          </w:p>
        </w:tc>
        <w:tc>
          <w:tcPr>
            <w:tcW w:type="dxa" w:w="6803"/>
          </w:tcPr>
          <w:p>
            <w:pPr>
              <w:spacing w:after="80"/>
            </w:pPr>
            <w:r>
              <w:rPr>
                <w:sz w:val="20"/>
              </w:rPr>
              <w:t>Scenario, candidate, benefit, sacrifice, alternative and validation.</w:t>
            </w:r>
          </w:p>
        </w:tc>
      </w:tr>
      <w:tr>
        <w:trPr>
          <w:cantSplit/>
        </w:trPr>
        <w:tc>
          <w:tcPr>
            <w:tcW w:type="dxa" w:w="3061"/>
          </w:tcPr>
          <w:p>
            <w:pPr>
              <w:spacing w:after="80"/>
            </w:pPr>
            <w:r>
              <w:rPr>
                <w:sz w:val="20"/>
              </w:rPr>
              <w:t>11 Research gaps</w:t>
            </w:r>
          </w:p>
        </w:tc>
        <w:tc>
          <w:tcPr>
            <w:tcW w:type="dxa" w:w="6803"/>
          </w:tcPr>
          <w:p>
            <w:pPr>
              <w:spacing w:after="80"/>
            </w:pPr>
            <w:r>
              <w:rPr>
                <w:sz w:val="20"/>
              </w:rPr>
              <w:t>Corpus-derived questions and needed experiments.</w:t>
            </w:r>
          </w:p>
        </w:tc>
      </w:tr>
      <w:tr>
        <w:trPr>
          <w:cantSplit/>
        </w:trPr>
        <w:tc>
          <w:tcPr>
            <w:tcW w:type="dxa" w:w="3061"/>
          </w:tcPr>
          <w:p>
            <w:pPr>
              <w:spacing w:after="80"/>
            </w:pPr>
            <w:r>
              <w:rPr>
                <w:sz w:val="20"/>
              </w:rPr>
              <w:t>12 Threats to validity</w:t>
            </w:r>
          </w:p>
        </w:tc>
        <w:tc>
          <w:tcPr>
            <w:tcW w:type="dxa" w:w="6803"/>
          </w:tcPr>
          <w:p>
            <w:pPr>
              <w:spacing w:after="80"/>
            </w:pPr>
            <w:r>
              <w:rPr>
                <w:sz w:val="20"/>
              </w:rPr>
              <w:t>Selection, abstracts, provenance, reviewer, version and measurement limitations.</w:t>
            </w:r>
          </w:p>
        </w:tc>
      </w:tr>
      <w:tr>
        <w:trPr>
          <w:cantSplit/>
        </w:trPr>
        <w:tc>
          <w:tcPr>
            <w:tcW w:type="dxa" w:w="3061"/>
          </w:tcPr>
          <w:p>
            <w:pPr>
              <w:spacing w:after="80"/>
            </w:pPr>
            <w:r>
              <w:rPr>
                <w:sz w:val="20"/>
              </w:rPr>
              <w:t>13 Conclusion</w:t>
            </w:r>
          </w:p>
        </w:tc>
        <w:tc>
          <w:tcPr>
            <w:tcW w:type="dxa" w:w="6803"/>
          </w:tcPr>
          <w:p>
            <w:pPr>
              <w:spacing w:after="80"/>
            </w:pPr>
            <w:r>
              <w:rPr>
                <w:sz w:val="20"/>
              </w:rPr>
              <w:t>Conditional engineering answer with its evidence boundary.</w:t>
            </w:r>
          </w:p>
        </w:tc>
      </w:tr>
      <w:tr>
        <w:trPr>
          <w:cantSplit/>
        </w:trPr>
        <w:tc>
          <w:tcPr>
            <w:tcW w:type="dxa" w:w="3061"/>
          </w:tcPr>
          <w:p>
            <w:pPr>
              <w:spacing w:after="80"/>
            </w:pPr>
            <w:r>
              <w:rPr>
                <w:sz w:val="20"/>
              </w:rPr>
              <w:t>References and appendices</w:t>
            </w:r>
          </w:p>
        </w:tc>
        <w:tc>
          <w:tcPr>
            <w:tcW w:type="dxa" w:w="6803"/>
          </w:tcPr>
          <w:p>
            <w:pPr>
              <w:spacing w:after="80"/>
            </w:pPr>
            <w:r>
              <w:rPr>
                <w:sz w:val="20"/>
              </w:rPr>
              <w:t>IEEE references, search entries, study cards, QA, all outcomes, calculations and deliverable crosswalk.</w:t>
            </w:r>
          </w:p>
        </w:tc>
      </w:tr>
    </w:tbl>
    <w:p>
      <w:r>
        <w:t>The main PDF is the report to review. The long appendices provide traceability; their page count is not evidence of quality. Confirm any local instructor page limit before printing the full audit appendices.</w:t>
      </w:r>
    </w:p>
    <w:p>
      <w:r>
        <w:br w:type="page"/>
      </w:r>
    </w:p>
    <w:p>
      <w:pPr>
        <w:pStyle w:val="Heading1"/>
      </w:pPr>
      <w:r>
        <w:t>6. Headings 25–26: what a strong draft must show</w:t>
      </w:r>
    </w:p>
    <w:tbl>
      <w:tblPr>
        <w:tblStyle w:val="LightShading-Accent1"/>
        <w:tblW w:type="auto" w:w="0"/>
        <w:tblLayout w:type="fixed"/>
        <w:tblLook w:firstColumn="1" w:firstRow="1" w:lastColumn="0" w:lastRow="0" w:noHBand="0" w:noVBand="1" w:val="04A0"/>
      </w:tblPr>
      <w:tblGrid>
        <w:gridCol w:w="3231"/>
        <w:gridCol w:w="1134"/>
        <w:gridCol w:w="5499"/>
      </w:tblGrid>
      <w:tr>
        <w:trPr>
          <w:tblHeader/>
        </w:trPr>
        <w:tc>
          <w:tcPr>
            <w:tcW w:type="dxa" w:w="3400"/>
          </w:tcPr>
          <w:p>
            <w:r>
              <w:t>Heading 25 outcome</w:t>
            </w:r>
          </w:p>
        </w:tc>
        <w:tc>
          <w:tcPr>
            <w:tcW w:type="dxa" w:w="3400"/>
          </w:tcPr>
          <w:p>
            <w:r>
              <w:t>Status</w:t>
            </w:r>
          </w:p>
        </w:tc>
        <w:tc>
          <w:tcPr>
            <w:tcW w:type="dxa" w:w="3400"/>
          </w:tcPr>
          <w:p>
            <w:r>
              <w:t>Evidence to inspect</w:t>
            </w:r>
          </w:p>
        </w:tc>
      </w:tr>
      <w:tr>
        <w:trPr>
          <w:cantSplit/>
        </w:trPr>
        <w:tc>
          <w:tcPr>
            <w:tcW w:type="dxa" w:w="3231"/>
          </w:tcPr>
          <w:p>
            <w:pPr>
              <w:spacing w:after="80"/>
            </w:pPr>
            <w:r>
              <w:rPr>
                <w:sz w:val="20"/>
              </w:rPr>
              <w:t>Systematic evidence collection</w:t>
            </w:r>
          </w:p>
        </w:tc>
        <w:tc>
          <w:tcPr>
            <w:tcW w:type="dxa" w:w="1134"/>
            <w:shd w:fill="FFF2CC"/>
          </w:tcPr>
          <w:p>
            <w:pPr>
              <w:spacing w:after="80"/>
            </w:pPr>
            <w:r>
              <w:rPr>
                <w:sz w:val="20"/>
              </w:rPr>
              <w:t>Yellow</w:t>
            </w:r>
          </w:p>
        </w:tc>
        <w:tc>
          <w:tcPr>
            <w:tcW w:type="dxa" w:w="5499"/>
          </w:tcPr>
          <w:p>
            <w:pPr>
              <w:spacing w:after="80"/>
            </w:pPr>
            <w:r>
              <w:rPr>
                <w:sz w:val="20"/>
              </w:rPr>
              <w:t>Search Log, PRISMA and preserved baseline; historical gaps and bounded selection remain.</w:t>
            </w:r>
          </w:p>
        </w:tc>
      </w:tr>
      <w:tr>
        <w:trPr>
          <w:cantSplit/>
        </w:trPr>
        <w:tc>
          <w:tcPr>
            <w:tcW w:type="dxa" w:w="3231"/>
          </w:tcPr>
          <w:p>
            <w:pPr>
              <w:spacing w:after="80"/>
            </w:pPr>
            <w:r>
              <w:rPr>
                <w:sz w:val="20"/>
              </w:rPr>
              <w:t>Critical evaluation</w:t>
            </w:r>
          </w:p>
        </w:tc>
        <w:tc>
          <w:tcPr>
            <w:tcW w:type="dxa" w:w="1134"/>
            <w:shd w:fill="E2F0D9"/>
          </w:tcPr>
          <w:p>
            <w:pPr>
              <w:spacing w:after="80"/>
            </w:pPr>
            <w:r>
              <w:rPr>
                <w:sz w:val="20"/>
              </w:rPr>
              <w:t>Green</w:t>
            </w:r>
          </w:p>
        </w:tc>
        <w:tc>
          <w:tcPr>
            <w:tcW w:type="dxa" w:w="5499"/>
          </w:tcPr>
          <w:p>
            <w:pPr>
              <w:spacing w:after="80"/>
            </w:pPr>
            <w:r>
              <w:rPr>
                <w:sz w:val="20"/>
              </w:rPr>
              <w:t>200 source-appraised QA items and explicit reporting weaknesses.</w:t>
            </w:r>
          </w:p>
        </w:tc>
      </w:tr>
      <w:tr>
        <w:trPr>
          <w:cantSplit/>
        </w:trPr>
        <w:tc>
          <w:tcPr>
            <w:tcW w:type="dxa" w:w="3231"/>
          </w:tcPr>
          <w:p>
            <w:pPr>
              <w:spacing w:after="80"/>
            </w:pPr>
            <w:r>
              <w:rPr>
                <w:sz w:val="20"/>
              </w:rPr>
              <w:t>Classification</w:t>
            </w:r>
          </w:p>
        </w:tc>
        <w:tc>
          <w:tcPr>
            <w:tcW w:type="dxa" w:w="1134"/>
            <w:shd w:fill="E2F0D9"/>
          </w:tcPr>
          <w:p>
            <w:pPr>
              <w:spacing w:after="80"/>
            </w:pPr>
            <w:r>
              <w:rPr>
                <w:sz w:val="20"/>
              </w:rPr>
              <w:t>Green</w:t>
            </w:r>
          </w:p>
        </w:tc>
        <w:tc>
          <w:tcPr>
            <w:tcW w:type="dxa" w:w="5499"/>
          </w:tcPr>
          <w:p>
            <w:pPr>
              <w:spacing w:after="80"/>
            </w:pPr>
            <w:r>
              <w:rPr>
                <w:sz w:val="20"/>
              </w:rPr>
              <w:t>Mechanism families and boundaries, not a list of products.</w:t>
            </w:r>
          </w:p>
        </w:tc>
      </w:tr>
      <w:tr>
        <w:trPr>
          <w:cantSplit/>
        </w:trPr>
        <w:tc>
          <w:tcPr>
            <w:tcW w:type="dxa" w:w="3231"/>
          </w:tcPr>
          <w:p>
            <w:pPr>
              <w:spacing w:after="80"/>
            </w:pPr>
            <w:r>
              <w:rPr>
                <w:sz w:val="20"/>
              </w:rPr>
              <w:t>Comparison</w:t>
            </w:r>
          </w:p>
        </w:tc>
        <w:tc>
          <w:tcPr>
            <w:tcW w:type="dxa" w:w="1134"/>
            <w:shd w:fill="E2F0D9"/>
          </w:tcPr>
          <w:p>
            <w:pPr>
              <w:spacing w:after="80"/>
            </w:pPr>
            <w:r>
              <w:rPr>
                <w:sz w:val="20"/>
              </w:rPr>
              <w:t>Green</w:t>
            </w:r>
          </w:p>
        </w:tc>
        <w:tc>
          <w:tcPr>
            <w:tcW w:type="dxa" w:w="5499"/>
          </w:tcPr>
          <w:p>
            <w:pPr>
              <w:spacing w:after="80"/>
            </w:pPr>
            <w:r>
              <w:rPr>
                <w:sz w:val="20"/>
              </w:rPr>
              <w:t>GPU, workload, metric and baseline stay attached to results.</w:t>
            </w:r>
          </w:p>
        </w:tc>
      </w:tr>
      <w:tr>
        <w:trPr>
          <w:cantSplit/>
        </w:trPr>
        <w:tc>
          <w:tcPr>
            <w:tcW w:type="dxa" w:w="3231"/>
          </w:tcPr>
          <w:p>
            <w:pPr>
              <w:spacing w:after="80"/>
            </w:pPr>
            <w:r>
              <w:rPr>
                <w:sz w:val="20"/>
              </w:rPr>
              <w:t>Trade-off analysis</w:t>
            </w:r>
          </w:p>
        </w:tc>
        <w:tc>
          <w:tcPr>
            <w:tcW w:type="dxa" w:w="1134"/>
            <w:shd w:fill="E2F0D9"/>
          </w:tcPr>
          <w:p>
            <w:pPr>
              <w:spacing w:after="80"/>
            </w:pPr>
            <w:r>
              <w:rPr>
                <w:sz w:val="20"/>
              </w:rPr>
              <w:t>Green</w:t>
            </w:r>
          </w:p>
        </w:tc>
        <w:tc>
          <w:tcPr>
            <w:tcW w:type="dxa" w:w="5499"/>
          </w:tcPr>
          <w:p>
            <w:pPr>
              <w:spacing w:after="80"/>
            </w:pPr>
            <w:r>
              <w:rPr>
                <w:sz w:val="20"/>
              </w:rPr>
              <w:t>For each benefit, state the sacrifice and conditions.</w:t>
            </w:r>
          </w:p>
        </w:tc>
      </w:tr>
      <w:tr>
        <w:trPr>
          <w:cantSplit/>
        </w:trPr>
        <w:tc>
          <w:tcPr>
            <w:tcW w:type="dxa" w:w="3231"/>
          </w:tcPr>
          <w:p>
            <w:pPr>
              <w:spacing w:after="80"/>
            </w:pPr>
            <w:r>
              <w:rPr>
                <w:sz w:val="20"/>
              </w:rPr>
              <w:t>Synthesis</w:t>
            </w:r>
          </w:p>
        </w:tc>
        <w:tc>
          <w:tcPr>
            <w:tcW w:type="dxa" w:w="1134"/>
            <w:shd w:fill="E2F0D9"/>
          </w:tcPr>
          <w:p>
            <w:pPr>
              <w:spacing w:after="80"/>
            </w:pPr>
            <w:r>
              <w:rPr>
                <w:sz w:val="20"/>
              </w:rPr>
              <w:t>Green</w:t>
            </w:r>
          </w:p>
        </w:tc>
        <w:tc>
          <w:tcPr>
            <w:tcW w:type="dxa" w:w="5499"/>
          </w:tcPr>
          <w:p>
            <w:pPr>
              <w:spacing w:after="80"/>
            </w:pPr>
            <w:r>
              <w:rPr>
                <w:sz w:val="20"/>
              </w:rPr>
              <w:t>All five RQs answered across papers.</w:t>
            </w:r>
          </w:p>
        </w:tc>
      </w:tr>
      <w:tr>
        <w:trPr>
          <w:cantSplit/>
        </w:trPr>
        <w:tc>
          <w:tcPr>
            <w:tcW w:type="dxa" w:w="3231"/>
          </w:tcPr>
          <w:p>
            <w:pPr>
              <w:spacing w:after="80"/>
            </w:pPr>
            <w:r>
              <w:rPr>
                <w:sz w:val="20"/>
              </w:rPr>
              <w:t>Engineering decision</w:t>
            </w:r>
          </w:p>
        </w:tc>
        <w:tc>
          <w:tcPr>
            <w:tcW w:type="dxa" w:w="1134"/>
            <w:shd w:fill="E2F0D9"/>
          </w:tcPr>
          <w:p>
            <w:pPr>
              <w:spacing w:after="80"/>
            </w:pPr>
            <w:r>
              <w:rPr>
                <w:sz w:val="20"/>
              </w:rPr>
              <w:t>Green</w:t>
            </w:r>
          </w:p>
        </w:tc>
        <w:tc>
          <w:tcPr>
            <w:tcW w:type="dxa" w:w="5499"/>
          </w:tcPr>
          <w:p>
            <w:pPr>
              <w:spacing w:after="80"/>
            </w:pPr>
            <w:r>
              <w:rPr>
                <w:sz w:val="20"/>
              </w:rPr>
              <w:t>Conditional recommendation traceable to report and outcome IDs.</w:t>
            </w:r>
          </w:p>
        </w:tc>
      </w:tr>
    </w:tbl>
    <w:tbl>
      <w:tblPr>
        <w:tblStyle w:val="LightShading-Accent1"/>
        <w:tblW w:type="auto" w:w="0"/>
        <w:tblLayout w:type="fixed"/>
        <w:tblLook w:firstColumn="1" w:firstRow="1" w:lastColumn="0" w:lastRow="0" w:noHBand="0" w:noVBand="1" w:val="04A0"/>
      </w:tblPr>
      <w:tblGrid>
        <w:gridCol w:w="3231"/>
        <w:gridCol w:w="1134"/>
        <w:gridCol w:w="5499"/>
      </w:tblGrid>
      <w:tr>
        <w:trPr>
          <w:tblHeader/>
        </w:trPr>
        <w:tc>
          <w:tcPr>
            <w:tcW w:type="dxa" w:w="3400"/>
          </w:tcPr>
          <w:p>
            <w:r>
              <w:t>Heading 26 quality expectation</w:t>
            </w:r>
          </w:p>
        </w:tc>
        <w:tc>
          <w:tcPr>
            <w:tcW w:type="dxa" w:w="3400"/>
          </w:tcPr>
          <w:p>
            <w:r>
              <w:t>Status</w:t>
            </w:r>
          </w:p>
        </w:tc>
        <w:tc>
          <w:tcPr>
            <w:tcW w:type="dxa" w:w="3400"/>
          </w:tcPr>
          <w:p>
            <w:r>
              <w:t>Current position</w:t>
            </w:r>
          </w:p>
        </w:tc>
      </w:tr>
      <w:tr>
        <w:trPr>
          <w:cantSplit/>
        </w:trPr>
        <w:tc>
          <w:tcPr>
            <w:tcW w:type="dxa" w:w="3231"/>
          </w:tcPr>
          <w:p>
            <w:pPr>
              <w:spacing w:after="80"/>
            </w:pPr>
            <w:r>
              <w:rPr>
                <w:sz w:val="20"/>
              </w:rPr>
              <w:t>Every included paper traceable</w:t>
            </w:r>
          </w:p>
        </w:tc>
        <w:tc>
          <w:tcPr>
            <w:tcW w:type="dxa" w:w="1134"/>
            <w:shd w:fill="E2F0D9"/>
          </w:tcPr>
          <w:p>
            <w:pPr>
              <w:spacing w:after="80"/>
            </w:pPr>
            <w:r>
              <w:rPr>
                <w:sz w:val="20"/>
              </w:rPr>
              <w:t>Green</w:t>
            </w:r>
          </w:p>
        </w:tc>
        <w:tc>
          <w:tcPr>
            <w:tcW w:type="dxa" w:w="5499"/>
          </w:tcPr>
          <w:p>
            <w:pPr>
              <w:spacing w:after="80"/>
            </w:pPr>
            <w:r>
              <w:rPr>
                <w:sz w:val="20"/>
              </w:rPr>
              <w:t>Study/report IDs, source version, URL/hash and anchors.</w:t>
            </w:r>
          </w:p>
        </w:tc>
      </w:tr>
      <w:tr>
        <w:trPr>
          <w:cantSplit/>
        </w:trPr>
        <w:tc>
          <w:tcPr>
            <w:tcW w:type="dxa" w:w="3231"/>
          </w:tcPr>
          <w:p>
            <w:pPr>
              <w:spacing w:after="80"/>
            </w:pPr>
            <w:r>
              <w:rPr>
                <w:sz w:val="20"/>
              </w:rPr>
              <w:t>PRISMA counts verifiable</w:t>
            </w:r>
          </w:p>
        </w:tc>
        <w:tc>
          <w:tcPr>
            <w:tcW w:type="dxa" w:w="1134"/>
            <w:shd w:fill="FFF2CC"/>
          </w:tcPr>
          <w:p>
            <w:pPr>
              <w:spacing w:after="80"/>
            </w:pPr>
            <w:r>
              <w:rPr>
                <w:sz w:val="20"/>
              </w:rPr>
              <w:t>Yellow</w:t>
            </w:r>
          </w:p>
        </w:tc>
        <w:tc>
          <w:tcPr>
            <w:tcW w:type="dxa" w:w="5499"/>
          </w:tcPr>
          <w:p>
            <w:pPr>
              <w:spacing w:after="80"/>
            </w:pPr>
            <w:r>
              <w:rPr>
                <w:sz w:val="20"/>
              </w:rPr>
              <w:t>Arithmetic checked; incomplete selection process disclosed.</w:t>
            </w:r>
          </w:p>
        </w:tc>
      </w:tr>
      <w:tr>
        <w:trPr>
          <w:cantSplit/>
        </w:trPr>
        <w:tc>
          <w:tcPr>
            <w:tcW w:type="dxa" w:w="3231"/>
          </w:tcPr>
          <w:p>
            <w:pPr>
              <w:spacing w:after="80"/>
            </w:pPr>
            <w:r>
              <w:rPr>
                <w:sz w:val="20"/>
              </w:rPr>
              <w:t>Searches reproducible</w:t>
            </w:r>
          </w:p>
        </w:tc>
        <w:tc>
          <w:tcPr>
            <w:tcW w:type="dxa" w:w="1134"/>
            <w:shd w:fill="FFF2CC"/>
          </w:tcPr>
          <w:p>
            <w:pPr>
              <w:spacing w:after="80"/>
            </w:pPr>
            <w:r>
              <w:rPr>
                <w:sz w:val="20"/>
              </w:rPr>
              <w:t>Yellow</w:t>
            </w:r>
          </w:p>
        </w:tc>
        <w:tc>
          <w:tcPr>
            <w:tcW w:type="dxa" w:w="5499"/>
          </w:tcPr>
          <w:p>
            <w:pPr>
              <w:spacing w:after="80"/>
            </w:pPr>
            <w:r>
              <w:rPr>
                <w:sz w:val="20"/>
              </w:rPr>
              <w:t>Original registered strings/counts preserved; missing run/archive/facet evidence remains a limitation.</w:t>
            </w:r>
          </w:p>
        </w:tc>
      </w:tr>
      <w:tr>
        <w:trPr>
          <w:cantSplit/>
        </w:trPr>
        <w:tc>
          <w:tcPr>
            <w:tcW w:type="dxa" w:w="3231"/>
          </w:tcPr>
          <w:p>
            <w:pPr>
              <w:spacing w:after="80"/>
            </w:pPr>
            <w:r>
              <w:rPr>
                <w:sz w:val="20"/>
              </w:rPr>
              <w:t>Inclusion/exclusion documented</w:t>
            </w:r>
          </w:p>
        </w:tc>
        <w:tc>
          <w:tcPr>
            <w:tcW w:type="dxa" w:w="1134"/>
            <w:shd w:fill="FFF2CC"/>
          </w:tcPr>
          <w:p>
            <w:pPr>
              <w:spacing w:after="80"/>
            </w:pPr>
            <w:r>
              <w:rPr>
                <w:sz w:val="20"/>
              </w:rPr>
              <w:t>Yellow</w:t>
            </w:r>
          </w:p>
        </w:tc>
        <w:tc>
          <w:tcPr>
            <w:tcW w:type="dxa" w:w="5499"/>
          </w:tcPr>
          <w:p>
            <w:pPr>
              <w:spacing w:after="80"/>
            </w:pPr>
            <w:r>
              <w:rPr>
                <w:sz w:val="20"/>
              </w:rPr>
              <w:t>Decisions and criteria exist; 559 retained records still need assessment.</w:t>
            </w:r>
          </w:p>
        </w:tc>
      </w:tr>
      <w:tr>
        <w:trPr>
          <w:cantSplit/>
        </w:trPr>
        <w:tc>
          <w:tcPr>
            <w:tcW w:type="dxa" w:w="3231"/>
          </w:tcPr>
          <w:p>
            <w:pPr>
              <w:spacing w:after="80"/>
            </w:pPr>
            <w:r>
              <w:rPr>
                <w:sz w:val="20"/>
              </w:rPr>
              <w:t>No fabricated/selective evidence</w:t>
            </w:r>
          </w:p>
        </w:tc>
        <w:tc>
          <w:tcPr>
            <w:tcW w:type="dxa" w:w="1134"/>
            <w:shd w:fill="E2F0D9"/>
          </w:tcPr>
          <w:p>
            <w:pPr>
              <w:spacing w:after="80"/>
            </w:pPr>
            <w:r>
              <w:rPr>
                <w:sz w:val="20"/>
              </w:rPr>
              <w:t>Green</w:t>
            </w:r>
          </w:p>
        </w:tc>
        <w:tc>
          <w:tcPr>
            <w:tcW w:type="dxa" w:w="5499"/>
          </w:tcPr>
          <w:p>
            <w:pPr>
              <w:spacing w:after="80"/>
            </w:pPr>
            <w:r>
              <w:rPr>
                <w:sz w:val="20"/>
              </w:rPr>
              <w:t>Unknowns preserved; adverse findings and source boundaries retained.</w:t>
            </w:r>
          </w:p>
        </w:tc>
      </w:tr>
      <w:tr>
        <w:trPr>
          <w:cantSplit/>
        </w:trPr>
        <w:tc>
          <w:tcPr>
            <w:tcW w:type="dxa" w:w="3231"/>
          </w:tcPr>
          <w:p>
            <w:pPr>
              <w:spacing w:after="80"/>
            </w:pPr>
            <w:r>
              <w:rPr>
                <w:sz w:val="20"/>
              </w:rPr>
              <w:t>Claims supported by citations</w:t>
            </w:r>
          </w:p>
        </w:tc>
        <w:tc>
          <w:tcPr>
            <w:tcW w:type="dxa" w:w="1134"/>
            <w:shd w:fill="E2F0D9"/>
          </w:tcPr>
          <w:p>
            <w:pPr>
              <w:spacing w:after="80"/>
            </w:pPr>
            <w:r>
              <w:rPr>
                <w:sz w:val="20"/>
              </w:rPr>
              <w:t>Green</w:t>
            </w:r>
          </w:p>
        </w:tc>
        <w:tc>
          <w:tcPr>
            <w:tcW w:type="dxa" w:w="5499"/>
          </w:tcPr>
          <w:p>
            <w:pPr>
              <w:spacing w:after="80"/>
            </w:pPr>
            <w:r>
              <w:rPr>
                <w:sz w:val="20"/>
              </w:rPr>
              <w:t>52 retained outcomes source-checked and corrections integrated; independent review remains pending.</w:t>
            </w:r>
          </w:p>
        </w:tc>
      </w:tr>
      <w:tr>
        <w:trPr>
          <w:cantSplit/>
        </w:trPr>
        <w:tc>
          <w:tcPr>
            <w:tcW w:type="dxa" w:w="3231"/>
          </w:tcPr>
          <w:p>
            <w:pPr>
              <w:spacing w:after="80"/>
            </w:pPr>
            <w:r>
              <w:rPr>
                <w:sz w:val="20"/>
              </w:rPr>
              <w:t>Limitations/conflicts transparent</w:t>
            </w:r>
          </w:p>
        </w:tc>
        <w:tc>
          <w:tcPr>
            <w:tcW w:type="dxa" w:w="1134"/>
            <w:shd w:fill="E2F0D9"/>
          </w:tcPr>
          <w:p>
            <w:pPr>
              <w:spacing w:after="80"/>
            </w:pPr>
            <w:r>
              <w:rPr>
                <w:sz w:val="20"/>
              </w:rPr>
              <w:t>Green</w:t>
            </w:r>
          </w:p>
        </w:tc>
        <w:tc>
          <w:tcPr>
            <w:tcW w:type="dxa" w:w="5499"/>
          </w:tcPr>
          <w:p>
            <w:pPr>
              <w:spacing w:after="80"/>
            </w:pPr>
            <w:r>
              <w:rPr>
                <w:sz w:val="20"/>
              </w:rPr>
              <w:t>Explicit validity discussion and method-correction register.</w:t>
            </w:r>
          </w:p>
        </w:tc>
      </w:tr>
    </w:tbl>
    <w:p>
      <w:r>
        <w:br w:type="page"/>
      </w:r>
    </w:p>
    <w:p>
      <w:pPr>
        <w:pStyle w:val="Heading1"/>
      </w:pPr>
      <w:r>
        <w:t>7. The 559 records: exact next steps</w:t>
      </w:r>
    </w:p>
    <w:p>
      <w:r>
        <w:t>Do not add “stop when we have 20” or “abstract unavailable” as a new scientific exclusion rule. Twenty is the minimum target, not a maximum eligible-study limit. A record may be excluded only for an established criterion supported by available evidence.</w:t>
      </w:r>
    </w:p>
    <w:p>
      <w:r>
        <w:t>All 559 have been listed in the screening queue. First-review allocation: Eshaal 187, Raazia 186, Rameen 186; each record also has a different independent reviewer. Recovered abstract text is supplied for 235. The frozen baseline marks another 25 abstract-available but their bytes were not recovered here; 299 are marked unavailable.</w:t>
      </w:r>
    </w:p>
    <w:p>
      <w:r>
        <w:t>1. Review title/type/year against the submitted criteria. Use the available abstract; when relevance is uncertain, obtain the abstract or full text before deciding.</w:t>
      </w:r>
    </w:p>
    <w:p>
      <w:r>
        <w:t>2. Each assigned reviewer enters an initial decision, exact IC/EC, short reason, evidence location and actual time. Discuss only after preserving the independent decisions.</w:t>
      </w:r>
    </w:p>
    <w:p>
      <w:r>
        <w:t>3. Resolve disagreements. Seek full texts for potentially eligible records; record actual requests, versions, access attempts and reasons if unobtainable.</w:t>
      </w:r>
    </w:p>
    <w:p>
      <w:r>
        <w:t>4. Apply every inclusion criterion at full text. Link companion reports to one study. Include all newly eligible studies even if the count exceeds 20.</w:t>
      </w:r>
    </w:p>
    <w:p>
      <w:r>
        <w:t>5. Source-appraise new studies, extract outcomes and update taxonomy/RQ answers/recommendations. Recompute PRISMA from logged events; do not invent retrieval failures.</w:t>
      </w:r>
    </w:p>
    <w:p>
      <w:r>
        <w:t>6. If the team submits the present bounded first draft, keep the 559 branch and deviation visible. Instructor acceptance of bounded scope has not been supplied.</w:t>
      </w:r>
    </w:p>
    <w:p>
      <w:r>
        <w:t>Prepared assistance can recover metadata, organize evidence, propose criterion-based decisions and integrate genuine returns. It cannot create another person’s independent judgment or reconstruct unrecorded search events.</w:t>
      </w:r>
    </w:p>
    <w:p>
      <w:r>
        <w:br w:type="page"/>
      </w:r>
    </w:p>
    <w:p>
      <w:pPr>
        <w:pStyle w:val="Heading1"/>
      </w:pPr>
      <w:r>
        <w:t>8. Freeze the first draft: team checklist</w:t>
      </w:r>
    </w:p>
    <w:tbl>
      <w:tblPr>
        <w:tblStyle w:val="LightShading-Accent1"/>
        <w:tblW w:type="auto" w:w="0"/>
        <w:tblLayout w:type="fixed"/>
        <w:tblLook w:firstColumn="1" w:firstRow="1" w:lastColumn="0" w:lastRow="0" w:noHBand="0" w:noVBand="1" w:val="04A0"/>
      </w:tblPr>
      <w:tblGrid>
        <w:gridCol w:w="4365"/>
        <w:gridCol w:w="1134"/>
        <w:gridCol w:w="4365"/>
      </w:tblGrid>
      <w:tr>
        <w:trPr>
          <w:tblHeader/>
        </w:trPr>
        <w:tc>
          <w:tcPr>
            <w:tcW w:type="dxa" w:w="3400"/>
          </w:tcPr>
          <w:p>
            <w:r>
              <w:t>Action</w:t>
            </w:r>
          </w:p>
        </w:tc>
        <w:tc>
          <w:tcPr>
            <w:tcW w:type="dxa" w:w="3400"/>
          </w:tcPr>
          <w:p>
            <w:r>
              <w:t>Status</w:t>
            </w:r>
          </w:p>
        </w:tc>
        <w:tc>
          <w:tcPr>
            <w:tcW w:type="dxa" w:w="3400"/>
          </w:tcPr>
          <w:p>
            <w:r>
              <w:t>Owner / completion evidence</w:t>
            </w:r>
          </w:p>
        </w:tc>
      </w:tr>
      <w:tr>
        <w:trPr>
          <w:cantSplit/>
        </w:trPr>
        <w:tc>
          <w:tcPr>
            <w:tcW w:type="dxa" w:w="4365"/>
          </w:tcPr>
          <w:p>
            <w:pPr>
              <w:spacing w:after="80"/>
            </w:pPr>
            <w:r>
              <w:rPr>
                <w:sz w:val="20"/>
              </w:rPr>
              <w:t>Integrate all three source-review packages</w:t>
            </w:r>
          </w:p>
        </w:tc>
        <w:tc>
          <w:tcPr>
            <w:tcW w:type="dxa" w:w="1134"/>
            <w:shd w:fill="E2F0D9"/>
          </w:tcPr>
          <w:p>
            <w:pPr>
              <w:spacing w:after="80"/>
            </w:pPr>
            <w:r>
              <w:rPr>
                <w:sz w:val="20"/>
              </w:rPr>
              <w:t>Green</w:t>
            </w:r>
          </w:p>
        </w:tc>
        <w:tc>
          <w:tcPr>
            <w:tcW w:type="dxa" w:w="4365"/>
          </w:tcPr>
          <w:p>
            <w:pPr>
              <w:spacing w:after="80"/>
            </w:pPr>
            <w:r>
              <w:rPr>
                <w:sz w:val="20"/>
              </w:rPr>
              <w:t>Complete in current report and master workbook.</w:t>
            </w:r>
          </w:p>
        </w:tc>
      </w:tr>
      <w:tr>
        <w:trPr>
          <w:cantSplit/>
        </w:trPr>
        <w:tc>
          <w:tcPr>
            <w:tcW w:type="dxa" w:w="4365"/>
          </w:tcPr>
          <w:p>
            <w:pPr>
              <w:spacing w:after="80"/>
            </w:pPr>
            <w:r>
              <w:rPr>
                <w:sz w:val="20"/>
              </w:rPr>
              <w:t>Close InferFair missing source</w:t>
            </w:r>
          </w:p>
        </w:tc>
        <w:tc>
          <w:tcPr>
            <w:tcW w:type="dxa" w:w="1134"/>
            <w:shd w:fill="E2F0D9"/>
          </w:tcPr>
          <w:p>
            <w:pPr>
              <w:spacing w:after="80"/>
            </w:pPr>
            <w:r>
              <w:rPr>
                <w:sz w:val="20"/>
              </w:rPr>
              <w:t>Green</w:t>
            </w:r>
          </w:p>
        </w:tc>
        <w:tc>
          <w:tcPr>
            <w:tcW w:type="dxa" w:w="4365"/>
          </w:tcPr>
          <w:p>
            <w:pPr>
              <w:spacing w:after="80"/>
            </w:pPr>
            <w:r>
              <w:rPr>
                <w:sz w:val="20"/>
              </w:rPr>
              <w:t>Correct supplied publisher copy; 10 QA items, 6 inclusion checks, 2 outcomes completed.</w:t>
            </w:r>
          </w:p>
        </w:tc>
      </w:tr>
      <w:tr>
        <w:trPr>
          <w:cantSplit/>
        </w:trPr>
        <w:tc>
          <w:tcPr>
            <w:tcW w:type="dxa" w:w="4365"/>
          </w:tcPr>
          <w:p>
            <w:pPr>
              <w:spacing w:after="80"/>
            </w:pPr>
            <w:r>
              <w:rPr>
                <w:sz w:val="20"/>
              </w:rPr>
              <w:t>Address methodology audit</w:t>
            </w:r>
          </w:p>
        </w:tc>
        <w:tc>
          <w:tcPr>
            <w:tcW w:type="dxa" w:w="1134"/>
            <w:shd w:fill="E2F0D9"/>
          </w:tcPr>
          <w:p>
            <w:pPr>
              <w:spacing w:after="80"/>
            </w:pPr>
            <w:r>
              <w:rPr>
                <w:sz w:val="20"/>
              </w:rPr>
              <w:t>Green</w:t>
            </w:r>
          </w:p>
        </w:tc>
        <w:tc>
          <w:tcPr>
            <w:tcW w:type="dxa" w:w="4365"/>
          </w:tcPr>
          <w:p>
            <w:pPr>
              <w:spacing w:after="80"/>
            </w:pPr>
            <w:r>
              <w:rPr>
                <w:sz w:val="20"/>
              </w:rPr>
              <w:t>Every issue has a supported correction or an explicit limitation in methodology_corrections.csv.</w:t>
            </w:r>
          </w:p>
        </w:tc>
      </w:tr>
      <w:tr>
        <w:trPr>
          <w:cantSplit/>
        </w:trPr>
        <w:tc>
          <w:tcPr>
            <w:tcW w:type="dxa" w:w="4365"/>
          </w:tcPr>
          <w:p>
            <w:pPr>
              <w:spacing w:after="80"/>
            </w:pPr>
            <w:r>
              <w:rPr>
                <w:sz w:val="20"/>
              </w:rPr>
              <w:t>Prepare all mandatory deliverables and report sections</w:t>
            </w:r>
          </w:p>
        </w:tc>
        <w:tc>
          <w:tcPr>
            <w:tcW w:type="dxa" w:w="1134"/>
            <w:shd w:fill="E2F0D9"/>
          </w:tcPr>
          <w:p>
            <w:pPr>
              <w:spacing w:after="80"/>
            </w:pPr>
            <w:r>
              <w:rPr>
                <w:sz w:val="20"/>
              </w:rPr>
              <w:t>Green</w:t>
            </w:r>
          </w:p>
        </w:tc>
        <w:tc>
          <w:tcPr>
            <w:tcW w:type="dxa" w:w="4365"/>
          </w:tcPr>
          <w:p>
            <w:pPr>
              <w:spacing w:after="80"/>
            </w:pPr>
            <w:r>
              <w:rPr>
                <w:sz w:val="20"/>
              </w:rPr>
              <w:t>See headings 23–26 crosswalk above.</w:t>
            </w:r>
          </w:p>
        </w:tc>
      </w:tr>
      <w:tr>
        <w:trPr>
          <w:cantSplit/>
        </w:trPr>
        <w:tc>
          <w:tcPr>
            <w:tcW w:type="dxa" w:w="4365"/>
          </w:tcPr>
          <w:p>
            <w:pPr>
              <w:spacing w:after="80"/>
            </w:pPr>
            <w:r>
              <w:rPr>
                <w:sz w:val="20"/>
              </w:rPr>
              <w:t>Record real independent source checks</w:t>
            </w:r>
          </w:p>
        </w:tc>
        <w:tc>
          <w:tcPr>
            <w:tcW w:type="dxa" w:w="1134"/>
            <w:shd w:fill="FCE4D6"/>
          </w:tcPr>
          <w:p>
            <w:pPr>
              <w:spacing w:after="80"/>
            </w:pPr>
            <w:r>
              <w:rPr>
                <w:sz w:val="20"/>
              </w:rPr>
              <w:t>Red</w:t>
            </w:r>
          </w:p>
        </w:tc>
        <w:tc>
          <w:tcPr>
            <w:tcW w:type="dxa" w:w="4365"/>
          </w:tcPr>
          <w:p>
            <w:pPr>
              <w:spacing w:after="80"/>
            </w:pPr>
            <w:r>
              <w:rPr>
                <w:sz w:val="20"/>
              </w:rPr>
              <w:t>Rameen ↔ Eshaal/Raazia rotation described on page 3; actual returns absent.</w:t>
            </w:r>
          </w:p>
        </w:tc>
      </w:tr>
      <w:tr>
        <w:trPr>
          <w:cantSplit/>
        </w:trPr>
        <w:tc>
          <w:tcPr>
            <w:tcW w:type="dxa" w:w="4365"/>
          </w:tcPr>
          <w:p>
            <w:pPr>
              <w:spacing w:after="80"/>
            </w:pPr>
            <w:r>
              <w:rPr>
                <w:sz w:val="20"/>
              </w:rPr>
              <w:t>Close 559-record scope</w:t>
            </w:r>
          </w:p>
        </w:tc>
        <w:tc>
          <w:tcPr>
            <w:tcW w:type="dxa" w:w="1134"/>
            <w:shd w:fill="FCE4D6"/>
          </w:tcPr>
          <w:p>
            <w:pPr>
              <w:spacing w:after="80"/>
            </w:pPr>
            <w:r>
              <w:rPr>
                <w:sz w:val="20"/>
              </w:rPr>
              <w:t>Red</w:t>
            </w:r>
          </w:p>
        </w:tc>
        <w:tc>
          <w:tcPr>
            <w:tcW w:type="dxa" w:w="4365"/>
          </w:tcPr>
          <w:p>
            <w:pPr>
              <w:spacing w:after="80"/>
            </w:pPr>
            <w:r>
              <w:rPr>
                <w:sz w:val="20"/>
              </w:rPr>
              <w:t>Complete screening or retain bounded deviation with dated instructor direction if obtained.</w:t>
            </w:r>
          </w:p>
        </w:tc>
      </w:tr>
      <w:tr>
        <w:trPr>
          <w:cantSplit/>
        </w:trPr>
        <w:tc>
          <w:tcPr>
            <w:tcW w:type="dxa" w:w="4365"/>
          </w:tcPr>
          <w:p>
            <w:pPr>
              <w:spacing w:after="80"/>
            </w:pPr>
            <w:r>
              <w:rPr>
                <w:sz w:val="20"/>
              </w:rPr>
              <w:t>Resolve historical search and ParvaGPU version unknowns</w:t>
            </w:r>
          </w:p>
        </w:tc>
        <w:tc>
          <w:tcPr>
            <w:tcW w:type="dxa" w:w="1134"/>
            <w:shd w:fill="FFF2CC"/>
          </w:tcPr>
          <w:p>
            <w:pPr>
              <w:spacing w:after="80"/>
            </w:pPr>
            <w:r>
              <w:rPr>
                <w:sz w:val="20"/>
              </w:rPr>
              <w:t>Yellow</w:t>
            </w:r>
          </w:p>
        </w:tc>
        <w:tc>
          <w:tcPr>
            <w:tcW w:type="dxa" w:w="4365"/>
          </w:tcPr>
          <w:p>
            <w:pPr>
              <w:spacing w:after="80"/>
            </w:pPr>
            <w:r>
              <w:rPr>
                <w:sz w:val="20"/>
              </w:rPr>
              <w:t>Recover evidence if possible; otherwise retain precise limitations.</w:t>
            </w:r>
          </w:p>
        </w:tc>
      </w:tr>
      <w:tr>
        <w:trPr>
          <w:cantSplit/>
        </w:trPr>
        <w:tc>
          <w:tcPr>
            <w:tcW w:type="dxa" w:w="4365"/>
          </w:tcPr>
          <w:p>
            <w:pPr>
              <w:spacing w:after="80"/>
            </w:pPr>
            <w:r>
              <w:rPr>
                <w:sz w:val="20"/>
              </w:rPr>
              <w:t>Read the main CEP draft together</w:t>
            </w:r>
          </w:p>
        </w:tc>
        <w:tc>
          <w:tcPr>
            <w:tcW w:type="dxa" w:w="1134"/>
            <w:shd w:fill="FFF2CC"/>
          </w:tcPr>
          <w:p>
            <w:pPr>
              <w:spacing w:after="80"/>
            </w:pPr>
            <w:r>
              <w:rPr>
                <w:sz w:val="20"/>
              </w:rPr>
              <w:t>Yellow</w:t>
            </w:r>
          </w:p>
        </w:tc>
        <w:tc>
          <w:tcPr>
            <w:tcW w:type="dxa" w:w="4365"/>
          </w:tcPr>
          <w:p>
            <w:pPr>
              <w:spacing w:after="80"/>
            </w:pPr>
            <w:r>
              <w:rPr>
                <w:sz w:val="20"/>
              </w:rPr>
              <w:t>Check interpretation, citations, tables, spelling and conditional conclusion.</w:t>
            </w:r>
          </w:p>
        </w:tc>
      </w:tr>
      <w:tr>
        <w:trPr>
          <w:cantSplit/>
        </w:trPr>
        <w:tc>
          <w:tcPr>
            <w:tcW w:type="dxa" w:w="4365"/>
          </w:tcPr>
          <w:p>
            <w:pPr>
              <w:spacing w:after="80"/>
            </w:pPr>
            <w:r>
              <w:rPr>
                <w:sz w:val="20"/>
              </w:rPr>
              <w:t>Verify repository publication</w:t>
            </w:r>
          </w:p>
        </w:tc>
        <w:tc>
          <w:tcPr>
            <w:tcW w:type="dxa" w:w="1134"/>
            <w:shd w:fill="FFF2CC"/>
          </w:tcPr>
          <w:p>
            <w:pPr>
              <w:spacing w:after="80"/>
            </w:pPr>
            <w:r>
              <w:rPr>
                <w:sz w:val="20"/>
              </w:rPr>
              <w:t>Yellow</w:t>
            </w:r>
          </w:p>
        </w:tc>
        <w:tc>
          <w:tcPr>
            <w:tcW w:type="dxa" w:w="4365"/>
          </w:tcPr>
          <w:p>
            <w:pPr>
              <w:spacing w:after="80"/>
            </w:pPr>
            <w:r>
              <w:rPr>
                <w:sz w:val="20"/>
              </w:rPr>
              <w:t>Use publication_receipt.json for verified remote commit; a local commit is not proof of main.</w:t>
            </w:r>
          </w:p>
        </w:tc>
      </w:tr>
    </w:tbl>
    <w:p>
      <w:r>
        <w:t>The team can now review one integrated first draft. A final read can approve wording and presentation, while the research-method conditions remain separately visible. Do not mark unfinished source votes or selection work complete merely because the package is ready to read.</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