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2: teammate setup and return guide</w:t>
      </w:r>
    </w:p>
    <w:p>
      <w:r>
        <w:t>Group B | GPU sharing for multi-tenant inference | 16 October 2026</w:t>
      </w:r>
    </w:p>
    <w:p>
      <w:pPr>
        <w:pStyle w:val="Heading1"/>
      </w:pPr>
      <w:r>
        <w:t>Where we stand</w:t>
      </w:r>
    </w:p>
    <w:p>
      <w:r>
        <w:t>Cycle 1 recovery/audit is saved. Cycle 2 database reconciliation and workbook refresh are the current checkpoint. Cycle 3 screening has not started. The workbook is an interim evidence tracker, not proof of final inclusion.</w:t>
      </w:r>
    </w:p>
    <w:p>
      <w:r>
        <w:t>Current totals: 4,189 imported occurrences minus 111 duplicate links = 4,078 canonical records. Existing recommendations: 1,181 exclude and 1,066 retain/uncertain. Another 1,831 ScienceDirect records await their first recommendation. Five reports have 50 preliminary Q1-Q10 items and 26 outcome rows. Final decisions and final included-study count remain pending.</w:t>
      </w:r>
    </w:p>
    <w:p>
      <w:pPr>
        <w:pStyle w:val="Heading1"/>
      </w:pPr>
      <w:r>
        <w:t>Start here: no coding is required</w:t>
      </w:r>
    </w:p>
    <w:p>
      <w:pPr>
        <w:pStyle w:val="ListNumber"/>
      </w:pPr>
      <w:r>
        <w:t>Open https://github.com/Raazia-Imran/os_CEPPPPPP and select main. Open task2/tracker/review_workbook.xlsx and click Download raw file. Open it in Excel or LibreOffice Calc. Download task1/submitted_protocol.pdf as the rulebook.</w:t>
      </w:r>
    </w:p>
    <w:p>
      <w:pPr>
        <w:pStyle w:val="ListNumber"/>
      </w:pPr>
      <w:r>
        <w:t>Create a working copy named Eshaal_Task2_YYYY-MM-DD.xlsx or Rameen_Task2_YYYY-MM-DD.xlsx. Keep the original unchanged. Use one working copy throughout your batch.</w:t>
      </w:r>
    </w:p>
    <w:p>
      <w:pPr>
        <w:pStyle w:val="ListNumber"/>
      </w:pPr>
      <w:r>
        <w:t>Click the required tab at the bottom. If tabs are hidden, use the sheet navigation arrows. Select the header row and enable Data &gt; Filter. Filter only the assigned rows. Never sort a single column: sort the entire table so IDs stay with their evidence.</w:t>
      </w:r>
    </w:p>
    <w:p>
      <w:pPr>
        <w:pStyle w:val="ListNumber"/>
      </w:pPr>
      <w:r>
        <w:t>Do not edit record_id, canonical_record_id, report_id or outcome_id. These IDs connect all tabs. Do not delete rows, rename headers, replace first-review judgments or enter your name for work someone else did.</w:t>
      </w:r>
    </w:p>
    <w:p>
      <w:pPr>
        <w:pStyle w:val="ListNumber"/>
      </w:pPr>
      <w:r>
        <w:t>Read independently before comparing with preliminary judgments. Hide recommendation/reason or first score/rationale columns while forming your initial decision. Unhide them only after saving your own decision. Preserve disagreements for Raazia.</w:t>
      </w:r>
    </w:p>
    <w:p>
      <w:r>
        <w:t>An occurrence is one imported citation row; a canonical record is the deduplicated screening item; a report is one paper/version; a study is the underlying investigation. Two reports can describe one study. Do not count outcome rows as studies.</w:t>
      </w:r>
    </w:p>
    <w:p>
      <w:r>
        <w:br w:type="page"/>
      </w:r>
    </w:p>
    <w:p>
      <w:pPr>
        <w:pStyle w:val="Heading1"/>
      </w:pPr>
      <w:r>
        <w:t>Eshaal: independent screening, step by step</w:t>
      </w:r>
    </w:p>
    <w:p>
      <w:pPr>
        <w:pStyle w:val="ListNumber"/>
      </w:pPr>
      <w:r>
        <w:t>Open Human validation. Filter priority to 1: 148 priority candidate records. Then continue the remaining assigned rows of the 1,066-candidate queue. The separate New import queue has 1,831 unscreened additions reserved for Cycle 3; it is not part of your existing validation assignment unless Raazia assigns it.</w:t>
      </w:r>
    </w:p>
    <w:p>
      <w:pPr>
        <w:pStyle w:val="ListNumber"/>
      </w:pPr>
      <w:r>
        <w:t>Find the same record_id in Records. Read the title and actual abstract. Follow DOI or URL to the publisher if more text is needed. Search-result snippets are not complete abstracts. If the abstract is unavailable or the scope remains ambiguous, use uncertain and state what is missing.</w:t>
      </w:r>
    </w:p>
    <w:p>
      <w:pPr>
        <w:pStyle w:val="ListNumber"/>
      </w:pPr>
      <w:r>
        <w:t>Decide whether the citation should proceed to full text. Enter independent_vote as retain (meaning include for full-text assessment), exclude, or uncertain. Retain is not final inclusion. For exclude, put the actual protocol EC code in criterion and add your independent explanation in a new independent_reason column. Do not overwrite the existing reason column.</w:t>
      </w:r>
    </w:p>
    <w:p>
      <w:pPr>
        <w:pStyle w:val="ListNumber"/>
      </w:pPr>
      <w:r>
        <w:t>Add reviewer with your real name and fill checked_at_utc with the actual timestamp, for example YYYY-MM-DDTHH:MM:SSZ. If you only know local time, add checked_at_local and timezone=Asia/Karachi; do not label local time UTC. Add source_location with DOI/URL and abstract or page used. Keep final_decision pending for reconciliation.</w:t>
      </w:r>
    </w:p>
    <w:p>
      <w:pPr>
        <w:pStyle w:val="ListNumber"/>
      </w:pPr>
      <w:r>
        <w:t>Open Exclusion sample. Check all 127 sampled records independently, using the same steps and independent_vote/criterion/reviewer/date/reason fields. A sampled false exclusion should be retain or uncertain with an explanation; do not change the original first recommendation.</w:t>
      </w:r>
    </w:p>
    <w:p>
      <w:pPr>
        <w:pStyle w:val="ListNumber"/>
      </w:pPr>
      <w:r>
        <w:t>If existing ACM human decisions already exist, match them by DOI and then verify title/year against record_id. Preserve original reviewer/date in added original_reviewer and original_review_date fields. If a match is ambiguous, leave it unmatched and report the candidate IDs. Do not represent copied existing work as a new independent vote.</w:t>
      </w:r>
    </w:p>
    <w:p>
      <w:r>
        <w:t>Example of a reason format only: EC2; full abstract describes training exclusively and gives no separable inference result. Use this only when the cited record actually supports it. A title containing GPU alone does not prove eligibility.</w:t>
      </w:r>
    </w:p>
    <w:p>
      <w:pPr>
        <w:pStyle w:val="Heading1"/>
      </w:pPr>
      <w:r>
        <w:t>Return</w:t>
      </w:r>
    </w:p>
    <w:p>
      <w:r>
        <w:t>Return your full working .xlsx. Alternatively export Human validation as human_validation_queue.csv and Exclusion sample as exclusion_validation_sample.csv using CSV UTF-8. Excel exports only the active sheet: save each sheet separately and retain the full .xlsx. Keep every original column plus your new independent columns.</w:t>
      </w:r>
    </w:p>
    <w:p>
      <w:r>
        <w:br w:type="page"/>
      </w:r>
    </w:p>
    <w:p>
      <w:pPr>
        <w:pStyle w:val="Heading1"/>
      </w:pPr>
      <w:r>
        <w:t>Eshaal: recover the ACM search log</w:t>
      </w:r>
    </w:p>
    <w:p>
      <w:pPr>
        <w:pStyle w:val="ListNumber"/>
      </w:pPr>
      <w:r>
        <w:t>Open Query audit and Export audit/Import manifest. The 79 numbered ACM files contain 1,582 occurrences. Two overlapping masters contain 829 and 1,000 entries; they are staged, not additive active imports. The claimed 1,600 hits and 1,603 exports have not been reconciled.</w:t>
      </w:r>
    </w:p>
    <w:p>
      <w:pPr>
        <w:pStyle w:val="ListNumber"/>
      </w:pPr>
      <w:r>
        <w:t>Use saved search history, export history, notes or screenshots from the original operator. Record the exact accepted query, field, collection, filters, actual search date/time, timezone, displayed hits, export count and operator. Copy accepted syntax exactly. An upload date is not a search date.</w:t>
      </w:r>
    </w:p>
    <w:p>
      <w:pPr>
        <w:pStyle w:val="ListNumber"/>
      </w:pPr>
      <w:r>
        <w:t>Create ACM_Run_Map in your copy, one row per original export filename. Use columns run_id, filename, query, field, collection, filters, search_date_time, timezone, displayed_hits, exported_occurrences, page_or_range, operator, evidence_location, mapping_status, notes.</w:t>
      </w:r>
    </w:p>
    <w:p>
      <w:pPr>
        <w:pStyle w:val="ListNumber"/>
      </w:pPr>
      <w:r>
        <w:t>Map a numbered export to a run only when saved evidence supports it. Number 3 is absent among names 1-80, but that alone does not prove a missing results page. An overlapping master must not be added to the numbered-file total. Let the automated import compare identifiers and duplicates.</w:t>
      </w:r>
    </w:p>
    <w:p>
      <w:pPr>
        <w:pStyle w:val="ListNumber"/>
      </w:pPr>
      <w:r>
        <w:t>For each unknown historical field write unknown and explain what evidence is missing. Do not rerun a search and call it the old run. If Raazia requests a new run, give it a new run_id and actual date, preserving the old evidence.</w:t>
      </w:r>
    </w:p>
    <w:p>
      <w:r>
        <w:t>The planned serving synonyms and pre-2020 MPS lanes must be compared with actual executed strings. Do not tick a planned search as complete because a related file exists. Return ACM_run_export_mapping.csv or the equivalent ACM_Run_Map tab, with original evidence locations.</w:t>
      </w:r>
    </w:p>
    <w:p>
      <w:pPr>
        <w:pStyle w:val="Heading1"/>
      </w:pPr>
      <w:r>
        <w:t>ScienceDirect discrepancy to preserve</w:t>
      </w:r>
    </w:p>
    <w:p>
      <w:r>
        <w:t>21 RIS files parse to 1,898 occurrences: API 41, MIG 241, MPS 563 and temporal 1,053. The MPS log reports 517 displayed hits but 563 exports. The temporal URL includes an open-access facet absent from the filter prose. Ask the original operator for evidence; do not alter counts to make them agree. Four represented databases do not establish complete search coverage.</w:t>
      </w:r>
    </w:p>
    <w:p>
      <w:r>
        <w:br w:type="page"/>
      </w:r>
    </w:p>
    <w:p>
      <w:pPr>
        <w:pStyle w:val="Heading1"/>
      </w:pPr>
      <w:r>
        <w:t>Rameen: obtain and assess the five reports</w:t>
      </w:r>
    </w:p>
    <w:p>
      <w:pPr>
        <w:pStyle w:val="ListNumber"/>
      </w:pPr>
      <w:r>
        <w:t>Open Report validation: GB-P001 VastPipe, GB-P002 iGniter, GB-P003 gpulets, GB-P004 PipeSwitch, GB-P005 REEF conference. Locate each DOI/official link in Reference catalogue or Study extraction. Obtain the same final conference/journal version using the publisher, official proceedings or lawful author copy. University VPN may help if already configured; never share credentials.</w:t>
      </w:r>
    </w:p>
    <w:p>
      <w:pPr>
        <w:pStyle w:val="ListNumber"/>
      </w:pPr>
      <w:r>
        <w:t>Save the paper privately with its report_id. Do not upload licensed PDFs to the public repository. Verify title, authors, venue, year and version. If the paper cannot be retrieved, log source URL, attempted date and access problem; report not retrieved is different from excluded.</w:t>
      </w:r>
    </w:p>
    <w:p>
      <w:pPr>
        <w:pStyle w:val="ListNumber"/>
      </w:pPr>
      <w:r>
        <w:t>Read independently. In Full-text criteria, filter report_id and assess all IC1-IC6 rows for that report. Put pass, fail or uncertain in independent_vote, your name in checker and the real date in checked_at_utc. Add independent_anchor and independent_reason rather than overwriting the original source_anchor/first_review_basis.</w:t>
      </w:r>
    </w:p>
    <w:p>
      <w:r>
        <w:t>IC1: final English peer-reviewed primary conference/journal study. IC2: evaluated local GPU sharing among concurrent tenants/models/processes on one physical GPU. IC3: inference/model serving, with separable inference results for mixed workloads. IC4: inspectable relevant outcome and interpretable method/configuration. IC5: extractable within-one-GPU evidence and enough full text. IC6: main publication window or justified older exception. Consult protocol Tables 6-7 for the controlling wording.</w:t>
      </w:r>
    </w:p>
    <w:p>
      <w:pPr>
        <w:pStyle w:val="ListNumber"/>
      </w:pPr>
      <w:r>
        <w:t>For a failure, propose the primary exclusion code using the protocol order: EC1 non-primary/non-peer-reviewed; EC2 no evaluable inference sharing; EC3 hardware-only; EC4 aggregate cluster/multi-GPU/remote-only evidence; EC5 non-GPU; EC6 insufficient available methods/outcomes; EC7 date/language. Do not use EC6 merely because a PDF could not be obtained.</w:t>
      </w:r>
    </w:p>
    <w:p>
      <w:pPr>
        <w:pStyle w:val="ListNumber"/>
      </w:pPr>
      <w:r>
        <w:t>Complete checker and checked_at_utc in Report validation. Add independent_eligibility_vote and independent_reason; keep final_decision pending. Return Full-text criteria and Report validation tabs or fulltext_criteria.csv and report_validation_queue.csv.</w:t>
      </w:r>
    </w:p>
    <w:p>
      <w:pPr>
        <w:pStyle w:val="Heading1"/>
      </w:pPr>
      <w:r>
        <w:t>Two special checks</w:t>
      </w:r>
    </w:p>
    <w:p>
      <w:r>
        <w:t>PipeSwitch: locate exactly which experiments evaluate inference, whether inference results are separable from training, and whether they show concurrent co-tenant evidence on one physical GPU. Record page/figure plus IC3/IC5 reasoning. REEF: compare conference and journal titles/authors/experiments and publication statements. Record same-study/extended-report/distinct/uncertain with evidence. Do not replace the conference DOI with a journal DOI or merge reports automatically.</w:t>
      </w:r>
    </w:p>
    <w:p>
      <w:r>
        <w:br w:type="page"/>
      </w:r>
    </w:p>
    <w:p>
      <w:pPr>
        <w:pStyle w:val="Heading1"/>
      </w:pPr>
      <w:r>
        <w:t>Rameen: verify all 26 extracted outcomes</w:t>
      </w:r>
    </w:p>
    <w:p>
      <w:pPr>
        <w:pStyle w:val="ListNumber"/>
      </w:pPr>
      <w:r>
        <w:t>Open Extraction and filter one report_id. Use outcome_id GB-O001-GB-O026 to track each check. Find source_anchor in the same PDF version. Record both PDF page and printed page if they differ, plus table/figure/section.</w:t>
      </w:r>
    </w:p>
    <w:p>
      <w:pPr>
        <w:pStyle w:val="ListNumber"/>
      </w:pPr>
      <w:r>
        <w:t>Read the caption, surrounding text and experiment setup. Verify mechanism, GPU model/count, workload, batch size/request rate, co-tenants, baseline, metric, value, unit and statistic. Check whether a value is average, p95/p99, ratio, percent change or absolute measurement.</w:t>
      </w:r>
    </w:p>
    <w:p>
      <w:pPr>
        <w:pStyle w:val="ListNumber"/>
      </w:pPr>
      <w:r>
        <w:t>Add independent_value, independent_units, independent_anchor, independent_conditions, independent_baseline and independent_note. Fill independent_checker and independent_checked_at_utc. Mark check_status with a clear result such as independent_agrees, correction_proposed or cannot_verify, retaining the original status in original_check_status if changing it.</w:t>
      </w:r>
    </w:p>
    <w:p>
      <w:pPr>
        <w:pStyle w:val="ListNumber"/>
      </w:pPr>
      <w:r>
        <w:t>Never silently replace the first extracted value. Explain any proposed correction and calculation. A 2x throughput ratio is not a 200% increase. Mark missing information not_reported, not_extracted or cannot_verify as appropriate; zero is a measured value, not a missingness code. Graph estimates must be labelled estimates with the reading method.</w:t>
      </w:r>
    </w:p>
    <w:p>
      <w:pPr>
        <w:pStyle w:val="ListNumber"/>
      </w:pPr>
      <w:r>
        <w:t>In Study extraction, check bibliographic identity, hardware/software, mechanism, workload, advantages, limitations and trade-offs against the report. Add independent notes and anchors. Do not infer isolation or energy benefits from throughput. Fill only evidence actually checked.</w:t>
      </w:r>
    </w:p>
    <w:p>
      <w:r>
        <w:t>Return extraction.csv and study_extraction_form.csv, or the equivalent tabs. Save after each report. A five-report check validates this pilot only; broader extraction for all eligible studies remains future work. The expected 15-20 studies is not permission to select papers to hit a number.</w:t>
      </w:r>
    </w:p>
    <w:p>
      <w:r>
        <w:br w:type="page"/>
      </w:r>
    </w:p>
    <w:p>
      <w:pPr>
        <w:pStyle w:val="Heading1"/>
      </w:pPr>
      <w:r>
        <w:t>Rameen: independently score Q1-Q10</w:t>
      </w:r>
    </w:p>
    <w:p>
      <w:pPr>
        <w:pStyle w:val="ListNumber"/>
      </w:pPr>
      <w:r>
        <w:t>Open submitted_protocol.pdf quality-assessment section. Read the exact Q1-Q10 wording and 0-2 anchors before scoring. Open Quality, filter report_id and hide score/rationale while forming your initial score. Keep the rubric at hand; do not import the sample QA1-QA8 or Group A 0-1 scores.</w:t>
      </w:r>
    </w:p>
    <w:p>
      <w:pPr>
        <w:pStyle w:val="ListNumber"/>
      </w:pPr>
      <w:r>
        <w:t>Assess all ten criteria for each of the five reports: 50 items total. Enter your score in second_score. Use 0, 1 or 2 according to the protocol anchors. Add independent_rationale and independent_anchor with the exact page/table/figure supporting the judgment.</w:t>
      </w:r>
    </w:p>
    <w:p>
      <w:pPr>
        <w:pStyle w:val="ListNumber"/>
      </w:pPr>
      <w:r>
        <w:t>Use NA only where the protocol allows a justified not-applicable item; explain why and record its applicable maximum separately. Missing reporting is not automatically NA. Preserve original maximum and first score; Raazia will reconcile the applicable maximum and normalized score from actual decisions.</w:t>
      </w:r>
    </w:p>
    <w:p>
      <w:pPr>
        <w:pStyle w:val="ListNumber"/>
      </w:pPr>
      <w:r>
        <w:t>Fill independent_checker and checked_at_utc. Keep reconciled_score blank and reconciliation_status pending until the independent results have been compared. Unhide first scores after saving yours; record disagreement without erasing either judgment.</w:t>
      </w:r>
    </w:p>
    <w:p>
      <w:r>
        <w:t>Applicable normalized score = sum of applicable scores / sum of applicable maxima. A fully applicable 10-item form has maximum 20. Below 60% informs sensitivity analysis; it is not an automatic exclusion. Return quality.csv or the Quality tab with all original and independent fields.</w:t>
      </w:r>
    </w:p>
    <w:p>
      <w:pPr>
        <w:pStyle w:val="Heading1"/>
      </w:pPr>
      <w:r>
        <w:t>Before sending your work back</w:t>
      </w:r>
    </w:p>
    <w:p>
      <w:pPr>
        <w:pStyle w:val="ListNumber"/>
      </w:pPr>
      <w:r>
        <w:t>Check every completed row has its original ID, your actual name/date, an independent judgment, reason and source anchor. For unavailable evidence, state the precise limitation. Do not write checked against rows you did not inspect.</w:t>
      </w:r>
    </w:p>
    <w:p>
      <w:pPr>
        <w:pStyle w:val="ListNumber"/>
      </w:pPr>
      <w:r>
        <w:t>Save and reopen the .xlsx. Confirm your tabs and entries remain present. Send the working file and a short note: completed IDs, unresolved IDs, proposed corrections and evidence needed. Screenshots can support an anchor but do not replace row-keyed return files.</w:t>
      </w:r>
    </w:p>
    <w:p>
      <w:r>
        <w:br w:type="page"/>
      </w:r>
    </w:p>
    <w:p>
      <w:pPr>
        <w:pStyle w:val="Heading1"/>
      </w:pPr>
      <w:r>
        <w:t>Raazia: reconcile returns and complete Task 2</w:t>
      </w:r>
    </w:p>
    <w:p>
      <w:r>
        <w:t>Automated work can maintain imports/hashes, compare IDs, flag inconsistent counts, build the workbook, compile diagrams/report and validate outputs. Teammates supply real independent judgments and historical evidence that has not been recorded. Do not ask them to duplicate already verified first-review automation.</w:t>
      </w:r>
    </w:p>
    <w:p>
      <w:pPr>
        <w:pStyle w:val="ListNumber"/>
      </w:pPr>
      <w:r>
        <w:t>Keep each returned workbook unchanged as a reviewer snapshot. Join by record_id, report_id and outcome_id, not row number. Check duplicate IDs, missing IDs, changed source values and incomplete reviewer metadata. Compare independent judgments only after preserving them.</w:t>
      </w:r>
    </w:p>
    <w:p>
      <w:pPr>
        <w:pStyle w:val="ListNumber"/>
      </w:pPr>
      <w:r>
        <w:t>Reconcile disagreements with reasons and actual participants/dates. Apply only justified identity links. Keep report versions and study relationships distinct. Recalculate all dependent totals from registers after accepted changes.</w:t>
      </w:r>
    </w:p>
    <w:p>
      <w:pPr>
        <w:pStyle w:val="ListNumber"/>
      </w:pPr>
      <w:r>
        <w:t>Before submission, complete all remaining eligible-candidate screening, retrieval, full-text decisions, QA and extraction. Update PRISMA from actual decisions: identification, duplicates, screening, retrieval attempts/not retrieved, assessed exclusions by reason, reports and unique studies. Pending is not zero.</w:t>
      </w:r>
    </w:p>
    <w:p>
      <w:pPr>
        <w:pStyle w:val="ListNumber"/>
      </w:pPr>
      <w:r>
        <w:t>Regenerate the PDF and workbook together, check references/anchors, and verify both open. The existing report PDF predates the ScienceDirect import and remains historical. Do not submit it as the current reconciled report.</w:t>
      </w:r>
    </w:p>
    <w:p>
      <w:pPr>
        <w:pStyle w:val="Heading1"/>
      </w:pPr>
      <w:r>
        <w:t>Heading 8-14 acceptance checklist</w:t>
      </w:r>
    </w:p>
    <w:p>
      <w:r>
        <w:t>8 Search strategy: exact executed database/query table, fields, filters, dates, hits, exports, filenames, provenance and unresolved gaps; planned strings separate.</w:t>
      </w:r>
    </w:p>
    <w:p>
      <w:r>
        <w:t>9 Literature period: actual per-run cutoff, 2026 publication-date checks and documented older-study exceptions.</w:t>
      </w:r>
    </w:p>
    <w:p>
      <w:r>
        <w:t>10 Inclusion/exclusion: criteria tables and record/report-keyed independent and reconciled reasons.</w:t>
      </w:r>
    </w:p>
    <w:p>
      <w:r>
        <w:t>11 PRISMA: traceable actual counts; unavailable reports separate from assessed exclusions; final reports and studies distinct.</w:t>
      </w:r>
    </w:p>
    <w:p>
      <w:r>
        <w:t>12 Search/screening log: immutable IDs, database/title/year, duplicate links, first/independent/final decisions and reasons.</w:t>
      </w:r>
    </w:p>
    <w:p>
      <w:r>
        <w:t>13 Quality: Group B Q1-Q10 scores, anchors, rationale, applicable maxima and sensitivity analysis.</w:t>
      </w:r>
    </w:p>
    <w:p>
      <w:r>
        <w:t>14 Extraction: study identity plus outcome conditions, units, baseline, anchors, missingness, limitations and trade-offs for every eligible study.</w:t>
      </w:r>
    </w:p>
    <w:p>
      <w:r>
        <w:t>Next cycle: Cycle 3 screening, duplicates and full-text decisions. Begin only when requested; Cycle 2 preparation does not supply those decisions.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