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Task 3 First Draft Team Guide</w:t>
      </w:r>
    </w:p>
    <w:p>
      <w:r>
        <w:t>GPU sharing for multi-tenant inference | Prepared 24 October 2026</w:t>
      </w:r>
    </w:p>
    <w:p>
      <w:r>
        <w:t>Use the new 30-study package for all further checking. Keep the two older ZIPs as backups. We have assembled the report and supporting evidence, but we have not completed every full-text eligibility decision in the wider review. This guide explains what changed, where each file is, and exactly what to check before the Sunday 25 October submission.</w:t>
      </w:r>
    </w:p>
    <w:p>
      <w:pPr>
        <w:pStyle w:val="Heading1"/>
      </w:pPr>
      <w:r>
        <w:t>What is complete and what is still open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tblHeader/>
        </w:trPr>
        <w:tc>
          <w:tcPr>
            <w:tcW w:type="dxa" w:w="2880"/>
            <w:shd w:fill="E8EDF2"/>
            <w:vAlign w:val="center"/>
          </w:tcPr>
          <w:p>
            <w:pPr>
              <w:spacing w:after="80"/>
            </w:pPr>
            <w:r>
              <w:rPr>
                <w:b/>
                <w:sz w:val="20"/>
              </w:rPr>
              <w:t>Measure</w:t>
            </w:r>
          </w:p>
        </w:tc>
        <w:tc>
          <w:tcPr>
            <w:tcW w:type="dxa" w:w="7056"/>
            <w:shd w:fill="E8EDF2"/>
            <w:vAlign w:val="center"/>
          </w:tcPr>
          <w:p>
            <w:pPr>
              <w:spacing w:after="80"/>
            </w:pPr>
            <w:r>
              <w:rPr>
                <w:b/>
                <w:sz w:val="20"/>
              </w:rPr>
              <w:t>Verified position</w:t>
            </w:r>
          </w:p>
        </w:tc>
      </w:tr>
      <w:tr>
        <w:tc>
          <w:tcPr>
            <w:tcW w:type="dxa" w:w="2880"/>
            <w:vAlign w:val="center"/>
          </w:tcPr>
          <w:p>
            <w:pPr>
              <w:spacing w:after="80"/>
            </w:pPr>
            <w:r>
              <w:rPr>
                <w:b w:val="0"/>
                <w:sz w:val="20"/>
              </w:rPr>
              <w:t>Older shared package</w:t>
            </w:r>
          </w:p>
        </w:tc>
        <w:tc>
          <w:tcPr>
            <w:tcW w:type="dxa" w:w="7056"/>
            <w:vAlign w:val="center"/>
          </w:tcPr>
          <w:p>
            <w:pPr>
              <w:spacing w:after="80"/>
            </w:pPr>
            <w:r>
              <w:rPr>
                <w:b w:val="0"/>
                <w:sz w:val="20"/>
              </w:rPr>
              <w:t>20 unique studies, 21 reports, 200 QA items and 52 outcome rows</w:t>
            </w:r>
          </w:p>
        </w:tc>
      </w:tr>
      <w:tr>
        <w:tc>
          <w:tcPr>
            <w:tcW w:type="dxa" w:w="2880"/>
            <w:shd w:fill="F5F7F9"/>
            <w:vAlign w:val="center"/>
          </w:tcPr>
          <w:p>
            <w:pPr>
              <w:spacing w:after="80"/>
            </w:pPr>
            <w:r>
              <w:rPr>
                <w:b w:val="0"/>
                <w:sz w:val="20"/>
              </w:rPr>
              <w:t>Current assessed package</w:t>
            </w:r>
          </w:p>
        </w:tc>
        <w:tc>
          <w:tcPr>
            <w:tcW w:type="dxa" w:w="7056"/>
            <w:shd w:fill="F5F7F9"/>
            <w:vAlign w:val="center"/>
          </w:tcPr>
          <w:p>
            <w:pPr>
              <w:spacing w:after="80"/>
            </w:pPr>
            <w:r>
              <w:rPr>
                <w:b w:val="0"/>
                <w:sz w:val="20"/>
              </w:rPr>
              <w:t>30 unique studies, 31 reports, 300 QA items and 90 outcome rows</w:t>
            </w:r>
          </w:p>
        </w:tc>
      </w:tr>
      <w:tr>
        <w:tc>
          <w:tcPr>
            <w:tcW w:type="dxa" w:w="2880"/>
            <w:vAlign w:val="center"/>
          </w:tcPr>
          <w:p>
            <w:pPr>
              <w:spacing w:after="80"/>
            </w:pPr>
            <w:r>
              <w:rPr>
                <w:b w:val="0"/>
                <w:sz w:val="20"/>
              </w:rPr>
              <w:t>New papers</w:t>
            </w:r>
          </w:p>
        </w:tc>
        <w:tc>
          <w:tcPr>
            <w:tcW w:type="dxa" w:w="7056"/>
            <w:vAlign w:val="center"/>
          </w:tcPr>
          <w:p>
            <w:pPr>
              <w:spacing w:after="80"/>
            </w:pPr>
            <w:r>
              <w:rPr>
                <w:b w:val="0"/>
                <w:sz w:val="20"/>
              </w:rPr>
              <w:t>10 additions; each has six eligibility checks, ten QA items, extraction and a reference entry</w:t>
            </w:r>
          </w:p>
        </w:tc>
      </w:tr>
      <w:tr>
        <w:tc>
          <w:tcPr>
            <w:tcW w:type="dxa" w:w="2880"/>
            <w:shd w:fill="F5F7F9"/>
            <w:vAlign w:val="center"/>
          </w:tcPr>
          <w:p>
            <w:pPr>
              <w:spacing w:after="80"/>
            </w:pPr>
            <w:r>
              <w:rPr>
                <w:b w:val="0"/>
                <w:sz w:val="20"/>
              </w:rPr>
              <w:t>Source PDFs</w:t>
            </w:r>
          </w:p>
        </w:tc>
        <w:tc>
          <w:tcPr>
            <w:tcW w:type="dxa" w:w="7056"/>
            <w:shd w:fill="F5F7F9"/>
            <w:vAlign w:val="center"/>
          </w:tcPr>
          <w:p>
            <w:pPr>
              <w:spacing w:after="80"/>
            </w:pPr>
            <w:r>
              <w:rPr>
                <w:b w:val="0"/>
                <w:sz w:val="20"/>
              </w:rPr>
              <w:t>All ten added PDFs recovered and matched to their assessment hashes</w:t>
            </w:r>
          </w:p>
        </w:tc>
      </w:tr>
      <w:tr>
        <w:tc>
          <w:tcPr>
            <w:tcW w:type="dxa" w:w="2880"/>
            <w:vAlign w:val="center"/>
          </w:tcPr>
          <w:p>
            <w:pPr>
              <w:spacing w:after="80"/>
            </w:pPr>
            <w:r>
              <w:rPr>
                <w:b w:val="0"/>
                <w:sz w:val="20"/>
              </w:rPr>
              <w:t>Continuation screening</w:t>
            </w:r>
          </w:p>
        </w:tc>
        <w:tc>
          <w:tcPr>
            <w:tcW w:type="dxa" w:w="7056"/>
            <w:vAlign w:val="center"/>
          </w:tcPr>
          <w:p>
            <w:pPr>
              <w:spacing w:after="80"/>
            </w:pPr>
            <w:r>
              <w:rPr>
                <w:b w:val="0"/>
                <w:sz w:val="20"/>
              </w:rPr>
              <w:t>559 of 559 decisions recorded: 225 excluded and 334 advanced</w:t>
            </w:r>
          </w:p>
        </w:tc>
      </w:tr>
      <w:tr>
        <w:tc>
          <w:tcPr>
            <w:tcW w:type="dxa" w:w="2880"/>
            <w:shd w:fill="F5F7F9"/>
            <w:vAlign w:val="center"/>
          </w:tcPr>
          <w:p>
            <w:pPr>
              <w:spacing w:after="80"/>
            </w:pPr>
            <w:r>
              <w:rPr>
                <w:b w:val="0"/>
                <w:sz w:val="20"/>
              </w:rPr>
              <w:t>Continuation eligibility</w:t>
            </w:r>
          </w:p>
        </w:tc>
        <w:tc>
          <w:tcPr>
            <w:tcW w:type="dxa" w:w="7056"/>
            <w:shd w:fill="F5F7F9"/>
            <w:vAlign w:val="center"/>
          </w:tcPr>
          <w:p>
            <w:pPr>
              <w:spacing w:after="80"/>
            </w:pPr>
            <w:r>
              <w:rPr>
                <w:b w:val="0"/>
                <w:sz w:val="20"/>
              </w:rPr>
              <w:t>14 of 334 advanced records closed: 10 included and four excluded; 320 deferred</w:t>
            </w:r>
          </w:p>
        </w:tc>
      </w:tr>
      <w:tr>
        <w:tc>
          <w:tcPr>
            <w:tcW w:type="dxa" w:w="2880"/>
            <w:vAlign w:val="center"/>
          </w:tcPr>
          <w:p>
            <w:pPr>
              <w:spacing w:after="80"/>
            </w:pPr>
            <w:r>
              <w:rPr>
                <w:b w:val="0"/>
                <w:sz w:val="20"/>
              </w:rPr>
              <w:t>Full SLR completion</w:t>
            </w:r>
          </w:p>
        </w:tc>
        <w:tc>
          <w:tcPr>
            <w:tcW w:type="dxa" w:w="7056"/>
            <w:vAlign w:val="center"/>
          </w:tcPr>
          <w:p>
            <w:pPr>
              <w:spacing w:after="80"/>
            </w:pPr>
            <w:r>
              <w:rPr>
                <w:b w:val="0"/>
                <w:sz w:val="20"/>
              </w:rPr>
              <w:t>Incomplete eligibility, historical search provenance and independent checking remain</w:t>
            </w:r>
          </w:p>
        </w:tc>
      </w:tr>
    </w:tbl>
    <w:p>
      <w:r>
        <w:t>The earlier 100% referred to assembling a bounded draft package. It did not mean that the entire SLR or every guideline requirement was fully closed. There is no defensible single percentage for all research work because the remaining records differ in effort and evidence availability.</w:t>
      </w:r>
    </w:p>
    <w:p>
      <w:r>
        <w:t>A record is a database entry. A report is a paper version. A study is the underlying investigation. The two linked REEF reports count as one study, which is why 31 reports represent 30 studies.</w:t>
      </w:r>
    </w:p>
    <w:p>
      <w:r>
        <w:t>Screening-stage completion does not mean that every abstract was available. The report identifies title or metadata-only decisions and 163 records without recovered abstract text. Evidence levels remain explicit in the screening log.</w:t>
      </w:r>
    </w:p>
    <w:p>
      <w:r>
        <w:br w:type="page"/>
      </w:r>
    </w:p>
    <w:p>
      <w:pPr>
        <w:pStyle w:val="Heading1"/>
      </w:pPr>
      <w:r>
        <w:t>Which files to use now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tblHeader/>
        </w:trPr>
        <w:tc>
          <w:tcPr>
            <w:tcW w:type="dxa" w:w="3600"/>
            <w:shd w:fill="E8EDF2"/>
            <w:vAlign w:val="center"/>
          </w:tcPr>
          <w:p>
            <w:pPr>
              <w:spacing w:after="80"/>
            </w:pPr>
            <w:r>
              <w:rPr>
                <w:b/>
                <w:sz w:val="20"/>
              </w:rPr>
              <w:t>File or folder</w:t>
            </w:r>
          </w:p>
        </w:tc>
        <w:tc>
          <w:tcPr>
            <w:tcW w:type="dxa" w:w="6336"/>
            <w:shd w:fill="E8EDF2"/>
            <w:vAlign w:val="center"/>
          </w:tcPr>
          <w:p>
            <w:pPr>
              <w:spacing w:after="80"/>
            </w:pPr>
            <w:r>
              <w:rPr>
                <w:b/>
                <w:sz w:val="20"/>
              </w:rPr>
              <w:t>Use</w:t>
            </w:r>
          </w:p>
        </w:tc>
      </w:tr>
      <w:tr>
        <w:tc>
          <w:tcPr>
            <w:tcW w:type="dxa" w:w="3600"/>
            <w:vAlign w:val="center"/>
          </w:tcPr>
          <w:p>
            <w:pPr>
              <w:spacing w:after="80"/>
            </w:pPr>
            <w:r>
              <w:rPr>
                <w:b w:val="0"/>
                <w:sz w:val="20"/>
              </w:rPr>
              <w:t>01_Report/CEP_Task3_First_Draft.pdf</w:t>
            </w:r>
          </w:p>
        </w:tc>
        <w:tc>
          <w:tcPr>
            <w:tcW w:type="dxa" w:w="6336"/>
            <w:vAlign w:val="center"/>
          </w:tcPr>
          <w:p>
            <w:pPr>
              <w:spacing w:after="80"/>
            </w:pPr>
            <w:r>
              <w:rPr>
                <w:b w:val="0"/>
                <w:sz w:val="20"/>
              </w:rPr>
              <w:t>Read the current typeset report. Use its printed sections and study IDs for comments.</w:t>
            </w:r>
          </w:p>
        </w:tc>
      </w:tr>
      <w:tr>
        <w:tc>
          <w:tcPr>
            <w:tcW w:type="dxa" w:w="3600"/>
            <w:shd w:fill="F5F7F9"/>
            <w:vAlign w:val="center"/>
          </w:tcPr>
          <w:p>
            <w:pPr>
              <w:spacing w:after="80"/>
            </w:pPr>
            <w:r>
              <w:rPr>
                <w:b w:val="0"/>
                <w:sz w:val="20"/>
              </w:rPr>
              <w:t>01_Report/CEP_Task3_First_Draft.docx</w:t>
            </w:r>
          </w:p>
        </w:tc>
        <w:tc>
          <w:tcPr>
            <w:tcW w:type="dxa" w:w="6336"/>
            <w:shd w:fill="F5F7F9"/>
            <w:vAlign w:val="center"/>
          </w:tcPr>
          <w:p>
            <w:pPr>
              <w:spacing w:after="80"/>
            </w:pPr>
            <w:r>
              <w:rPr>
                <w:b w:val="0"/>
                <w:sz w:val="20"/>
              </w:rPr>
              <w:t>Leave review comments or tracked edits. Word edits do not automatically update LaTeX.</w:t>
            </w:r>
          </w:p>
        </w:tc>
      </w:tr>
      <w:tr>
        <w:tc>
          <w:tcPr>
            <w:tcW w:type="dxa" w:w="3600"/>
            <w:vAlign w:val="center"/>
          </w:tcPr>
          <w:p>
            <w:pPr>
              <w:spacing w:after="80"/>
            </w:pPr>
            <w:r>
              <w:rPr>
                <w:b w:val="0"/>
                <w:sz w:val="20"/>
              </w:rPr>
              <w:t>02_Master/CEP_Task3_Evidence_Workbook.xlsx</w:t>
            </w:r>
          </w:p>
        </w:tc>
        <w:tc>
          <w:tcPr>
            <w:tcW w:type="dxa" w:w="6336"/>
            <w:vAlign w:val="center"/>
          </w:tcPr>
          <w:p>
            <w:pPr>
              <w:spacing w:after="80"/>
            </w:pPr>
            <w:r>
              <w:rPr>
                <w:b w:val="0"/>
                <w:sz w:val="20"/>
              </w:rPr>
              <w:t>Use this database as the current master. The older database is a historical backup.</w:t>
            </w:r>
          </w:p>
        </w:tc>
      </w:tr>
      <w:tr>
        <w:tc>
          <w:tcPr>
            <w:tcW w:type="dxa" w:w="3600"/>
            <w:shd w:fill="F5F7F9"/>
            <w:vAlign w:val="center"/>
          </w:tcPr>
          <w:p>
            <w:pPr>
              <w:spacing w:after="80"/>
            </w:pPr>
            <w:r>
              <w:rPr>
                <w:b w:val="0"/>
                <w:sz w:val="20"/>
              </w:rPr>
              <w:t>03_Data_and_Logs</w:t>
            </w:r>
          </w:p>
        </w:tc>
        <w:tc>
          <w:tcPr>
            <w:tcW w:type="dxa" w:w="6336"/>
            <w:shd w:fill="F5F7F9"/>
            <w:vAlign w:val="center"/>
          </w:tcPr>
          <w:p>
            <w:pPr>
              <w:spacing w:after="80"/>
            </w:pPr>
            <w:r>
              <w:rPr>
                <w:b w:val="0"/>
                <w:sz w:val="20"/>
              </w:rPr>
              <w:t>CSV copies of the main tables, screening decisions, criteria, QA, references and remaining queue.</w:t>
            </w:r>
          </w:p>
        </w:tc>
      </w:tr>
      <w:tr>
        <w:tc>
          <w:tcPr>
            <w:tcW w:type="dxa" w:w="3600"/>
            <w:vAlign w:val="center"/>
          </w:tcPr>
          <w:p>
            <w:pPr>
              <w:spacing w:after="80"/>
            </w:pPr>
            <w:r>
              <w:rPr>
                <w:b w:val="0"/>
                <w:sz w:val="20"/>
              </w:rPr>
              <w:t>04_Team</w:t>
            </w:r>
          </w:p>
        </w:tc>
        <w:tc>
          <w:tcPr>
            <w:tcW w:type="dxa" w:w="6336"/>
            <w:vAlign w:val="center"/>
          </w:tcPr>
          <w:p>
            <w:pPr>
              <w:spacing w:after="80"/>
            </w:pPr>
            <w:r>
              <w:rPr>
                <w:b w:val="0"/>
                <w:sz w:val="20"/>
              </w:rPr>
              <w:t>This guide, paper map, deliverable checklist, individual check queues and correction inbox.</w:t>
            </w:r>
          </w:p>
        </w:tc>
      </w:tr>
      <w:tr>
        <w:tc>
          <w:tcPr>
            <w:tcW w:type="dxa" w:w="3600"/>
            <w:shd w:fill="F5F7F9"/>
            <w:vAlign w:val="center"/>
          </w:tcPr>
          <w:p>
            <w:pPr>
              <w:spacing w:after="80"/>
            </w:pPr>
            <w:r>
              <w:rPr>
                <w:b w:val="0"/>
                <w:sz w:val="20"/>
              </w:rPr>
              <w:t>05_Added_Paper_PDFs</w:t>
            </w:r>
          </w:p>
        </w:tc>
        <w:tc>
          <w:tcPr>
            <w:tcW w:type="dxa" w:w="6336"/>
            <w:shd w:fill="F5F7F9"/>
            <w:vAlign w:val="center"/>
          </w:tcPr>
          <w:p>
            <w:pPr>
              <w:spacing w:after="80"/>
            </w:pPr>
            <w:r>
              <w:rPr>
                <w:b w:val="0"/>
                <w:sz w:val="20"/>
              </w:rPr>
              <w:t>Ten source PDFs in the private team ZIP. Public GitHub contains source links and hashes instead.</w:t>
            </w:r>
          </w:p>
        </w:tc>
      </w:tr>
      <w:tr>
        <w:tc>
          <w:tcPr>
            <w:tcW w:type="dxa" w:w="3600"/>
            <w:vAlign w:val="center"/>
          </w:tcPr>
          <w:p>
            <w:pPr>
              <w:spacing w:after="80"/>
            </w:pPr>
            <w:r>
              <w:rPr>
                <w:b w:val="0"/>
                <w:sz w:val="20"/>
              </w:rPr>
              <w:t>06_Protocol_and_Guidelines</w:t>
            </w:r>
          </w:p>
        </w:tc>
        <w:tc>
          <w:tcPr>
            <w:tcW w:type="dxa" w:w="6336"/>
            <w:vAlign w:val="center"/>
          </w:tcPr>
          <w:p>
            <w:pPr>
              <w:spacing w:after="80"/>
            </w:pPr>
            <w:r>
              <w:rPr>
                <w:b w:val="0"/>
                <w:sz w:val="20"/>
              </w:rPr>
              <w:t>Original submitted protocol and the exact guideline PDF shared in this chat.</w:t>
            </w:r>
          </w:p>
        </w:tc>
      </w:tr>
      <w:tr>
        <w:tc>
          <w:tcPr>
            <w:tcW w:type="dxa" w:w="3600"/>
            <w:shd w:fill="F5F7F9"/>
            <w:vAlign w:val="center"/>
          </w:tcPr>
          <w:p>
            <w:pPr>
              <w:spacing w:after="80"/>
            </w:pPr>
            <w:r>
              <w:rPr>
                <w:b w:val="0"/>
                <w:sz w:val="20"/>
              </w:rPr>
              <w:t>Task3_LaTeX_2026-10-24</w:t>
            </w:r>
          </w:p>
        </w:tc>
        <w:tc>
          <w:tcPr>
            <w:tcW w:type="dxa" w:w="6336"/>
            <w:shd w:fill="F5F7F9"/>
            <w:vAlign w:val="center"/>
          </w:tcPr>
          <w:p>
            <w:pPr>
              <w:spacing w:after="80"/>
            </w:pPr>
            <w:r>
              <w:rPr>
                <w:b w:val="0"/>
                <w:sz w:val="20"/>
              </w:rPr>
              <w:t>Separate runnable LaTeX project. Upload its ZIP to Overleaf or use the build commands in its README.</w:t>
            </w:r>
          </w:p>
        </w:tc>
      </w:tr>
    </w:tbl>
    <w:p>
      <w:r>
        <w:t>The new folders supersede the two older ZIPs for editing. Previous checks are still useful: copy a correction by study/report ID into the current correction inbox. Do not silently replace the new master with an older workbook.</w:t>
      </w:r>
    </w:p>
    <w:p>
      <w:pPr>
        <w:pStyle w:val="Heading1"/>
      </w:pPr>
      <w:r>
        <w:t>How to open and start</w:t>
      </w:r>
    </w:p>
    <w:p>
      <w:r>
        <w:t>1. Download and extract the new team ZIP. Keep its folders together.</w:t>
      </w:r>
    </w:p>
    <w:p>
      <w:r>
        <w:t>2. Open this guide, then open the report PDF and the master workbook.</w:t>
      </w:r>
    </w:p>
    <w:p>
      <w:r>
        <w:t>3. In Excel, open Studies. Search your study ID, for example S028. Read its report ID, DOI and QA denominator.</w:t>
      </w:r>
    </w:p>
    <w:p>
      <w:r>
        <w:t>4. Open the matching source PDF from 05_Added_Paper_PDFs using the paper map.</w:t>
      </w:r>
    </w:p>
    <w:p>
      <w:r>
        <w:t>5. Open your Eshaal_Checks.csv or Rameen_Checks.csv. These are blank check records; they are not claims that you already verified anything.</w:t>
      </w:r>
    </w:p>
    <w:p>
      <w:r>
        <w:t>6. Read the source anchor, compare it with the recorded claim and enter an actual finding. Return the completed CSV and any Word comments to Raazia.</w:t>
      </w:r>
    </w:p>
    <w:p>
      <w:r>
        <w:br w:type="page"/>
      </w:r>
    </w:p>
    <w:p>
      <w:pPr>
        <w:pStyle w:val="Heading1"/>
      </w:pPr>
      <w:r>
        <w:t>The ten papers added after the frozen version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520"/>
        <w:gridCol w:w="2520"/>
        <w:gridCol w:w="2520"/>
      </w:tblGrid>
      <w:tr>
        <w:trPr>
          <w:tblHeader/>
        </w:trPr>
        <w:tc>
          <w:tcPr>
            <w:tcW w:type="dxa" w:w="2016"/>
            <w:shd w:fill="E8EDF2"/>
            <w:vAlign w:val="center"/>
          </w:tcPr>
          <w:p>
            <w:pPr>
              <w:spacing w:after="80"/>
            </w:pPr>
            <w:r>
              <w:rPr>
                <w:b/>
                <w:sz w:val="20"/>
              </w:rPr>
              <w:t>Study and report</w:t>
            </w:r>
          </w:p>
        </w:tc>
        <w:tc>
          <w:tcPr>
            <w:tcW w:type="dxa" w:w="4752"/>
            <w:shd w:fill="E8EDF2"/>
            <w:vAlign w:val="center"/>
          </w:tcPr>
          <w:p>
            <w:pPr>
              <w:spacing w:after="80"/>
            </w:pPr>
            <w:r>
              <w:rPr>
                <w:b/>
                <w:sz w:val="20"/>
              </w:rPr>
              <w:t>Paper</w:t>
            </w:r>
          </w:p>
        </w:tc>
        <w:tc>
          <w:tcPr>
            <w:tcW w:type="dxa" w:w="1728"/>
            <w:shd w:fill="E8EDF2"/>
            <w:vAlign w:val="center"/>
          </w:tcPr>
          <w:p>
            <w:pPr>
              <w:spacing w:after="80"/>
            </w:pPr>
            <w:r>
              <w:rPr>
                <w:b/>
                <w:sz w:val="20"/>
              </w:rPr>
              <w:t>Checker</w:t>
            </w:r>
          </w:p>
        </w:tc>
        <w:tc>
          <w:tcPr>
            <w:tcW w:type="dxa" w:w="1440"/>
            <w:shd w:fill="E8EDF2"/>
            <w:vAlign w:val="center"/>
          </w:tcPr>
          <w:p>
            <w:pPr>
              <w:spacing w:after="80"/>
            </w:pPr>
            <w:r>
              <w:rPr>
                <w:b/>
                <w:sz w:val="20"/>
              </w:rPr>
              <w:t>Outcomes</w:t>
            </w:r>
          </w:p>
        </w:tc>
      </w:tr>
      <w:tr>
        <w:tc>
          <w:tcPr>
            <w:tcW w:type="dxa" w:w="2016"/>
            <w:vAlign w:val="center"/>
          </w:tcPr>
          <w:p>
            <w:pPr>
              <w:spacing w:after="80"/>
            </w:pPr>
            <w:r>
              <w:rPr>
                <w:b w:val="0"/>
                <w:sz w:val="20"/>
              </w:rPr>
              <w:t>S021 / P024</w:t>
            </w:r>
          </w:p>
        </w:tc>
        <w:tc>
          <w:tcPr>
            <w:tcW w:type="dxa" w:w="4752"/>
            <w:vAlign w:val="center"/>
          </w:tcPr>
          <w:p>
            <w:pPr>
              <w:spacing w:after="80"/>
            </w:pPr>
            <w:r>
              <w:rPr>
                <w:b w:val="0"/>
                <w:sz w:val="20"/>
              </w:rPr>
              <w:t>LithOS</w:t>
            </w:r>
          </w:p>
        </w:tc>
        <w:tc>
          <w:tcPr>
            <w:tcW w:type="dxa" w:w="1728"/>
            <w:vAlign w:val="center"/>
          </w:tcPr>
          <w:p>
            <w:pPr>
              <w:spacing w:after="80"/>
            </w:pPr>
            <w:r>
              <w:rPr>
                <w:b w:val="0"/>
                <w:sz w:val="20"/>
              </w:rPr>
              <w:t>Eshaal</w:t>
            </w:r>
          </w:p>
        </w:tc>
        <w:tc>
          <w:tcPr>
            <w:tcW w:type="dxa" w:w="1440"/>
            <w:vAlign w:val="center"/>
          </w:tcPr>
          <w:p>
            <w:pPr>
              <w:spacing w:after="80"/>
            </w:pPr>
            <w:r>
              <w:rPr>
                <w:b w:val="0"/>
                <w:sz w:val="20"/>
              </w:rPr>
              <w:t>2</w:t>
            </w:r>
          </w:p>
        </w:tc>
      </w:tr>
      <w:tr>
        <w:tc>
          <w:tcPr>
            <w:tcW w:type="dxa" w:w="2016"/>
            <w:shd w:fill="F5F7F9"/>
            <w:vAlign w:val="center"/>
          </w:tcPr>
          <w:p>
            <w:pPr>
              <w:spacing w:after="80"/>
            </w:pPr>
            <w:r>
              <w:rPr>
                <w:b w:val="0"/>
                <w:sz w:val="20"/>
              </w:rPr>
              <w:t>S022 / P025</w:t>
            </w:r>
          </w:p>
        </w:tc>
        <w:tc>
          <w:tcPr>
            <w:tcW w:type="dxa" w:w="4752"/>
            <w:shd w:fill="F5F7F9"/>
            <w:vAlign w:val="center"/>
          </w:tcPr>
          <w:p>
            <w:pPr>
              <w:spacing w:after="80"/>
            </w:pPr>
            <w:r>
              <w:rPr>
                <w:b w:val="0"/>
                <w:sz w:val="20"/>
              </w:rPr>
              <w:t>Abacus</w:t>
            </w:r>
          </w:p>
        </w:tc>
        <w:tc>
          <w:tcPr>
            <w:tcW w:type="dxa" w:w="1728"/>
            <w:shd w:fill="F5F7F9"/>
            <w:vAlign w:val="center"/>
          </w:tcPr>
          <w:p>
            <w:pPr>
              <w:spacing w:after="80"/>
            </w:pPr>
            <w:r>
              <w:rPr>
                <w:b w:val="0"/>
                <w:sz w:val="20"/>
              </w:rPr>
              <w:t>Rameen</w:t>
            </w:r>
          </w:p>
        </w:tc>
        <w:tc>
          <w:tcPr>
            <w:tcW w:type="dxa" w:w="1440"/>
            <w:shd w:fill="F5F7F9"/>
            <w:vAlign w:val="center"/>
          </w:tcPr>
          <w:p>
            <w:pPr>
              <w:spacing w:after="80"/>
            </w:pPr>
            <w:r>
              <w:rPr>
                <w:b w:val="0"/>
                <w:sz w:val="20"/>
              </w:rPr>
              <w:t>2</w:t>
            </w:r>
          </w:p>
        </w:tc>
      </w:tr>
      <w:tr>
        <w:tc>
          <w:tcPr>
            <w:tcW w:type="dxa" w:w="2016"/>
            <w:vAlign w:val="center"/>
          </w:tcPr>
          <w:p>
            <w:pPr>
              <w:spacing w:after="80"/>
            </w:pPr>
            <w:r>
              <w:rPr>
                <w:b w:val="0"/>
                <w:sz w:val="20"/>
              </w:rPr>
              <w:t>S023 / P026</w:t>
            </w:r>
          </w:p>
        </w:tc>
        <w:tc>
          <w:tcPr>
            <w:tcW w:type="dxa" w:w="4752"/>
            <w:vAlign w:val="center"/>
          </w:tcPr>
          <w:p>
            <w:pPr>
              <w:spacing w:after="80"/>
            </w:pPr>
            <w:r>
              <w:rPr>
                <w:b w:val="0"/>
                <w:sz w:val="20"/>
              </w:rPr>
              <w:t>Miriam</w:t>
            </w:r>
          </w:p>
        </w:tc>
        <w:tc>
          <w:tcPr>
            <w:tcW w:type="dxa" w:w="1728"/>
            <w:vAlign w:val="center"/>
          </w:tcPr>
          <w:p>
            <w:pPr>
              <w:spacing w:after="80"/>
            </w:pPr>
            <w:r>
              <w:rPr>
                <w:b w:val="0"/>
                <w:sz w:val="20"/>
              </w:rPr>
              <w:t>Eshaal</w:t>
            </w:r>
          </w:p>
        </w:tc>
        <w:tc>
          <w:tcPr>
            <w:tcW w:type="dxa" w:w="1440"/>
            <w:vAlign w:val="center"/>
          </w:tcPr>
          <w:p>
            <w:pPr>
              <w:spacing w:after="80"/>
            </w:pPr>
            <w:r>
              <w:rPr>
                <w:b w:val="0"/>
                <w:sz w:val="20"/>
              </w:rPr>
              <w:t>2</w:t>
            </w:r>
          </w:p>
        </w:tc>
      </w:tr>
      <w:tr>
        <w:tc>
          <w:tcPr>
            <w:tcW w:type="dxa" w:w="2016"/>
            <w:shd w:fill="F5F7F9"/>
            <w:vAlign w:val="center"/>
          </w:tcPr>
          <w:p>
            <w:pPr>
              <w:spacing w:after="80"/>
            </w:pPr>
            <w:r>
              <w:rPr>
                <w:b w:val="0"/>
                <w:sz w:val="20"/>
              </w:rPr>
              <w:t>S024 / P027</w:t>
            </w:r>
          </w:p>
        </w:tc>
        <w:tc>
          <w:tcPr>
            <w:tcW w:type="dxa" w:w="4752"/>
            <w:shd w:fill="F5F7F9"/>
            <w:vAlign w:val="center"/>
          </w:tcPr>
          <w:p>
            <w:pPr>
              <w:spacing w:after="80"/>
            </w:pPr>
            <w:r>
              <w:rPr>
                <w:b w:val="0"/>
                <w:sz w:val="20"/>
              </w:rPr>
              <w:t>SGDRC</w:t>
            </w:r>
          </w:p>
        </w:tc>
        <w:tc>
          <w:tcPr>
            <w:tcW w:type="dxa" w:w="1728"/>
            <w:shd w:fill="F5F7F9"/>
            <w:vAlign w:val="center"/>
          </w:tcPr>
          <w:p>
            <w:pPr>
              <w:spacing w:after="80"/>
            </w:pPr>
            <w:r>
              <w:rPr>
                <w:b w:val="0"/>
                <w:sz w:val="20"/>
              </w:rPr>
              <w:t>Rameen</w:t>
            </w:r>
          </w:p>
        </w:tc>
        <w:tc>
          <w:tcPr>
            <w:tcW w:type="dxa" w:w="1440"/>
            <w:shd w:fill="F5F7F9"/>
            <w:vAlign w:val="center"/>
          </w:tcPr>
          <w:p>
            <w:pPr>
              <w:spacing w:after="80"/>
            </w:pPr>
            <w:r>
              <w:rPr>
                <w:b w:val="0"/>
                <w:sz w:val="20"/>
              </w:rPr>
              <w:t>2</w:t>
            </w:r>
          </w:p>
        </w:tc>
      </w:tr>
      <w:tr>
        <w:tc>
          <w:tcPr>
            <w:tcW w:type="dxa" w:w="2016"/>
            <w:vAlign w:val="center"/>
          </w:tcPr>
          <w:p>
            <w:pPr>
              <w:spacing w:after="80"/>
            </w:pPr>
            <w:r>
              <w:rPr>
                <w:b w:val="0"/>
                <w:sz w:val="20"/>
              </w:rPr>
              <w:t>S025 / P028</w:t>
            </w:r>
          </w:p>
        </w:tc>
        <w:tc>
          <w:tcPr>
            <w:tcW w:type="dxa" w:w="4752"/>
            <w:vAlign w:val="center"/>
          </w:tcPr>
          <w:p>
            <w:pPr>
              <w:spacing w:after="80"/>
            </w:pPr>
            <w:r>
              <w:rPr>
                <w:b w:val="0"/>
                <w:sz w:val="20"/>
              </w:rPr>
              <w:t>Pantheon</w:t>
            </w:r>
          </w:p>
        </w:tc>
        <w:tc>
          <w:tcPr>
            <w:tcW w:type="dxa" w:w="1728"/>
            <w:vAlign w:val="center"/>
          </w:tcPr>
          <w:p>
            <w:pPr>
              <w:spacing w:after="80"/>
            </w:pPr>
            <w:r>
              <w:rPr>
                <w:b w:val="0"/>
                <w:sz w:val="20"/>
              </w:rPr>
              <w:t>Eshaal</w:t>
            </w:r>
          </w:p>
        </w:tc>
        <w:tc>
          <w:tcPr>
            <w:tcW w:type="dxa" w:w="1440"/>
            <w:vAlign w:val="center"/>
          </w:tcPr>
          <w:p>
            <w:pPr>
              <w:spacing w:after="80"/>
            </w:pPr>
            <w:r>
              <w:rPr>
                <w:b w:val="0"/>
                <w:sz w:val="20"/>
              </w:rPr>
              <w:t>3</w:t>
            </w:r>
          </w:p>
        </w:tc>
      </w:tr>
      <w:tr>
        <w:tc>
          <w:tcPr>
            <w:tcW w:type="dxa" w:w="2016"/>
            <w:shd w:fill="F5F7F9"/>
            <w:vAlign w:val="center"/>
          </w:tcPr>
          <w:p>
            <w:pPr>
              <w:spacing w:after="80"/>
            </w:pPr>
            <w:r>
              <w:rPr>
                <w:b w:val="0"/>
                <w:sz w:val="20"/>
              </w:rPr>
              <w:t>S026 / P029</w:t>
            </w:r>
          </w:p>
        </w:tc>
        <w:tc>
          <w:tcPr>
            <w:tcW w:type="dxa" w:w="4752"/>
            <w:shd w:fill="F5F7F9"/>
            <w:vAlign w:val="center"/>
          </w:tcPr>
          <w:p>
            <w:pPr>
              <w:spacing w:after="80"/>
            </w:pPr>
            <w:r>
              <w:rPr>
                <w:b w:val="0"/>
                <w:sz w:val="20"/>
              </w:rPr>
              <w:t>Oneiros</w:t>
            </w:r>
          </w:p>
        </w:tc>
        <w:tc>
          <w:tcPr>
            <w:tcW w:type="dxa" w:w="1728"/>
            <w:shd w:fill="F5F7F9"/>
            <w:vAlign w:val="center"/>
          </w:tcPr>
          <w:p>
            <w:pPr>
              <w:spacing w:after="80"/>
            </w:pPr>
            <w:r>
              <w:rPr>
                <w:b w:val="0"/>
                <w:sz w:val="20"/>
              </w:rPr>
              <w:t>Rameen</w:t>
            </w:r>
          </w:p>
        </w:tc>
        <w:tc>
          <w:tcPr>
            <w:tcW w:type="dxa" w:w="1440"/>
            <w:shd w:fill="F5F7F9"/>
            <w:vAlign w:val="center"/>
          </w:tcPr>
          <w:p>
            <w:pPr>
              <w:spacing w:after="80"/>
            </w:pPr>
            <w:r>
              <w:rPr>
                <w:b w:val="0"/>
                <w:sz w:val="20"/>
              </w:rPr>
              <w:t>3</w:t>
            </w:r>
          </w:p>
        </w:tc>
      </w:tr>
      <w:tr>
        <w:tc>
          <w:tcPr>
            <w:tcW w:type="dxa" w:w="2016"/>
            <w:vAlign w:val="center"/>
          </w:tcPr>
          <w:p>
            <w:pPr>
              <w:spacing w:after="80"/>
            </w:pPr>
            <w:r>
              <w:rPr>
                <w:b w:val="0"/>
                <w:sz w:val="20"/>
              </w:rPr>
              <w:t>S027 / P030</w:t>
            </w:r>
          </w:p>
        </w:tc>
        <w:tc>
          <w:tcPr>
            <w:tcW w:type="dxa" w:w="4752"/>
            <w:vAlign w:val="center"/>
          </w:tcPr>
          <w:p>
            <w:pPr>
              <w:spacing w:after="80"/>
            </w:pPr>
            <w:r>
              <w:rPr>
                <w:b w:val="0"/>
                <w:sz w:val="20"/>
              </w:rPr>
              <w:t>GACER</w:t>
            </w:r>
          </w:p>
        </w:tc>
        <w:tc>
          <w:tcPr>
            <w:tcW w:type="dxa" w:w="1728"/>
            <w:vAlign w:val="center"/>
          </w:tcPr>
          <w:p>
            <w:pPr>
              <w:spacing w:after="80"/>
            </w:pPr>
            <w:r>
              <w:rPr>
                <w:b w:val="0"/>
                <w:sz w:val="20"/>
              </w:rPr>
              <w:t>Eshaal</w:t>
            </w:r>
          </w:p>
        </w:tc>
        <w:tc>
          <w:tcPr>
            <w:tcW w:type="dxa" w:w="1440"/>
            <w:vAlign w:val="center"/>
          </w:tcPr>
          <w:p>
            <w:pPr>
              <w:spacing w:after="80"/>
            </w:pPr>
            <w:r>
              <w:rPr>
                <w:b w:val="0"/>
                <w:sz w:val="20"/>
              </w:rPr>
              <w:t>4</w:t>
            </w:r>
          </w:p>
        </w:tc>
      </w:tr>
      <w:tr>
        <w:tc>
          <w:tcPr>
            <w:tcW w:type="dxa" w:w="2016"/>
            <w:shd w:fill="F5F7F9"/>
            <w:vAlign w:val="center"/>
          </w:tcPr>
          <w:p>
            <w:pPr>
              <w:spacing w:after="80"/>
            </w:pPr>
            <w:r>
              <w:rPr>
                <w:b w:val="0"/>
                <w:sz w:val="20"/>
              </w:rPr>
              <w:t>S028 / P031</w:t>
            </w:r>
          </w:p>
        </w:tc>
        <w:tc>
          <w:tcPr>
            <w:tcW w:type="dxa" w:w="4752"/>
            <w:shd w:fill="F5F7F9"/>
            <w:vAlign w:val="center"/>
          </w:tcPr>
          <w:p>
            <w:pPr>
              <w:spacing w:after="80"/>
            </w:pPr>
            <w:r>
              <w:rPr>
                <w:b w:val="0"/>
                <w:sz w:val="20"/>
              </w:rPr>
              <w:t>ElasticRoom</w:t>
            </w:r>
          </w:p>
        </w:tc>
        <w:tc>
          <w:tcPr>
            <w:tcW w:type="dxa" w:w="1728"/>
            <w:shd w:fill="F5F7F9"/>
            <w:vAlign w:val="center"/>
          </w:tcPr>
          <w:p>
            <w:pPr>
              <w:spacing w:after="80"/>
            </w:pPr>
            <w:r>
              <w:rPr>
                <w:b w:val="0"/>
                <w:sz w:val="20"/>
              </w:rPr>
              <w:t>Rameen</w:t>
            </w:r>
          </w:p>
        </w:tc>
        <w:tc>
          <w:tcPr>
            <w:tcW w:type="dxa" w:w="1440"/>
            <w:shd w:fill="F5F7F9"/>
            <w:vAlign w:val="center"/>
          </w:tcPr>
          <w:p>
            <w:pPr>
              <w:spacing w:after="80"/>
            </w:pPr>
            <w:r>
              <w:rPr>
                <w:b w:val="0"/>
                <w:sz w:val="20"/>
              </w:rPr>
              <w:t>8</w:t>
            </w:r>
          </w:p>
        </w:tc>
      </w:tr>
      <w:tr>
        <w:tc>
          <w:tcPr>
            <w:tcW w:type="dxa" w:w="2016"/>
            <w:vAlign w:val="center"/>
          </w:tcPr>
          <w:p>
            <w:pPr>
              <w:spacing w:after="80"/>
            </w:pPr>
            <w:r>
              <w:rPr>
                <w:b w:val="0"/>
                <w:sz w:val="20"/>
              </w:rPr>
              <w:t>S029 / P032</w:t>
            </w:r>
          </w:p>
        </w:tc>
        <w:tc>
          <w:tcPr>
            <w:tcW w:type="dxa" w:w="4752"/>
            <w:vAlign w:val="center"/>
          </w:tcPr>
          <w:p>
            <w:pPr>
              <w:spacing w:after="80"/>
            </w:pPr>
            <w:r>
              <w:rPr>
                <w:b w:val="0"/>
                <w:sz w:val="20"/>
              </w:rPr>
              <w:t>SPLIT</w:t>
            </w:r>
          </w:p>
        </w:tc>
        <w:tc>
          <w:tcPr>
            <w:tcW w:type="dxa" w:w="1728"/>
            <w:vAlign w:val="center"/>
          </w:tcPr>
          <w:p>
            <w:pPr>
              <w:spacing w:after="80"/>
            </w:pPr>
            <w:r>
              <w:rPr>
                <w:b w:val="0"/>
                <w:sz w:val="20"/>
              </w:rPr>
              <w:t>Eshaal</w:t>
            </w:r>
          </w:p>
        </w:tc>
        <w:tc>
          <w:tcPr>
            <w:tcW w:type="dxa" w:w="1440"/>
            <w:vAlign w:val="center"/>
          </w:tcPr>
          <w:p>
            <w:pPr>
              <w:spacing w:after="80"/>
            </w:pPr>
            <w:r>
              <w:rPr>
                <w:b w:val="0"/>
                <w:sz w:val="20"/>
              </w:rPr>
              <w:t>6</w:t>
            </w:r>
          </w:p>
        </w:tc>
      </w:tr>
      <w:tr>
        <w:tc>
          <w:tcPr>
            <w:tcW w:type="dxa" w:w="2016"/>
            <w:shd w:fill="F5F7F9"/>
            <w:vAlign w:val="center"/>
          </w:tcPr>
          <w:p>
            <w:pPr>
              <w:spacing w:after="80"/>
            </w:pPr>
            <w:r>
              <w:rPr>
                <w:b w:val="0"/>
                <w:sz w:val="20"/>
              </w:rPr>
              <w:t>S030 / P033</w:t>
            </w:r>
          </w:p>
        </w:tc>
        <w:tc>
          <w:tcPr>
            <w:tcW w:type="dxa" w:w="4752"/>
            <w:shd w:fill="F5F7F9"/>
            <w:vAlign w:val="center"/>
          </w:tcPr>
          <w:p>
            <w:pPr>
              <w:spacing w:after="80"/>
            </w:pPr>
            <w:r>
              <w:rPr>
                <w:b w:val="0"/>
                <w:sz w:val="20"/>
              </w:rPr>
              <w:t>KACE</w:t>
            </w:r>
          </w:p>
        </w:tc>
        <w:tc>
          <w:tcPr>
            <w:tcW w:type="dxa" w:w="1728"/>
            <w:shd w:fill="F5F7F9"/>
            <w:vAlign w:val="center"/>
          </w:tcPr>
          <w:p>
            <w:pPr>
              <w:spacing w:after="80"/>
            </w:pPr>
            <w:r>
              <w:rPr>
                <w:b w:val="0"/>
                <w:sz w:val="20"/>
              </w:rPr>
              <w:t>Rameen</w:t>
            </w:r>
          </w:p>
        </w:tc>
        <w:tc>
          <w:tcPr>
            <w:tcW w:type="dxa" w:w="1440"/>
            <w:shd w:fill="F5F7F9"/>
            <w:vAlign w:val="center"/>
          </w:tcPr>
          <w:p>
            <w:pPr>
              <w:spacing w:after="80"/>
            </w:pPr>
            <w:r>
              <w:rPr>
                <w:b w:val="0"/>
                <w:sz w:val="20"/>
              </w:rPr>
              <w:t>6</w:t>
            </w:r>
          </w:p>
        </w:tc>
      </w:tr>
    </w:tbl>
    <w:p>
      <w:r>
        <w:t>Each paper already has a source-based eligibility decision, ten QA items, extraction fields and cited findings in the draft. The ten additions contribute 60 eligibility checks, 100 QA items and 38 outcome rows. The older set contributes the other 200 QA items and 52 outcomes. These are item counts, not paper counts.</w:t>
      </w:r>
    </w:p>
    <w:p>
      <w:r>
        <w:t>The private bundle contains the ten new PDFs only. It does not claim to newly recover every original paper. Use earlier reading copies or the original source register for the older studies. Preserve any actual access/version limitation.</w:t>
      </w:r>
    </w:p>
    <w:p>
      <w:pPr>
        <w:pStyle w:val="Heading1"/>
      </w:pPr>
      <w:r>
        <w:t>What Eshaal and Rameen should do</w:t>
      </w:r>
    </w:p>
    <w:p>
      <w:r>
        <w:t>The suggested split gives each checker five added papers. First confirm the publication identity and eligibility. Next check the main reported finding and its use in the report. Then inspect the QA and other assigned outcome rows. The CSV assigns every item, but you must leave an item unverified if you have not checked it.</w:t>
      </w:r>
    </w:p>
    <w:p>
      <w:r>
        <w:t>Eshaal also checks Results, Comparison and Discussion. Look for percentages with the correct baseline, mean versus tail latency, and adverse results. Rameen also checks Methodology, Study Selection, QA and References. Check the 30/31 distinction, claim-specific N/A denominators and current counts.</w:t>
      </w:r>
    </w:p>
    <w:p>
      <w:r>
        <w:t>Use your previous completed reviews for the original studies. Give priority to source identity, the central numerical claims and recommendations. Cosmetic rewriting can follow. The new queues are suggested independent checks, not a replacement for actual protocol requirements.</w:t>
      </w:r>
    </w:p>
    <w:p>
      <w:r>
        <w:br w:type="page"/>
      </w:r>
    </w:p>
    <w:p>
      <w:pPr>
        <w:pStyle w:val="Heading1"/>
      </w:pPr>
      <w:r>
        <w:t>How to check one paper step by step</w:t>
      </w:r>
    </w:p>
    <w:p>
      <w:pPr>
        <w:pStyle w:val="Heading2"/>
      </w:pPr>
      <w:r>
        <w:t>Publication identity</w:t>
      </w:r>
    </w:p>
    <w:p>
      <w:r>
        <w:t>Compare the PDF first page with Studies and New_Paper_Map.csv. Check title, authors, year, venue and DOI. A preprint and a final paper can differ; record the actual version.</w:t>
      </w:r>
    </w:p>
    <w:p>
      <w:pPr>
        <w:pStyle w:val="Heading2"/>
      </w:pPr>
      <w:r>
        <w:t>Eligibility</w:t>
      </w:r>
    </w:p>
    <w:p>
      <w:r>
        <w:t>Read IC1 to IC6 in the protocol and the recorded criterion anchors. Confirm a relevant sharing mechanism, separable inference evidence and a within-one-GPU result. A download or abstract alone is insufficient.</w:t>
      </w:r>
    </w:p>
    <w:p>
      <w:pPr>
        <w:pStyle w:val="Heading2"/>
      </w:pPr>
      <w:r>
        <w:t>Quality appraisal</w:t>
      </w:r>
    </w:p>
    <w:p>
      <w:r>
        <w:t>Find Q1 to Q10 in the QA sheet. Read the rationale and cited page. Check the score against the scoring rule. N/A must mean that the paper does not make that type of claim; it must not conceal missing evidence for a claim.</w:t>
      </w:r>
    </w:p>
    <w:p>
      <w:pPr>
        <w:pStyle w:val="Heading2"/>
      </w:pPr>
      <w:r>
        <w:t>Data extraction</w:t>
      </w:r>
    </w:p>
    <w:p>
      <w:r>
        <w:t>Compare mechanism, hardware, workload, tenant count, load, baseline and metric definition with the paper. Keep the source conditions attached to the result.</w:t>
      </w:r>
    </w:p>
    <w:p>
      <w:pPr>
        <w:pStyle w:val="Heading2"/>
      </w:pPr>
      <w:r>
        <w:t>Outcome and synthesis</w:t>
      </w:r>
    </w:p>
    <w:p>
      <w:r>
        <w:t>Open Evidence and locate the outcome ID. Verify value, units, comparator and source anchor. Find the corresponding claim in the report, then check that its conclusion respects the source limits.</w:t>
      </w:r>
    </w:p>
    <w:p>
      <w:pPr>
        <w:pStyle w:val="Heading2"/>
      </w:pPr>
      <w:r>
        <w:t>Return a correction</w:t>
      </w:r>
    </w:p>
    <w:p>
      <w:r>
        <w:t>Enter the item ID, source page, actual finding, checker name and date. Use Agree or Correction needed only after reading the relevant evidence. Put proposed changes in the correction inbox and let Raazia update the master once.</w:t>
      </w:r>
    </w:p>
    <w:p>
      <w:r>
        <w:t>Example: KACE reports 92.3% of an offline oracle throughput sum for its unseen GPT2-xl target. This is not a 92.3% latency reduction or a p99 guarantee. A correction must preserve the metric, target workload and oracle denominator.</w:t>
      </w:r>
    </w:p>
    <w:p>
      <w:r>
        <w:t>Example: SPLIT uses block-execution-time dispersion as a jitter measure. Do not rename it end-to-end request-tail jitter. Some splits add execution overhead; keep those adverse costs in the review.</w:t>
      </w:r>
    </w:p>
    <w:p>
      <w:pPr>
        <w:pStyle w:val="Heading1"/>
      </w:pPr>
      <w:r>
        <w:t>How Raazia should merge corrections</w:t>
      </w:r>
    </w:p>
    <w:p>
      <w:r>
        <w:t>Keep one master workbook and one LaTeX project. Check each proposed correction against its source, update the owning data row and any affected report claim, then rebuild the PDF. Update the Word companion after accepted changes. Recheck counts only when an eligibility or identity decision changes. Record the final Git commit and submitted file hashes.</w:t>
      </w:r>
    </w:p>
    <w:p>
      <w:r>
        <w:br w:type="page"/>
      </w:r>
    </w:p>
    <w:p>
      <w:pPr>
        <w:pStyle w:val="Heading1"/>
      </w:pPr>
      <w:r>
        <w:t>Sir mandatory deliverables</w:t>
      </w:r>
    </w:p>
    <w:p>
      <w:r>
        <w:t>Heading 23 lists 25 deliverables. The following table maps every item. Present means that draft content exists; it does not certify that the associated research question or audit is fully closed. Guideline_23_Deliverables.csv contains the full actions and 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520"/>
        <w:gridCol w:w="2520"/>
        <w:gridCol w:w="2520"/>
      </w:tblGrid>
      <w:tr>
        <w:trPr>
          <w:tblHeader/>
        </w:trPr>
        <w:tc>
          <w:tcPr>
            <w:tcW w:type="dxa" w:w="504"/>
            <w:shd w:fill="E8EDF2"/>
            <w:vAlign w:val="center"/>
          </w:tcPr>
          <w:p>
            <w:pPr>
              <w:spacing w:after="80"/>
            </w:pPr>
            <w:r>
              <w:rPr>
                <w:b/>
                <w:sz w:val="20"/>
              </w:rPr>
              <w:t>No</w:t>
            </w:r>
          </w:p>
        </w:tc>
        <w:tc>
          <w:tcPr>
            <w:tcW w:type="dxa" w:w="3024"/>
            <w:shd w:fill="E8EDF2"/>
            <w:vAlign w:val="center"/>
          </w:tcPr>
          <w:p>
            <w:pPr>
              <w:spacing w:after="80"/>
            </w:pPr>
            <w:r>
              <w:rPr>
                <w:b/>
                <w:sz w:val="20"/>
              </w:rPr>
              <w:t>Requirement</w:t>
            </w:r>
          </w:p>
        </w:tc>
        <w:tc>
          <w:tcPr>
            <w:tcW w:type="dxa" w:w="3888"/>
            <w:shd w:fill="E8EDF2"/>
            <w:vAlign w:val="center"/>
          </w:tcPr>
          <w:p>
            <w:pPr>
              <w:spacing w:after="80"/>
            </w:pPr>
            <w:r>
              <w:rPr>
                <w:b/>
                <w:sz w:val="20"/>
              </w:rPr>
              <w:t>Location</w:t>
            </w:r>
          </w:p>
        </w:tc>
        <w:tc>
          <w:tcPr>
            <w:tcW w:type="dxa" w:w="2520"/>
            <w:shd w:fill="E8EDF2"/>
            <w:vAlign w:val="center"/>
          </w:tcPr>
          <w:p>
            <w:pPr>
              <w:spacing w:after="80"/>
            </w:pPr>
            <w:r>
              <w:rPr>
                <w:b/>
                <w:sz w:val="20"/>
              </w:rPr>
              <w:t>Status</w:t>
            </w:r>
          </w:p>
        </w:tc>
      </w:tr>
      <w:tr>
        <w:tc>
          <w:tcPr>
            <w:tcW w:type="dxa" w:w="504"/>
            <w:vAlign w:val="center"/>
          </w:tcPr>
          <w:p>
            <w:pPr>
              <w:spacing w:after="80"/>
            </w:pPr>
            <w:r>
              <w:rPr>
                <w:b w:val="0"/>
                <w:sz w:val="20"/>
              </w:rPr>
              <w:t>1</w:t>
            </w:r>
          </w:p>
        </w:tc>
        <w:tc>
          <w:tcPr>
            <w:tcW w:type="dxa" w:w="3024"/>
            <w:vAlign w:val="center"/>
          </w:tcPr>
          <w:p>
            <w:pPr>
              <w:spacing w:after="80"/>
            </w:pPr>
            <w:r>
              <w:rPr>
                <w:b w:val="0"/>
                <w:sz w:val="20"/>
              </w:rPr>
              <w:t>Final SLR report</w:t>
            </w:r>
          </w:p>
        </w:tc>
        <w:tc>
          <w:tcPr>
            <w:tcW w:type="dxa" w:w="3888"/>
            <w:vAlign w:val="center"/>
          </w:tcPr>
          <w:p>
            <w:pPr>
              <w:spacing w:after="80"/>
            </w:pPr>
            <w:r>
              <w:rPr>
                <w:b w:val="0"/>
                <w:sz w:val="20"/>
              </w:rPr>
              <w:t>01_Report PDF and Word</w:t>
            </w:r>
          </w:p>
        </w:tc>
        <w:tc>
          <w:tcPr>
            <w:tcW w:type="dxa" w:w="2520"/>
            <w:vAlign w:val="center"/>
          </w:tcPr>
          <w:p>
            <w:pPr>
              <w:spacing w:after="80"/>
            </w:pPr>
            <w:r>
              <w:rPr>
                <w:b w:val="0"/>
                <w:sz w:val="20"/>
              </w:rPr>
              <w:t>Draft prepared</w:t>
            </w:r>
          </w:p>
        </w:tc>
      </w:tr>
      <w:tr>
        <w:tc>
          <w:tcPr>
            <w:tcW w:type="dxa" w:w="504"/>
            <w:shd w:fill="F5F7F9"/>
            <w:vAlign w:val="center"/>
          </w:tcPr>
          <w:p>
            <w:pPr>
              <w:spacing w:after="80"/>
            </w:pPr>
            <w:r>
              <w:rPr>
                <w:b w:val="0"/>
                <w:sz w:val="20"/>
              </w:rPr>
              <w:t>2</w:t>
            </w:r>
          </w:p>
        </w:tc>
        <w:tc>
          <w:tcPr>
            <w:tcW w:type="dxa" w:w="3024"/>
            <w:shd w:fill="F5F7F9"/>
            <w:vAlign w:val="center"/>
          </w:tcPr>
          <w:p>
            <w:pPr>
              <w:spacing w:after="80"/>
            </w:pPr>
            <w:r>
              <w:rPr>
                <w:b w:val="0"/>
                <w:sz w:val="20"/>
              </w:rPr>
              <w:t>Defined engineering problem</w:t>
            </w:r>
          </w:p>
        </w:tc>
        <w:tc>
          <w:tcPr>
            <w:tcW w:type="dxa" w:w="3888"/>
            <w:shd w:fill="F5F7F9"/>
            <w:vAlign w:val="center"/>
          </w:tcPr>
          <w:p>
            <w:pPr>
              <w:spacing w:after="80"/>
            </w:pPr>
            <w:r>
              <w:rPr>
                <w:b w:val="0"/>
                <w:sz w:val="20"/>
              </w:rPr>
              <w:t>Report section 1</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3</w:t>
            </w:r>
          </w:p>
        </w:tc>
        <w:tc>
          <w:tcPr>
            <w:tcW w:type="dxa" w:w="3024"/>
            <w:vAlign w:val="center"/>
          </w:tcPr>
          <w:p>
            <w:pPr>
              <w:spacing w:after="80"/>
            </w:pPr>
            <w:r>
              <w:rPr>
                <w:b w:val="0"/>
                <w:sz w:val="20"/>
              </w:rPr>
              <w:t>Research objectives</w:t>
            </w:r>
          </w:p>
        </w:tc>
        <w:tc>
          <w:tcPr>
            <w:tcW w:type="dxa" w:w="3888"/>
            <w:vAlign w:val="center"/>
          </w:tcPr>
          <w:p>
            <w:pPr>
              <w:spacing w:after="80"/>
            </w:pPr>
            <w:r>
              <w:rPr>
                <w:b w:val="0"/>
                <w:sz w:val="20"/>
              </w:rPr>
              <w:t>Report section 1</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4</w:t>
            </w:r>
          </w:p>
        </w:tc>
        <w:tc>
          <w:tcPr>
            <w:tcW w:type="dxa" w:w="3024"/>
            <w:shd w:fill="F5F7F9"/>
            <w:vAlign w:val="center"/>
          </w:tcPr>
          <w:p>
            <w:pPr>
              <w:spacing w:after="80"/>
            </w:pPr>
            <w:r>
              <w:rPr>
                <w:b w:val="0"/>
                <w:sz w:val="20"/>
              </w:rPr>
              <w:t>Three to five RQs</w:t>
            </w:r>
          </w:p>
        </w:tc>
        <w:tc>
          <w:tcPr>
            <w:tcW w:type="dxa" w:w="3888"/>
            <w:shd w:fill="F5F7F9"/>
            <w:vAlign w:val="center"/>
          </w:tcPr>
          <w:p>
            <w:pPr>
              <w:spacing w:after="80"/>
            </w:pPr>
            <w:r>
              <w:rPr>
                <w:b w:val="0"/>
                <w:sz w:val="20"/>
              </w:rPr>
              <w:t>Report section 2</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5</w:t>
            </w:r>
          </w:p>
        </w:tc>
        <w:tc>
          <w:tcPr>
            <w:tcW w:type="dxa" w:w="3024"/>
            <w:vAlign w:val="center"/>
          </w:tcPr>
          <w:p>
            <w:pPr>
              <w:spacing w:after="80"/>
            </w:pPr>
            <w:r>
              <w:rPr>
                <w:b w:val="0"/>
                <w:sz w:val="20"/>
              </w:rPr>
              <w:t>SLR protocol</w:t>
            </w:r>
          </w:p>
        </w:tc>
        <w:tc>
          <w:tcPr>
            <w:tcW w:type="dxa" w:w="3888"/>
            <w:vAlign w:val="center"/>
          </w:tcPr>
          <w:p>
            <w:pPr>
              <w:spacing w:after="80"/>
            </w:pPr>
            <w:r>
              <w:rPr>
                <w:b w:val="0"/>
                <w:sz w:val="20"/>
              </w:rPr>
              <w:t>06_Protocol_and_Guidelines and methodology</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6</w:t>
            </w:r>
          </w:p>
        </w:tc>
        <w:tc>
          <w:tcPr>
            <w:tcW w:type="dxa" w:w="3024"/>
            <w:shd w:fill="F5F7F9"/>
            <w:vAlign w:val="center"/>
          </w:tcPr>
          <w:p>
            <w:pPr>
              <w:spacing w:after="80"/>
            </w:pPr>
            <w:r>
              <w:rPr>
                <w:b w:val="0"/>
                <w:sz w:val="20"/>
              </w:rPr>
              <w:t>Databases and justification</w:t>
            </w:r>
          </w:p>
        </w:tc>
        <w:tc>
          <w:tcPr>
            <w:tcW w:type="dxa" w:w="3888"/>
            <w:shd w:fill="F5F7F9"/>
            <w:vAlign w:val="center"/>
          </w:tcPr>
          <w:p>
            <w:pPr>
              <w:spacing w:after="80"/>
            </w:pPr>
            <w:r>
              <w:rPr>
                <w:b w:val="0"/>
                <w:sz w:val="20"/>
              </w:rPr>
              <w:t>Report section 3 and Search_Log.csv</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7</w:t>
            </w:r>
          </w:p>
        </w:tc>
        <w:tc>
          <w:tcPr>
            <w:tcW w:type="dxa" w:w="3024"/>
            <w:vAlign w:val="center"/>
          </w:tcPr>
          <w:p>
            <w:pPr>
              <w:spacing w:after="80"/>
            </w:pPr>
            <w:r>
              <w:rPr>
                <w:b w:val="0"/>
                <w:sz w:val="20"/>
              </w:rPr>
              <w:t>Exact search strings</w:t>
            </w:r>
          </w:p>
        </w:tc>
        <w:tc>
          <w:tcPr>
            <w:tcW w:type="dxa" w:w="3888"/>
            <w:vAlign w:val="center"/>
          </w:tcPr>
          <w:p>
            <w:pPr>
              <w:spacing w:after="80"/>
            </w:pPr>
            <w:r>
              <w:rPr>
                <w:b w:val="0"/>
                <w:sz w:val="20"/>
              </w:rPr>
              <w:t>Report appendix and search register</w:t>
            </w:r>
          </w:p>
        </w:tc>
        <w:tc>
          <w:tcPr>
            <w:tcW w:type="dxa" w:w="2520"/>
            <w:vAlign w:val="center"/>
          </w:tcPr>
          <w:p>
            <w:pPr>
              <w:spacing w:after="80"/>
            </w:pPr>
            <w:r>
              <w:rPr>
                <w:b w:val="0"/>
                <w:sz w:val="20"/>
              </w:rPr>
              <w:t>Partly closed</w:t>
            </w:r>
          </w:p>
        </w:tc>
      </w:tr>
      <w:tr>
        <w:tc>
          <w:tcPr>
            <w:tcW w:type="dxa" w:w="504"/>
            <w:shd w:fill="F5F7F9"/>
            <w:vAlign w:val="center"/>
          </w:tcPr>
          <w:p>
            <w:pPr>
              <w:spacing w:after="80"/>
            </w:pPr>
            <w:r>
              <w:rPr>
                <w:b w:val="0"/>
                <w:sz w:val="20"/>
              </w:rPr>
              <w:t>8</w:t>
            </w:r>
          </w:p>
        </w:tc>
        <w:tc>
          <w:tcPr>
            <w:tcW w:type="dxa" w:w="3024"/>
            <w:shd w:fill="F5F7F9"/>
            <w:vAlign w:val="center"/>
          </w:tcPr>
          <w:p>
            <w:pPr>
              <w:spacing w:after="80"/>
            </w:pPr>
            <w:r>
              <w:rPr>
                <w:b w:val="0"/>
                <w:sz w:val="20"/>
              </w:rPr>
              <w:t>Inclusion and exclusion criteria</w:t>
            </w:r>
          </w:p>
        </w:tc>
        <w:tc>
          <w:tcPr>
            <w:tcW w:type="dxa" w:w="3888"/>
            <w:shd w:fill="F5F7F9"/>
            <w:vAlign w:val="center"/>
          </w:tcPr>
          <w:p>
            <w:pPr>
              <w:spacing w:after="80"/>
            </w:pPr>
            <w:r>
              <w:rPr>
                <w:b w:val="0"/>
                <w:sz w:val="20"/>
              </w:rPr>
              <w:t>Report section 3 and Eligibility.csv</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9</w:t>
            </w:r>
          </w:p>
        </w:tc>
        <w:tc>
          <w:tcPr>
            <w:tcW w:type="dxa" w:w="3024"/>
            <w:vAlign w:val="center"/>
          </w:tcPr>
          <w:p>
            <w:pPr>
              <w:spacing w:after="80"/>
            </w:pPr>
            <w:r>
              <w:rPr>
                <w:b w:val="0"/>
                <w:sz w:val="20"/>
              </w:rPr>
              <w:t>Database wise search results</w:t>
            </w:r>
          </w:p>
        </w:tc>
        <w:tc>
          <w:tcPr>
            <w:tcW w:type="dxa" w:w="3888"/>
            <w:vAlign w:val="center"/>
          </w:tcPr>
          <w:p>
            <w:pPr>
              <w:spacing w:after="80"/>
            </w:pPr>
            <w:r>
              <w:rPr>
                <w:b w:val="0"/>
                <w:sz w:val="20"/>
              </w:rPr>
              <w:t>Search_Log.csv and report section 4</w:t>
            </w:r>
          </w:p>
        </w:tc>
        <w:tc>
          <w:tcPr>
            <w:tcW w:type="dxa" w:w="2520"/>
            <w:vAlign w:val="center"/>
          </w:tcPr>
          <w:p>
            <w:pPr>
              <w:spacing w:after="80"/>
            </w:pPr>
            <w:r>
              <w:rPr>
                <w:b w:val="0"/>
                <w:sz w:val="20"/>
              </w:rPr>
              <w:t>Partly closed</w:t>
            </w:r>
          </w:p>
        </w:tc>
      </w:tr>
      <w:tr>
        <w:tc>
          <w:tcPr>
            <w:tcW w:type="dxa" w:w="504"/>
            <w:shd w:fill="F5F7F9"/>
            <w:vAlign w:val="center"/>
          </w:tcPr>
          <w:p>
            <w:pPr>
              <w:spacing w:after="80"/>
            </w:pPr>
            <w:r>
              <w:rPr>
                <w:b w:val="0"/>
                <w:sz w:val="20"/>
              </w:rPr>
              <w:t>10</w:t>
            </w:r>
          </w:p>
        </w:tc>
        <w:tc>
          <w:tcPr>
            <w:tcW w:type="dxa" w:w="3024"/>
            <w:shd w:fill="F5F7F9"/>
            <w:vAlign w:val="center"/>
          </w:tcPr>
          <w:p>
            <w:pPr>
              <w:spacing w:after="80"/>
            </w:pPr>
            <w:r>
              <w:rPr>
                <w:b w:val="0"/>
                <w:sz w:val="20"/>
              </w:rPr>
              <w:t>Search and screening log</w:t>
            </w:r>
          </w:p>
        </w:tc>
        <w:tc>
          <w:tcPr>
            <w:tcW w:type="dxa" w:w="3888"/>
            <w:shd w:fill="F5F7F9"/>
            <w:vAlign w:val="center"/>
          </w:tcPr>
          <w:p>
            <w:pPr>
              <w:spacing w:after="80"/>
            </w:pPr>
            <w:r>
              <w:rPr>
                <w:b w:val="0"/>
                <w:sz w:val="20"/>
              </w:rPr>
              <w:t>Screening_Log.csv and Final_Screening_Decisions.csv</w:t>
            </w:r>
          </w:p>
        </w:tc>
        <w:tc>
          <w:tcPr>
            <w:tcW w:type="dxa" w:w="2520"/>
            <w:shd w:fill="F5F7F9"/>
            <w:vAlign w:val="center"/>
          </w:tcPr>
          <w:p>
            <w:pPr>
              <w:spacing w:after="80"/>
            </w:pPr>
            <w:r>
              <w:rPr>
                <w:b w:val="0"/>
                <w:sz w:val="20"/>
              </w:rPr>
              <w:t>Partly closed</w:t>
            </w:r>
          </w:p>
        </w:tc>
      </w:tr>
      <w:tr>
        <w:tc>
          <w:tcPr>
            <w:tcW w:type="dxa" w:w="504"/>
            <w:vAlign w:val="center"/>
          </w:tcPr>
          <w:p>
            <w:pPr>
              <w:spacing w:after="80"/>
            </w:pPr>
            <w:r>
              <w:rPr>
                <w:b w:val="0"/>
                <w:sz w:val="20"/>
              </w:rPr>
              <w:t>11</w:t>
            </w:r>
          </w:p>
        </w:tc>
        <w:tc>
          <w:tcPr>
            <w:tcW w:type="dxa" w:w="3024"/>
            <w:vAlign w:val="center"/>
          </w:tcPr>
          <w:p>
            <w:pPr>
              <w:spacing w:after="80"/>
            </w:pPr>
            <w:r>
              <w:rPr>
                <w:b w:val="0"/>
                <w:sz w:val="20"/>
              </w:rPr>
              <w:t>Duplicate removal record</w:t>
            </w:r>
          </w:p>
        </w:tc>
        <w:tc>
          <w:tcPr>
            <w:tcW w:type="dxa" w:w="3888"/>
            <w:vAlign w:val="center"/>
          </w:tcPr>
          <w:p>
            <w:pPr>
              <w:spacing w:after="80"/>
            </w:pPr>
            <w:r>
              <w:rPr>
                <w:b w:val="0"/>
                <w:sz w:val="20"/>
              </w:rPr>
              <w:t>Duplicate_Removal.csv and identity audit</w:t>
            </w:r>
          </w:p>
        </w:tc>
        <w:tc>
          <w:tcPr>
            <w:tcW w:type="dxa" w:w="2520"/>
            <w:vAlign w:val="center"/>
          </w:tcPr>
          <w:p>
            <w:pPr>
              <w:spacing w:after="80"/>
            </w:pPr>
            <w:r>
              <w:rPr>
                <w:b w:val="0"/>
                <w:sz w:val="20"/>
              </w:rPr>
              <w:t>Documented with limits</w:t>
            </w:r>
          </w:p>
        </w:tc>
      </w:tr>
      <w:tr>
        <w:tc>
          <w:tcPr>
            <w:tcW w:type="dxa" w:w="504"/>
            <w:shd w:fill="F5F7F9"/>
            <w:vAlign w:val="center"/>
          </w:tcPr>
          <w:p>
            <w:pPr>
              <w:spacing w:after="80"/>
            </w:pPr>
            <w:r>
              <w:rPr>
                <w:b w:val="0"/>
                <w:sz w:val="20"/>
              </w:rPr>
              <w:t>12</w:t>
            </w:r>
          </w:p>
        </w:tc>
        <w:tc>
          <w:tcPr>
            <w:tcW w:type="dxa" w:w="3024"/>
            <w:shd w:fill="F5F7F9"/>
            <w:vAlign w:val="center"/>
          </w:tcPr>
          <w:p>
            <w:pPr>
              <w:spacing w:after="80"/>
            </w:pPr>
            <w:r>
              <w:rPr>
                <w:b w:val="0"/>
                <w:sz w:val="20"/>
              </w:rPr>
              <w:t>PRISMA flow diagram</w:t>
            </w:r>
          </w:p>
        </w:tc>
        <w:tc>
          <w:tcPr>
            <w:tcW w:type="dxa" w:w="3888"/>
            <w:shd w:fill="F5F7F9"/>
            <w:vAlign w:val="center"/>
          </w:tcPr>
          <w:p>
            <w:pPr>
              <w:spacing w:after="80"/>
            </w:pPr>
            <w:r>
              <w:rPr>
                <w:b w:val="0"/>
                <w:sz w:val="20"/>
              </w:rPr>
              <w:t>Report section 4 and counts.tex</w:t>
            </w:r>
          </w:p>
        </w:tc>
        <w:tc>
          <w:tcPr>
            <w:tcW w:type="dxa" w:w="2520"/>
            <w:shd w:fill="F5F7F9"/>
            <w:vAlign w:val="center"/>
          </w:tcPr>
          <w:p>
            <w:pPr>
              <w:spacing w:after="80"/>
            </w:pPr>
            <w:r>
              <w:rPr>
                <w:b w:val="0"/>
                <w:sz w:val="20"/>
              </w:rPr>
              <w:t>Partly closed</w:t>
            </w:r>
          </w:p>
        </w:tc>
      </w:tr>
      <w:tr>
        <w:tc>
          <w:tcPr>
            <w:tcW w:type="dxa" w:w="504"/>
            <w:vAlign w:val="center"/>
          </w:tcPr>
          <w:p>
            <w:pPr>
              <w:spacing w:after="80"/>
            </w:pPr>
            <w:r>
              <w:rPr>
                <w:b w:val="0"/>
                <w:sz w:val="20"/>
              </w:rPr>
              <w:t>13</w:t>
            </w:r>
          </w:p>
        </w:tc>
        <w:tc>
          <w:tcPr>
            <w:tcW w:type="dxa" w:w="3024"/>
            <w:vAlign w:val="center"/>
          </w:tcPr>
          <w:p>
            <w:pPr>
              <w:spacing w:after="80"/>
            </w:pPr>
            <w:r>
              <w:rPr>
                <w:b w:val="0"/>
                <w:sz w:val="20"/>
              </w:rPr>
              <w:t>QA checklist and scores</w:t>
            </w:r>
          </w:p>
        </w:tc>
        <w:tc>
          <w:tcPr>
            <w:tcW w:type="dxa" w:w="3888"/>
            <w:vAlign w:val="center"/>
          </w:tcPr>
          <w:p>
            <w:pPr>
              <w:spacing w:after="80"/>
            </w:pPr>
            <w:r>
              <w:rPr>
                <w:b w:val="0"/>
                <w:sz w:val="20"/>
              </w:rPr>
              <w:t>Master QA and Final_Candidate_QA.csv</w:t>
            </w:r>
          </w:p>
        </w:tc>
        <w:tc>
          <w:tcPr>
            <w:tcW w:type="dxa" w:w="2520"/>
            <w:vAlign w:val="center"/>
          </w:tcPr>
          <w:p>
            <w:pPr>
              <w:spacing w:after="80"/>
            </w:pPr>
            <w:r>
              <w:rPr>
                <w:b w:val="0"/>
                <w:sz w:val="20"/>
              </w:rPr>
              <w:t>Source appraisals present</w:t>
            </w:r>
          </w:p>
        </w:tc>
      </w:tr>
      <w:tr>
        <w:tc>
          <w:tcPr>
            <w:tcW w:type="dxa" w:w="504"/>
            <w:shd w:fill="F5F7F9"/>
            <w:vAlign w:val="center"/>
          </w:tcPr>
          <w:p>
            <w:pPr>
              <w:spacing w:after="80"/>
            </w:pPr>
            <w:r>
              <w:rPr>
                <w:b w:val="0"/>
                <w:sz w:val="20"/>
              </w:rPr>
              <w:t>14</w:t>
            </w:r>
          </w:p>
        </w:tc>
        <w:tc>
          <w:tcPr>
            <w:tcW w:type="dxa" w:w="3024"/>
            <w:shd w:fill="F5F7F9"/>
            <w:vAlign w:val="center"/>
          </w:tcPr>
          <w:p>
            <w:pPr>
              <w:spacing w:after="80"/>
            </w:pPr>
            <w:r>
              <w:rPr>
                <w:b w:val="0"/>
                <w:sz w:val="20"/>
              </w:rPr>
              <w:t>Included primary studies</w:t>
            </w:r>
          </w:p>
        </w:tc>
        <w:tc>
          <w:tcPr>
            <w:tcW w:type="dxa" w:w="3888"/>
            <w:shd w:fill="F5F7F9"/>
            <w:vAlign w:val="center"/>
          </w:tcPr>
          <w:p>
            <w:pPr>
              <w:spacing w:after="80"/>
            </w:pPr>
            <w:r>
              <w:rPr>
                <w:b w:val="0"/>
                <w:sz w:val="20"/>
              </w:rPr>
              <w:t>Master Studies and Source_Register.csv</w:t>
            </w:r>
          </w:p>
        </w:tc>
        <w:tc>
          <w:tcPr>
            <w:tcW w:type="dxa" w:w="2520"/>
            <w:shd w:fill="F5F7F9"/>
            <w:vAlign w:val="center"/>
          </w:tcPr>
          <w:p>
            <w:pPr>
              <w:spacing w:after="80"/>
            </w:pPr>
            <w:r>
              <w:rPr>
                <w:b w:val="0"/>
                <w:sz w:val="20"/>
              </w:rPr>
              <w:t>Assessed set present</w:t>
            </w:r>
          </w:p>
        </w:tc>
      </w:tr>
      <w:tr>
        <w:tc>
          <w:tcPr>
            <w:tcW w:type="dxa" w:w="504"/>
            <w:vAlign w:val="center"/>
          </w:tcPr>
          <w:p>
            <w:pPr>
              <w:spacing w:after="80"/>
            </w:pPr>
            <w:r>
              <w:rPr>
                <w:b w:val="0"/>
                <w:sz w:val="20"/>
              </w:rPr>
              <w:t>15</w:t>
            </w:r>
          </w:p>
        </w:tc>
        <w:tc>
          <w:tcPr>
            <w:tcW w:type="dxa" w:w="3024"/>
            <w:vAlign w:val="center"/>
          </w:tcPr>
          <w:p>
            <w:pPr>
              <w:spacing w:after="80"/>
            </w:pPr>
            <w:r>
              <w:rPr>
                <w:b w:val="0"/>
                <w:sz w:val="20"/>
              </w:rPr>
              <w:t>Extraction sheet</w:t>
            </w:r>
          </w:p>
        </w:tc>
        <w:tc>
          <w:tcPr>
            <w:tcW w:type="dxa" w:w="3888"/>
            <w:vAlign w:val="center"/>
          </w:tcPr>
          <w:p>
            <w:pPr>
              <w:spacing w:after="80"/>
            </w:pPr>
            <w:r>
              <w:rPr>
                <w:b w:val="0"/>
                <w:sz w:val="20"/>
              </w:rPr>
              <w:t>Master Extraction and Evidence</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16</w:t>
            </w:r>
          </w:p>
        </w:tc>
        <w:tc>
          <w:tcPr>
            <w:tcW w:type="dxa" w:w="3024"/>
            <w:shd w:fill="F5F7F9"/>
            <w:vAlign w:val="center"/>
          </w:tcPr>
          <w:p>
            <w:pPr>
              <w:spacing w:after="80"/>
            </w:pPr>
            <w:r>
              <w:rPr>
                <w:b w:val="0"/>
                <w:sz w:val="20"/>
              </w:rPr>
              <w:t>Taxonomy</w:t>
            </w:r>
          </w:p>
        </w:tc>
        <w:tc>
          <w:tcPr>
            <w:tcW w:type="dxa" w:w="3888"/>
            <w:shd w:fill="F5F7F9"/>
            <w:vAlign w:val="center"/>
          </w:tcPr>
          <w:p>
            <w:pPr>
              <w:spacing w:after="80"/>
            </w:pPr>
            <w:r>
              <w:rPr>
                <w:b w:val="0"/>
                <w:sz w:val="20"/>
              </w:rPr>
              <w:t>Report section 5 and Taxonomy.csv</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17</w:t>
            </w:r>
          </w:p>
        </w:tc>
        <w:tc>
          <w:tcPr>
            <w:tcW w:type="dxa" w:w="3024"/>
            <w:vAlign w:val="center"/>
          </w:tcPr>
          <w:p>
            <w:pPr>
              <w:spacing w:after="80"/>
            </w:pPr>
            <w:r>
              <w:rPr>
                <w:b w:val="0"/>
                <w:sz w:val="20"/>
              </w:rPr>
              <w:t>Comparative evidence matrix</w:t>
            </w:r>
          </w:p>
        </w:tc>
        <w:tc>
          <w:tcPr>
            <w:tcW w:type="dxa" w:w="3888"/>
            <w:vAlign w:val="center"/>
          </w:tcPr>
          <w:p>
            <w:pPr>
              <w:spacing w:after="80"/>
            </w:pPr>
            <w:r>
              <w:rPr>
                <w:b w:val="0"/>
                <w:sz w:val="20"/>
              </w:rPr>
              <w:t>Report section 7 and Comparability.csv</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18</w:t>
            </w:r>
          </w:p>
        </w:tc>
        <w:tc>
          <w:tcPr>
            <w:tcW w:type="dxa" w:w="3024"/>
            <w:shd w:fill="F5F7F9"/>
            <w:vAlign w:val="center"/>
          </w:tcPr>
          <w:p>
            <w:pPr>
              <w:spacing w:after="80"/>
            </w:pPr>
            <w:r>
              <w:rPr>
                <w:b w:val="0"/>
                <w:sz w:val="20"/>
              </w:rPr>
              <w:t>Engineering trade offs</w:t>
            </w:r>
          </w:p>
        </w:tc>
        <w:tc>
          <w:tcPr>
            <w:tcW w:type="dxa" w:w="3888"/>
            <w:shd w:fill="F5F7F9"/>
            <w:vAlign w:val="center"/>
          </w:tcPr>
          <w:p>
            <w:pPr>
              <w:spacing w:after="80"/>
            </w:pPr>
            <w:r>
              <w:rPr>
                <w:b w:val="0"/>
                <w:sz w:val="20"/>
              </w:rPr>
              <w:t>Report section 8</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19</w:t>
            </w:r>
          </w:p>
        </w:tc>
        <w:tc>
          <w:tcPr>
            <w:tcW w:type="dxa" w:w="3024"/>
            <w:vAlign w:val="center"/>
          </w:tcPr>
          <w:p>
            <w:pPr>
              <w:spacing w:after="80"/>
            </w:pPr>
            <w:r>
              <w:rPr>
                <w:b w:val="0"/>
                <w:sz w:val="20"/>
              </w:rPr>
              <w:t>Conflicting evidence</w:t>
            </w:r>
          </w:p>
        </w:tc>
        <w:tc>
          <w:tcPr>
            <w:tcW w:type="dxa" w:w="3888"/>
            <w:vAlign w:val="center"/>
          </w:tcPr>
          <w:p>
            <w:pPr>
              <w:spacing w:after="80"/>
            </w:pPr>
            <w:r>
              <w:rPr>
                <w:b w:val="0"/>
                <w:sz w:val="20"/>
              </w:rPr>
              <w:t>Report section 9 and comparison tables</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20</w:t>
            </w:r>
          </w:p>
        </w:tc>
        <w:tc>
          <w:tcPr>
            <w:tcW w:type="dxa" w:w="3024"/>
            <w:shd w:fill="F5F7F9"/>
            <w:vAlign w:val="center"/>
          </w:tcPr>
          <w:p>
            <w:pPr>
              <w:spacing w:after="80"/>
            </w:pPr>
            <w:r>
              <w:rPr>
                <w:b w:val="0"/>
                <w:sz w:val="20"/>
              </w:rPr>
              <w:t>Answers to all RQs</w:t>
            </w:r>
          </w:p>
        </w:tc>
        <w:tc>
          <w:tcPr>
            <w:tcW w:type="dxa" w:w="3888"/>
            <w:shd w:fill="F5F7F9"/>
            <w:vAlign w:val="center"/>
          </w:tcPr>
          <w:p>
            <w:pPr>
              <w:spacing w:after="80"/>
            </w:pPr>
            <w:r>
              <w:rPr>
                <w:b w:val="0"/>
                <w:sz w:val="20"/>
              </w:rPr>
              <w:t>Report section 6</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21</w:t>
            </w:r>
          </w:p>
        </w:tc>
        <w:tc>
          <w:tcPr>
            <w:tcW w:type="dxa" w:w="3024"/>
            <w:vAlign w:val="center"/>
          </w:tcPr>
          <w:p>
            <w:pPr>
              <w:spacing w:after="80"/>
            </w:pPr>
            <w:r>
              <w:rPr>
                <w:b w:val="0"/>
                <w:sz w:val="20"/>
              </w:rPr>
              <w:t>Engineering recommendation</w:t>
            </w:r>
          </w:p>
        </w:tc>
        <w:tc>
          <w:tcPr>
            <w:tcW w:type="dxa" w:w="3888"/>
            <w:vAlign w:val="center"/>
          </w:tcPr>
          <w:p>
            <w:pPr>
              <w:spacing w:after="80"/>
            </w:pPr>
            <w:r>
              <w:rPr>
                <w:b w:val="0"/>
                <w:sz w:val="20"/>
              </w:rPr>
              <w:t>Report section 10 and Recommendations.csv</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22</w:t>
            </w:r>
          </w:p>
        </w:tc>
        <w:tc>
          <w:tcPr>
            <w:tcW w:type="dxa" w:w="3024"/>
            <w:shd w:fill="F5F7F9"/>
            <w:vAlign w:val="center"/>
          </w:tcPr>
          <w:p>
            <w:pPr>
              <w:spacing w:after="80"/>
            </w:pPr>
            <w:r>
              <w:rPr>
                <w:b w:val="0"/>
                <w:sz w:val="20"/>
              </w:rPr>
              <w:t>Research gaps</w:t>
            </w:r>
          </w:p>
        </w:tc>
        <w:tc>
          <w:tcPr>
            <w:tcW w:type="dxa" w:w="3888"/>
            <w:shd w:fill="F5F7F9"/>
            <w:vAlign w:val="center"/>
          </w:tcPr>
          <w:p>
            <w:pPr>
              <w:spacing w:after="80"/>
            </w:pPr>
            <w:r>
              <w:rPr>
                <w:b w:val="0"/>
                <w:sz w:val="20"/>
              </w:rPr>
              <w:t>Report section 11 and Research_Gaps.csv</w:t>
            </w:r>
          </w:p>
        </w:tc>
        <w:tc>
          <w:tcPr>
            <w:tcW w:type="dxa" w:w="2520"/>
            <w:shd w:fill="F5F7F9"/>
            <w:vAlign w:val="center"/>
          </w:tcPr>
          <w:p>
            <w:pPr>
              <w:spacing w:after="80"/>
            </w:pPr>
            <w:r>
              <w:rPr>
                <w:b w:val="0"/>
                <w:sz w:val="20"/>
              </w:rPr>
              <w:t>Present</w:t>
            </w:r>
          </w:p>
        </w:tc>
      </w:tr>
      <w:tr>
        <w:tc>
          <w:tcPr>
            <w:tcW w:type="dxa" w:w="504"/>
            <w:vAlign w:val="center"/>
          </w:tcPr>
          <w:p>
            <w:pPr>
              <w:spacing w:after="80"/>
            </w:pPr>
            <w:r>
              <w:rPr>
                <w:b w:val="0"/>
                <w:sz w:val="20"/>
              </w:rPr>
              <w:t>23</w:t>
            </w:r>
          </w:p>
        </w:tc>
        <w:tc>
          <w:tcPr>
            <w:tcW w:type="dxa" w:w="3024"/>
            <w:vAlign w:val="center"/>
          </w:tcPr>
          <w:p>
            <w:pPr>
              <w:spacing w:after="80"/>
            </w:pPr>
            <w:r>
              <w:rPr>
                <w:b w:val="0"/>
                <w:sz w:val="20"/>
              </w:rPr>
              <w:t>Threats to validity</w:t>
            </w:r>
          </w:p>
        </w:tc>
        <w:tc>
          <w:tcPr>
            <w:tcW w:type="dxa" w:w="3888"/>
            <w:vAlign w:val="center"/>
          </w:tcPr>
          <w:p>
            <w:pPr>
              <w:spacing w:after="80"/>
            </w:pPr>
            <w:r>
              <w:rPr>
                <w:b w:val="0"/>
                <w:sz w:val="20"/>
              </w:rPr>
              <w:t>Report section 12 and Validity.csv</w:t>
            </w:r>
          </w:p>
        </w:tc>
        <w:tc>
          <w:tcPr>
            <w:tcW w:type="dxa" w:w="2520"/>
            <w:vAlign w:val="center"/>
          </w:tcPr>
          <w:p>
            <w:pPr>
              <w:spacing w:after="80"/>
            </w:pPr>
            <w:r>
              <w:rPr>
                <w:b w:val="0"/>
                <w:sz w:val="20"/>
              </w:rPr>
              <w:t>Present</w:t>
            </w:r>
          </w:p>
        </w:tc>
      </w:tr>
      <w:tr>
        <w:tc>
          <w:tcPr>
            <w:tcW w:type="dxa" w:w="504"/>
            <w:shd w:fill="F5F7F9"/>
            <w:vAlign w:val="center"/>
          </w:tcPr>
          <w:p>
            <w:pPr>
              <w:spacing w:after="80"/>
            </w:pPr>
            <w:r>
              <w:rPr>
                <w:b w:val="0"/>
                <w:sz w:val="20"/>
              </w:rPr>
              <w:t>24</w:t>
            </w:r>
          </w:p>
        </w:tc>
        <w:tc>
          <w:tcPr>
            <w:tcW w:type="dxa" w:w="3024"/>
            <w:shd w:fill="F5F7F9"/>
            <w:vAlign w:val="center"/>
          </w:tcPr>
          <w:p>
            <w:pPr>
              <w:spacing w:after="80"/>
            </w:pPr>
            <w:r>
              <w:rPr>
                <w:b w:val="0"/>
                <w:sz w:val="20"/>
              </w:rPr>
              <w:t>Complete references</w:t>
            </w:r>
          </w:p>
        </w:tc>
        <w:tc>
          <w:tcPr>
            <w:tcW w:type="dxa" w:w="3888"/>
            <w:shd w:fill="F5F7F9"/>
            <w:vAlign w:val="center"/>
          </w:tcPr>
          <w:p>
            <w:pPr>
              <w:spacing w:after="80"/>
            </w:pPr>
            <w:r>
              <w:rPr>
                <w:b w:val="0"/>
                <w:sz w:val="20"/>
              </w:rPr>
              <w:t>Report references and references.bib</w:t>
            </w:r>
          </w:p>
        </w:tc>
        <w:tc>
          <w:tcPr>
            <w:tcW w:type="dxa" w:w="2520"/>
            <w:shd w:fill="F5F7F9"/>
            <w:vAlign w:val="center"/>
          </w:tcPr>
          <w:p>
            <w:pPr>
              <w:spacing w:after="80"/>
            </w:pPr>
            <w:r>
              <w:rPr>
                <w:b w:val="0"/>
                <w:sz w:val="20"/>
              </w:rPr>
              <w:t>Present with version limits</w:t>
            </w:r>
          </w:p>
        </w:tc>
      </w:tr>
      <w:tr>
        <w:tc>
          <w:tcPr>
            <w:tcW w:type="dxa" w:w="504"/>
            <w:vAlign w:val="center"/>
          </w:tcPr>
          <w:p>
            <w:pPr>
              <w:spacing w:after="80"/>
            </w:pPr>
            <w:r>
              <w:rPr>
                <w:b w:val="0"/>
                <w:sz w:val="20"/>
              </w:rPr>
              <w:t>25</w:t>
            </w:r>
          </w:p>
        </w:tc>
        <w:tc>
          <w:tcPr>
            <w:tcW w:type="dxa" w:w="3024"/>
            <w:vAlign w:val="center"/>
          </w:tcPr>
          <w:p>
            <w:pPr>
              <w:spacing w:after="80"/>
            </w:pPr>
            <w:r>
              <w:rPr>
                <w:b w:val="0"/>
                <w:sz w:val="20"/>
              </w:rPr>
              <w:t>Supporting verification files</w:t>
            </w:r>
          </w:p>
        </w:tc>
        <w:tc>
          <w:tcPr>
            <w:tcW w:type="dxa" w:w="3888"/>
            <w:vAlign w:val="center"/>
          </w:tcPr>
          <w:p>
            <w:pPr>
              <w:spacing w:after="80"/>
            </w:pPr>
            <w:r>
              <w:rPr>
                <w:b w:val="0"/>
                <w:sz w:val="20"/>
              </w:rPr>
              <w:t>03_Data_and_Logs and repository history</w:t>
            </w:r>
          </w:p>
        </w:tc>
        <w:tc>
          <w:tcPr>
            <w:tcW w:type="dxa" w:w="2520"/>
            <w:vAlign w:val="center"/>
          </w:tcPr>
          <w:p>
            <w:pPr>
              <w:spacing w:after="80"/>
            </w:pPr>
            <w:r>
              <w:rPr>
                <w:b w:val="0"/>
                <w:sz w:val="20"/>
              </w:rPr>
              <w:t>Present with limits</w:t>
            </w:r>
          </w:p>
        </w:tc>
      </w:tr>
    </w:tbl>
    <w:p>
      <w:pPr>
        <w:pStyle w:val="Heading1"/>
      </w:pPr>
      <w:r>
        <w:t>How headings 24 to 27 apply</w:t>
      </w:r>
    </w:p>
    <w:p>
      <w:r>
        <w:t>Heading 24 is the report structure. The current report has all thirteen main sections: Introduction; Research Questions; Methodology; Study Selection; Taxonomy; Results by RQ; Comparison; Trade-offs; Discussion; Recommendation; Research Gaps; Validity; Conclusion. References and evidence appendices follow. The appendix paper cards support the synthesis; they do not replace analysis across papers.</w:t>
      </w:r>
    </w:p>
    <w:p>
      <w:r>
        <w:t>Heading 25 asks for critical analysis. For each recommendation, explain which mechanism fits which workload, what evidence supports it and what cost must be accepted. Do not rank unrelated percentages as though the papers used one experiment. Mean latency, p99, batch completion, block dispersion and throughput sum remain distinct.</w:t>
      </w:r>
    </w:p>
    <w:p>
      <w:r>
        <w:t>Heading 26 asks for traceability and reproducibility. Every included study needs an identifiable source, every decision needs evidence, and every PRISMA count needs a real log. The current source/QA/extraction records are present. The 320 deferred records and historical search gaps mean that full compliance is still incomplete. They must remain visible.</w:t>
      </w:r>
    </w:p>
    <w:p>
      <w:r>
        <w:t>Heading 27 is the final engineering answer. Read the recommendation section and ask: what should an engineer select, under which conditions, why, with which benefit and sacrifice, and when is an alternative preferable? Every answer must point back to the reviewed evidence.</w:t>
      </w:r>
    </w:p>
    <w:p>
      <w:pPr>
        <w:pStyle w:val="Heading1"/>
      </w:pPr>
      <w:r>
        <w:t>Work before Sunday submission</w:t>
      </w:r>
    </w:p>
    <w:p>
      <w:r>
        <w:t>1. Start with this current package and transfer any older corrections by paper ID.</w:t>
      </w:r>
    </w:p>
    <w:p>
      <w:r>
        <w:t>2. Eshaal and Rameen check their assigned sources and the report sections above. Return concrete corrections, not a blanket approval.</w:t>
      </w:r>
    </w:p>
    <w:p>
      <w:r>
        <w:t>3. Raazia reconciles corrections, regenerates affected outputs and checks the final report against the guideline matrix.</w:t>
      </w:r>
    </w:p>
    <w:p>
      <w:r>
        <w:t>4. Keep the 320-record queue separate. If further records are actually assessed, apply the criteria and rebuild the corpus-dependent outputs. Do not mark that queue complete merely because the draft minimum is met.</w:t>
      </w:r>
    </w:p>
    <w:p>
      <w:r>
        <w:t>5. Confirm cover details, submission instructions, required individual submissions and file opening. Record the exact final version before sending it to Sir.</w:t>
      </w:r>
    </w:p>
    <w:p>
      <w:r>
        <w:t>The current draft can be reviewed as a bounded first draft. Approval cannot be guaranteed, particularly while systematic selection and historical search reconstruction remain incomplete. The most useful work now is genuine source checking and correction of substantive claims, followed by a single consistent submission version.</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52" w:lineRule="auto"/>
    </w:pPr>
    <w:rPr>
      <w:rFonts w:ascii="Arial" w:hAnsi="Arial"/>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52" w:lineRule="auto"/>
    </w:pPr>
    <w:rPr>
      <w:rFonts w:ascii="Arial" w:hAnsi="Arial"/>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2"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2"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52"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line="252" w:lineRule="auto"/>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120" w:line="252" w:lineRule="auto"/>
      <w:outlineLvl w:val="4"/>
    </w:pPr>
    <w:rPr>
      <w:rFonts w:asciiTheme="majorHAnsi" w:eastAsiaTheme="majorEastAsia" w:hAnsiTheme="majorHAnsi" w:cstheme="majorBidi" w:ascii="Arial" w:hAnsi="Arial"/>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120" w:line="252" w:lineRule="auto"/>
      <w:outlineLvl w:val="5"/>
    </w:pPr>
    <w:rPr>
      <w:rFonts w:asciiTheme="majorHAnsi" w:eastAsiaTheme="majorEastAsia" w:hAnsiTheme="majorHAnsi" w:cstheme="majorBidi" w:ascii="Arial" w:hAnsi="Arial"/>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120" w:line="252" w:lineRule="auto"/>
      <w:outlineLvl w:val="6"/>
    </w:pPr>
    <w:rPr>
      <w:rFonts w:asciiTheme="majorHAnsi" w:eastAsiaTheme="majorEastAsia" w:hAnsiTheme="majorHAnsi" w:cstheme="majorBidi" w:ascii="Arial" w:hAnsi="Arial"/>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120" w:line="252" w:lineRule="auto"/>
      <w:outlineLvl w:val="7"/>
    </w:pPr>
    <w:rPr>
      <w:rFonts w:asciiTheme="majorHAnsi" w:eastAsiaTheme="majorEastAsia" w:hAnsiTheme="majorHAnsi" w:cstheme="majorBidi" w:ascii="Arial" w:hAnsi="Arial"/>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120" w:line="252" w:lineRule="auto"/>
      <w:outlineLvl w:val="8"/>
    </w:pPr>
    <w:rPr>
      <w:rFonts w:asciiTheme="majorHAnsi" w:eastAsiaTheme="majorEastAsia" w:hAnsiTheme="majorHAnsi" w:cstheme="majorBidi" w:ascii="Arial" w:hAnsi="Arial"/>
      <w:i/>
      <w:iCs/>
      <w:color w:val="000000"/>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20" w:line="252" w:lineRule="auto"/>
    </w:pPr>
    <w:rPr>
      <w:rFonts w:ascii="Arial" w:hAnsi="Arial"/>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52"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2"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52" w:lineRule="auto"/>
      <w:ind w:left="720"/>
      <w:contextualSpacing/>
    </w:pPr>
    <w:rPr>
      <w:rFonts w:ascii="Arial" w:hAnsi="Arial"/>
      <w:color w:val="000000"/>
      <w:sz w:val="22"/>
    </w:rPr>
  </w:style>
  <w:style w:type="paragraph" w:styleId="BodyText">
    <w:name w:val="Body Text"/>
    <w:basedOn w:val="Normal"/>
    <w:link w:val="BodyTextChar"/>
    <w:uiPriority w:val="99"/>
    <w:unhideWhenUsed/>
    <w:rsid w:val="00AA1D8D"/>
    <w:pPr>
      <w:spacing w:after="120" w:line="252" w:lineRule="auto"/>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252" w:lineRule="auto"/>
    </w:pPr>
    <w:rPr>
      <w:rFonts w:ascii="Arial" w:hAnsi="Arial"/>
      <w:color w:val="000000"/>
      <w:sz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52" w:lineRule="auto"/>
    </w:pPr>
    <w:rPr>
      <w:rFonts w:ascii="Arial" w:hAnsi="Arial"/>
      <w:color w:val="000000"/>
      <w:sz w:val="22"/>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20" w:line="252" w:lineRule="auto"/>
      <w:ind w:left="360" w:hanging="360"/>
      <w:contextualSpacing/>
    </w:pPr>
    <w:rPr>
      <w:rFonts w:ascii="Arial" w:hAnsi="Arial"/>
      <w:color w:val="000000"/>
      <w:sz w:val="22"/>
    </w:rPr>
  </w:style>
  <w:style w:type="paragraph" w:styleId="List2">
    <w:name w:val="List 2"/>
    <w:basedOn w:val="Normal"/>
    <w:uiPriority w:val="99"/>
    <w:unhideWhenUsed/>
    <w:rsid w:val="00326F90"/>
    <w:pPr>
      <w:spacing w:after="120" w:line="252" w:lineRule="auto"/>
      <w:ind w:left="720" w:hanging="360"/>
      <w:contextualSpacing/>
    </w:pPr>
    <w:rPr>
      <w:rFonts w:ascii="Arial" w:hAnsi="Arial"/>
      <w:color w:val="000000"/>
      <w:sz w:val="22"/>
    </w:rPr>
  </w:style>
  <w:style w:type="paragraph" w:styleId="List3">
    <w:name w:val="List 3"/>
    <w:basedOn w:val="Normal"/>
    <w:uiPriority w:val="99"/>
    <w:unhideWhenUsed/>
    <w:rsid w:val="00326F90"/>
    <w:pPr>
      <w:spacing w:after="120" w:line="252" w:lineRule="auto"/>
      <w:ind w:left="1080" w:hanging="360"/>
      <w:contextualSpacing/>
    </w:pPr>
    <w:rPr>
      <w:rFonts w:ascii="Arial" w:hAnsi="Arial"/>
      <w:color w:val="000000"/>
      <w:sz w:val="22"/>
    </w:rPr>
  </w:style>
  <w:style w:type="paragraph" w:styleId="ListBullet">
    <w:name w:val="List Bullet"/>
    <w:basedOn w:val="Normal"/>
    <w:uiPriority w:val="99"/>
    <w:unhideWhenUsed/>
    <w:rsid w:val="00326F90"/>
    <w:pPr>
      <w:numPr>
        <w:numId w:val="1"/>
      </w:numPr>
      <w:spacing w:after="120" w:line="252"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spacing w:after="120" w:line="252" w:lineRule="auto"/>
      <w:contextualSpacing/>
    </w:pPr>
    <w:rPr>
      <w:rFonts w:ascii="Arial" w:hAnsi="Arial"/>
      <w:color w:val="000000"/>
      <w:sz w:val="22"/>
    </w:rPr>
  </w:style>
  <w:style w:type="paragraph" w:styleId="ListBullet3">
    <w:name w:val="List Bullet 3"/>
    <w:basedOn w:val="Normal"/>
    <w:uiPriority w:val="99"/>
    <w:unhideWhenUsed/>
    <w:rsid w:val="00326F90"/>
    <w:pPr>
      <w:numPr>
        <w:numId w:val="3"/>
      </w:numPr>
      <w:spacing w:after="120" w:line="252" w:lineRule="auto"/>
      <w:contextualSpacing/>
    </w:pPr>
    <w:rPr>
      <w:rFonts w:ascii="Arial" w:hAnsi="Arial"/>
      <w:color w:val="000000"/>
      <w:sz w:val="22"/>
    </w:rPr>
  </w:style>
  <w:style w:type="paragraph" w:styleId="ListNumber">
    <w:name w:val="List Number"/>
    <w:basedOn w:val="Normal"/>
    <w:uiPriority w:val="99"/>
    <w:unhideWhenUsed/>
    <w:rsid w:val="00326F90"/>
    <w:pPr>
      <w:numPr>
        <w:numId w:val="5"/>
      </w:numPr>
      <w:spacing w:after="120" w:line="252"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spacing w:after="120" w:line="252" w:lineRule="auto"/>
      <w:contextualSpacing/>
    </w:pPr>
    <w:rPr>
      <w:rFonts w:ascii="Arial" w:hAnsi="Arial"/>
      <w:color w:val="000000"/>
      <w:sz w:val="22"/>
    </w:rPr>
  </w:style>
  <w:style w:type="paragraph" w:styleId="ListNumber3">
    <w:name w:val="List Number 3"/>
    <w:basedOn w:val="Normal"/>
    <w:uiPriority w:val="99"/>
    <w:unhideWhenUsed/>
    <w:rsid w:val="0029639D"/>
    <w:pPr>
      <w:numPr>
        <w:numId w:val="7"/>
      </w:numPr>
      <w:spacing w:after="120" w:line="252" w:lineRule="auto"/>
      <w:contextualSpacing/>
    </w:pPr>
    <w:rPr>
      <w:rFonts w:ascii="Arial" w:hAnsi="Arial"/>
      <w:color w:val="000000"/>
      <w:sz w:val="22"/>
    </w:rPr>
  </w:style>
  <w:style w:type="paragraph" w:styleId="ListContinue">
    <w:name w:val="List Continue"/>
    <w:basedOn w:val="Normal"/>
    <w:uiPriority w:val="99"/>
    <w:unhideWhenUsed/>
    <w:rsid w:val="0029639D"/>
    <w:pPr>
      <w:spacing w:after="120" w:line="252" w:lineRule="auto"/>
      <w:ind w:left="360"/>
      <w:contextualSpacing/>
    </w:pPr>
    <w:rPr>
      <w:rFonts w:ascii="Arial" w:hAnsi="Arial"/>
      <w:color w:val="000000"/>
      <w:sz w:val="22"/>
    </w:rPr>
  </w:style>
  <w:style w:type="paragraph" w:styleId="ListContinue2">
    <w:name w:val="List Continue 2"/>
    <w:basedOn w:val="Normal"/>
    <w:uiPriority w:val="99"/>
    <w:unhideWhenUsed/>
    <w:rsid w:val="0029639D"/>
    <w:pPr>
      <w:spacing w:after="120" w:line="252" w:lineRule="auto"/>
      <w:ind w:left="720"/>
      <w:contextualSpacing/>
    </w:pPr>
    <w:rPr>
      <w:rFonts w:ascii="Arial" w:hAnsi="Arial"/>
      <w:color w:val="000000"/>
      <w:sz w:val="22"/>
    </w:rPr>
  </w:style>
  <w:style w:type="paragraph" w:styleId="ListContinue3">
    <w:name w:val="List Continue 3"/>
    <w:basedOn w:val="Normal"/>
    <w:uiPriority w:val="99"/>
    <w:unhideWhenUsed/>
    <w:rsid w:val="0029639D"/>
    <w:pPr>
      <w:spacing w:after="120" w:line="252" w:lineRule="auto"/>
      <w:ind w:left="1080"/>
      <w:contextualSpacing/>
    </w:pPr>
    <w:rPr>
      <w:rFonts w:ascii="Arial" w:hAnsi="Arial"/>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20" w:line="252" w:lineRule="auto"/>
    </w:pPr>
    <w:rPr>
      <w:rFonts w:ascii="Arial" w:hAnsi="Arial"/>
      <w:color w:val="000000"/>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line="252" w:lineRule="auto"/>
    </w:pPr>
    <w:rPr>
      <w:rFonts w:ascii="Arial" w:hAnsi="Arial"/>
      <w:i/>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20"/>
    </w:pPr>
    <w:rPr>
      <w:rFonts w:ascii="Arial" w:hAnsi="Arial"/>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120" w:line="252" w:lineRule="auto"/>
      <w:ind w:left="936" w:right="936"/>
    </w:pPr>
    <w:rPr>
      <w:rFonts w:ascii="Arial" w:hAnsi="Arial"/>
      <w:b/>
      <w:bCs/>
      <w:i/>
      <w:iCs/>
      <w:color w:val="000000"/>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52" w:lineRule="auto"/>
      <w:outlineLvl w:val="9"/>
    </w:pPr>
    <w:rPr>
      <w:rFonts w:ascii="Arial" w:hAnsi="Arial"/>
      <w:color w:val="000000"/>
      <w:sz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