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50CE" w:rsidRDefault="001050CE" w:rsidP="001050CE">
      <w:pPr>
        <w:jc w:val="right"/>
      </w:pPr>
      <w:r>
        <w:t>Caitlyn Hall</w:t>
      </w:r>
    </w:p>
    <w:p w:rsidR="005C3F12" w:rsidRDefault="005C3F12" w:rsidP="001050CE">
      <w:pPr>
        <w:jc w:val="right"/>
      </w:pPr>
      <w:r>
        <w:t>Assignment 3</w:t>
      </w:r>
    </w:p>
    <w:p w:rsidR="005C3F12" w:rsidRDefault="005C3F12" w:rsidP="001050CE">
      <w:pPr>
        <w:jc w:val="right"/>
      </w:pPr>
      <w:r>
        <w:t>29 February 2016</w:t>
      </w:r>
    </w:p>
    <w:p w:rsidR="005C3F12" w:rsidRDefault="001E714C" w:rsidP="001050CE">
      <w:pPr>
        <w:jc w:val="right"/>
      </w:pPr>
      <w:r>
        <w:t>STAT</w:t>
      </w:r>
      <w:r w:rsidR="005C3F12">
        <w:t xml:space="preserve"> 571B</w:t>
      </w:r>
    </w:p>
    <w:p w:rsidR="00B257A4" w:rsidRPr="007F72C2" w:rsidRDefault="00565835">
      <w:pPr>
        <w:rPr>
          <w:b/>
        </w:rPr>
      </w:pPr>
      <w:r w:rsidRPr="007F72C2">
        <w:rPr>
          <w:b/>
        </w:rPr>
        <w:t>4.1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565835" w:rsidTr="001050CE">
        <w:tc>
          <w:tcPr>
            <w:tcW w:w="1558" w:type="dxa"/>
          </w:tcPr>
          <w:p w:rsidR="00565835" w:rsidRDefault="00565835">
            <w:r>
              <w:t>Source</w:t>
            </w:r>
          </w:p>
        </w:tc>
        <w:tc>
          <w:tcPr>
            <w:tcW w:w="1558" w:type="dxa"/>
          </w:tcPr>
          <w:p w:rsidR="00565835" w:rsidRDefault="00565835">
            <w:r>
              <w:t>df</w:t>
            </w:r>
          </w:p>
        </w:tc>
        <w:tc>
          <w:tcPr>
            <w:tcW w:w="1558" w:type="dxa"/>
          </w:tcPr>
          <w:p w:rsidR="00565835" w:rsidRDefault="00565835">
            <w:r>
              <w:t>SS</w:t>
            </w:r>
          </w:p>
        </w:tc>
        <w:tc>
          <w:tcPr>
            <w:tcW w:w="1558" w:type="dxa"/>
          </w:tcPr>
          <w:p w:rsidR="00565835" w:rsidRDefault="00565835">
            <w:r>
              <w:t>MS</w:t>
            </w:r>
          </w:p>
        </w:tc>
        <w:tc>
          <w:tcPr>
            <w:tcW w:w="1559" w:type="dxa"/>
          </w:tcPr>
          <w:p w:rsidR="00565835" w:rsidRDefault="00565835">
            <w:r>
              <w:t>F</w:t>
            </w:r>
          </w:p>
        </w:tc>
        <w:tc>
          <w:tcPr>
            <w:tcW w:w="1559" w:type="dxa"/>
          </w:tcPr>
          <w:p w:rsidR="00565835" w:rsidRDefault="00565835">
            <w:r>
              <w:t>P</w:t>
            </w:r>
          </w:p>
        </w:tc>
      </w:tr>
      <w:tr w:rsidR="00565835" w:rsidTr="001050CE">
        <w:tc>
          <w:tcPr>
            <w:tcW w:w="1558" w:type="dxa"/>
          </w:tcPr>
          <w:p w:rsidR="00565835" w:rsidRDefault="00565835">
            <w:r>
              <w:t>Treatment</w:t>
            </w:r>
          </w:p>
        </w:tc>
        <w:tc>
          <w:tcPr>
            <w:tcW w:w="1558" w:type="dxa"/>
          </w:tcPr>
          <w:p w:rsidR="00565835" w:rsidRDefault="00565835">
            <w:r>
              <w:t>4</w:t>
            </w:r>
          </w:p>
        </w:tc>
        <w:tc>
          <w:tcPr>
            <w:tcW w:w="1558" w:type="dxa"/>
          </w:tcPr>
          <w:p w:rsidR="00565835" w:rsidRDefault="00565835">
            <w:r>
              <w:t>101</w:t>
            </w:r>
            <w:r w:rsidR="001050CE">
              <w:t>0</w:t>
            </w:r>
            <w:r>
              <w:t>.56</w:t>
            </w:r>
          </w:p>
        </w:tc>
        <w:tc>
          <w:tcPr>
            <w:tcW w:w="1558" w:type="dxa"/>
          </w:tcPr>
          <w:p w:rsidR="00565835" w:rsidRDefault="00565835">
            <w:r>
              <w:t>?</w:t>
            </w:r>
          </w:p>
        </w:tc>
        <w:tc>
          <w:tcPr>
            <w:tcW w:w="1559" w:type="dxa"/>
          </w:tcPr>
          <w:p w:rsidR="00565835" w:rsidRDefault="00565835">
            <w:r>
              <w:t>29.84</w:t>
            </w:r>
          </w:p>
        </w:tc>
        <w:tc>
          <w:tcPr>
            <w:tcW w:w="1559" w:type="dxa"/>
          </w:tcPr>
          <w:p w:rsidR="00565835" w:rsidRDefault="00565835">
            <w:r>
              <w:t>?</w:t>
            </w:r>
          </w:p>
        </w:tc>
      </w:tr>
      <w:tr w:rsidR="00565835" w:rsidTr="001050CE">
        <w:tc>
          <w:tcPr>
            <w:tcW w:w="1558" w:type="dxa"/>
          </w:tcPr>
          <w:p w:rsidR="00565835" w:rsidRDefault="00565835">
            <w:r>
              <w:t>Block</w:t>
            </w:r>
          </w:p>
        </w:tc>
        <w:tc>
          <w:tcPr>
            <w:tcW w:w="1558" w:type="dxa"/>
          </w:tcPr>
          <w:p w:rsidR="00565835" w:rsidRDefault="00565835">
            <w:r>
              <w:t>?</w:t>
            </w:r>
          </w:p>
        </w:tc>
        <w:tc>
          <w:tcPr>
            <w:tcW w:w="1558" w:type="dxa"/>
          </w:tcPr>
          <w:p w:rsidR="00565835" w:rsidRDefault="00565835">
            <w:r>
              <w:t>?</w:t>
            </w:r>
          </w:p>
        </w:tc>
        <w:tc>
          <w:tcPr>
            <w:tcW w:w="1558" w:type="dxa"/>
          </w:tcPr>
          <w:p w:rsidR="00565835" w:rsidRDefault="00565835">
            <w:r>
              <w:t>64.765</w:t>
            </w:r>
          </w:p>
        </w:tc>
        <w:tc>
          <w:tcPr>
            <w:tcW w:w="1559" w:type="dxa"/>
          </w:tcPr>
          <w:p w:rsidR="00565835" w:rsidRDefault="00565835">
            <w:r>
              <w:t>?</w:t>
            </w:r>
          </w:p>
        </w:tc>
        <w:tc>
          <w:tcPr>
            <w:tcW w:w="1559" w:type="dxa"/>
          </w:tcPr>
          <w:p w:rsidR="00565835" w:rsidRDefault="00565835">
            <w:r>
              <w:t>?</w:t>
            </w:r>
          </w:p>
        </w:tc>
      </w:tr>
      <w:tr w:rsidR="00565835" w:rsidTr="001050CE">
        <w:tc>
          <w:tcPr>
            <w:tcW w:w="1558" w:type="dxa"/>
          </w:tcPr>
          <w:p w:rsidR="00565835" w:rsidRDefault="00565835">
            <w:r>
              <w:t>Error</w:t>
            </w:r>
          </w:p>
        </w:tc>
        <w:tc>
          <w:tcPr>
            <w:tcW w:w="1558" w:type="dxa"/>
          </w:tcPr>
          <w:p w:rsidR="00565835" w:rsidRDefault="00565835">
            <w:r>
              <w:t>20</w:t>
            </w:r>
          </w:p>
        </w:tc>
        <w:tc>
          <w:tcPr>
            <w:tcW w:w="1558" w:type="dxa"/>
          </w:tcPr>
          <w:p w:rsidR="00565835" w:rsidRDefault="00565835">
            <w:r>
              <w:t>169.33</w:t>
            </w:r>
          </w:p>
        </w:tc>
        <w:tc>
          <w:tcPr>
            <w:tcW w:w="1558" w:type="dxa"/>
          </w:tcPr>
          <w:p w:rsidR="00565835" w:rsidRDefault="00565835">
            <w:r>
              <w:t>?</w:t>
            </w:r>
          </w:p>
        </w:tc>
        <w:tc>
          <w:tcPr>
            <w:tcW w:w="1559" w:type="dxa"/>
          </w:tcPr>
          <w:p w:rsidR="00565835" w:rsidRDefault="00565835"/>
        </w:tc>
        <w:tc>
          <w:tcPr>
            <w:tcW w:w="1559" w:type="dxa"/>
          </w:tcPr>
          <w:p w:rsidR="00565835" w:rsidRDefault="00565835"/>
        </w:tc>
      </w:tr>
      <w:tr w:rsidR="00565835" w:rsidTr="001050CE">
        <w:tc>
          <w:tcPr>
            <w:tcW w:w="1558" w:type="dxa"/>
          </w:tcPr>
          <w:p w:rsidR="00565835" w:rsidRDefault="00565835">
            <w:r>
              <w:t>Total</w:t>
            </w:r>
          </w:p>
        </w:tc>
        <w:tc>
          <w:tcPr>
            <w:tcW w:w="1558" w:type="dxa"/>
          </w:tcPr>
          <w:p w:rsidR="00565835" w:rsidRDefault="00565835">
            <w:r>
              <w:t>29</w:t>
            </w:r>
          </w:p>
        </w:tc>
        <w:tc>
          <w:tcPr>
            <w:tcW w:w="1558" w:type="dxa"/>
          </w:tcPr>
          <w:p w:rsidR="00565835" w:rsidRDefault="00565835">
            <w:r>
              <w:t>1503.71</w:t>
            </w:r>
          </w:p>
        </w:tc>
        <w:tc>
          <w:tcPr>
            <w:tcW w:w="1558" w:type="dxa"/>
          </w:tcPr>
          <w:p w:rsidR="00565835" w:rsidRDefault="00565835"/>
        </w:tc>
        <w:tc>
          <w:tcPr>
            <w:tcW w:w="1559" w:type="dxa"/>
          </w:tcPr>
          <w:p w:rsidR="00565835" w:rsidRDefault="00565835"/>
        </w:tc>
        <w:tc>
          <w:tcPr>
            <w:tcW w:w="1559" w:type="dxa"/>
          </w:tcPr>
          <w:p w:rsidR="00565835" w:rsidRDefault="00565835"/>
        </w:tc>
      </w:tr>
    </w:tbl>
    <w:p w:rsidR="00565835" w:rsidRDefault="0056583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E93448" w:rsidTr="00FE4BE2">
        <w:tc>
          <w:tcPr>
            <w:tcW w:w="1558" w:type="dxa"/>
          </w:tcPr>
          <w:p w:rsidR="001050CE" w:rsidRDefault="001050CE" w:rsidP="00FE4BE2">
            <w:r>
              <w:t>Source</w:t>
            </w:r>
          </w:p>
        </w:tc>
        <w:tc>
          <w:tcPr>
            <w:tcW w:w="1558" w:type="dxa"/>
          </w:tcPr>
          <w:p w:rsidR="001050CE" w:rsidRDefault="001050CE" w:rsidP="00FE4BE2">
            <w:r>
              <w:t>df</w:t>
            </w:r>
          </w:p>
        </w:tc>
        <w:tc>
          <w:tcPr>
            <w:tcW w:w="1558" w:type="dxa"/>
          </w:tcPr>
          <w:p w:rsidR="001050CE" w:rsidRDefault="001050CE" w:rsidP="00FE4BE2">
            <w:r>
              <w:t>SS</w:t>
            </w:r>
          </w:p>
        </w:tc>
        <w:tc>
          <w:tcPr>
            <w:tcW w:w="1558" w:type="dxa"/>
          </w:tcPr>
          <w:p w:rsidR="001050CE" w:rsidRDefault="001050CE" w:rsidP="00FE4BE2">
            <w:r>
              <w:t>MS</w:t>
            </w:r>
          </w:p>
        </w:tc>
        <w:tc>
          <w:tcPr>
            <w:tcW w:w="1559" w:type="dxa"/>
          </w:tcPr>
          <w:p w:rsidR="001050CE" w:rsidRDefault="001050CE" w:rsidP="00FE4BE2">
            <w:r>
              <w:t>F</w:t>
            </w:r>
          </w:p>
        </w:tc>
        <w:tc>
          <w:tcPr>
            <w:tcW w:w="1559" w:type="dxa"/>
          </w:tcPr>
          <w:p w:rsidR="001050CE" w:rsidRDefault="001050CE" w:rsidP="00FE4BE2">
            <w:r>
              <w:t>P</w:t>
            </w:r>
          </w:p>
        </w:tc>
      </w:tr>
      <w:tr w:rsidR="00E93448" w:rsidTr="00FE4BE2">
        <w:tc>
          <w:tcPr>
            <w:tcW w:w="1558" w:type="dxa"/>
          </w:tcPr>
          <w:p w:rsidR="001050CE" w:rsidRDefault="001050CE" w:rsidP="00FE4BE2">
            <w:r>
              <w:t>Treatment</w:t>
            </w:r>
          </w:p>
        </w:tc>
        <w:tc>
          <w:tcPr>
            <w:tcW w:w="1558" w:type="dxa"/>
          </w:tcPr>
          <w:p w:rsidR="001050CE" w:rsidRDefault="00E93448" w:rsidP="00FE4BE2">
            <w:r>
              <w:t xml:space="preserve">(b-1) = </w:t>
            </w:r>
            <w:r w:rsidR="001050CE">
              <w:t>4</w:t>
            </w:r>
          </w:p>
        </w:tc>
        <w:tc>
          <w:tcPr>
            <w:tcW w:w="1558" w:type="dxa"/>
          </w:tcPr>
          <w:p w:rsidR="001050CE" w:rsidRDefault="001050CE" w:rsidP="00FE4BE2">
            <w:r>
              <w:t>1010.56</w:t>
            </w:r>
          </w:p>
        </w:tc>
        <w:tc>
          <w:tcPr>
            <w:tcW w:w="1558" w:type="dxa"/>
          </w:tcPr>
          <w:p w:rsidR="001050CE" w:rsidRDefault="00E93448" w:rsidP="00B02148">
            <w:r>
              <w:t>SS</w:t>
            </w:r>
            <w:r w:rsidRPr="002D5B1C">
              <w:rPr>
                <w:vertAlign w:val="subscript"/>
              </w:rPr>
              <w:t>Treatment</w:t>
            </w:r>
            <w:r>
              <w:t xml:space="preserve">/(a-1) = 1010.56/5 = </w:t>
            </w:r>
            <w:r w:rsidR="00B02148">
              <w:rPr>
                <w:b/>
              </w:rPr>
              <w:t>252.64</w:t>
            </w:r>
          </w:p>
        </w:tc>
        <w:tc>
          <w:tcPr>
            <w:tcW w:w="1559" w:type="dxa"/>
          </w:tcPr>
          <w:p w:rsidR="001050CE" w:rsidRDefault="001050CE" w:rsidP="00FE4BE2">
            <w:r>
              <w:t>29.84</w:t>
            </w:r>
          </w:p>
        </w:tc>
        <w:tc>
          <w:tcPr>
            <w:tcW w:w="1559" w:type="dxa"/>
          </w:tcPr>
          <w:p w:rsidR="001050CE" w:rsidRPr="00486E79" w:rsidRDefault="009C11E7" w:rsidP="00FE4BE2">
            <w:pPr>
              <w:rPr>
                <w:b/>
              </w:rPr>
            </w:pPr>
            <w:r w:rsidRPr="00486E79">
              <w:rPr>
                <w:b/>
              </w:rPr>
              <w:t>&lt;0.0001</w:t>
            </w:r>
          </w:p>
        </w:tc>
      </w:tr>
      <w:tr w:rsidR="00E93448" w:rsidTr="00FE4BE2">
        <w:tc>
          <w:tcPr>
            <w:tcW w:w="1558" w:type="dxa"/>
          </w:tcPr>
          <w:p w:rsidR="001050CE" w:rsidRDefault="001050CE" w:rsidP="00FE4BE2">
            <w:r>
              <w:t>Block</w:t>
            </w:r>
          </w:p>
        </w:tc>
        <w:tc>
          <w:tcPr>
            <w:tcW w:w="1558" w:type="dxa"/>
          </w:tcPr>
          <w:p w:rsidR="001050CE" w:rsidRDefault="00E93448" w:rsidP="00FE4BE2">
            <w:r>
              <w:t xml:space="preserve">(a-1) = </w:t>
            </w:r>
            <w:r w:rsidR="001050CE">
              <w:t xml:space="preserve">29-20-4 = </w:t>
            </w:r>
            <w:r w:rsidR="001050CE" w:rsidRPr="001050CE">
              <w:rPr>
                <w:b/>
              </w:rPr>
              <w:t>5</w:t>
            </w:r>
          </w:p>
        </w:tc>
        <w:tc>
          <w:tcPr>
            <w:tcW w:w="1558" w:type="dxa"/>
          </w:tcPr>
          <w:p w:rsidR="001050CE" w:rsidRDefault="001050CE" w:rsidP="00FE4BE2">
            <w:r>
              <w:t xml:space="preserve">1503.71-169.33-1010.56 = </w:t>
            </w:r>
            <w:r w:rsidRPr="001050CE">
              <w:rPr>
                <w:b/>
              </w:rPr>
              <w:t>323.82</w:t>
            </w:r>
          </w:p>
        </w:tc>
        <w:tc>
          <w:tcPr>
            <w:tcW w:w="1558" w:type="dxa"/>
          </w:tcPr>
          <w:p w:rsidR="001050CE" w:rsidRDefault="001050CE" w:rsidP="00FE4BE2">
            <w:r>
              <w:t>64.765</w:t>
            </w:r>
          </w:p>
        </w:tc>
        <w:tc>
          <w:tcPr>
            <w:tcW w:w="1559" w:type="dxa"/>
          </w:tcPr>
          <w:p w:rsidR="001050CE" w:rsidRDefault="006D541C" w:rsidP="00FE4BE2">
            <w:r>
              <w:t>MS</w:t>
            </w:r>
            <w:r w:rsidRPr="006D541C">
              <w:rPr>
                <w:vertAlign w:val="subscript"/>
              </w:rPr>
              <w:t>Block</w:t>
            </w:r>
            <w:r>
              <w:t>/MS</w:t>
            </w:r>
            <w:r w:rsidRPr="006D541C">
              <w:rPr>
                <w:vertAlign w:val="subscript"/>
              </w:rPr>
              <w:t>E</w:t>
            </w:r>
            <w:r>
              <w:t xml:space="preserve"> = 64.765/8.467 = </w:t>
            </w:r>
            <w:r w:rsidRPr="006D541C">
              <w:rPr>
                <w:b/>
              </w:rPr>
              <w:t>7.649</w:t>
            </w:r>
          </w:p>
        </w:tc>
        <w:tc>
          <w:tcPr>
            <w:tcW w:w="1559" w:type="dxa"/>
          </w:tcPr>
          <w:p w:rsidR="001050CE" w:rsidRPr="00486E79" w:rsidRDefault="009C11E7" w:rsidP="00FE4BE2">
            <w:pPr>
              <w:rPr>
                <w:b/>
              </w:rPr>
            </w:pPr>
            <w:r w:rsidRPr="00486E79">
              <w:rPr>
                <w:b/>
              </w:rPr>
              <w:t>0.0004</w:t>
            </w:r>
          </w:p>
        </w:tc>
      </w:tr>
      <w:tr w:rsidR="00E93448" w:rsidTr="00FE4BE2">
        <w:tc>
          <w:tcPr>
            <w:tcW w:w="1558" w:type="dxa"/>
          </w:tcPr>
          <w:p w:rsidR="001050CE" w:rsidRDefault="001050CE" w:rsidP="00FE4BE2">
            <w:r>
              <w:t>Error</w:t>
            </w:r>
          </w:p>
        </w:tc>
        <w:tc>
          <w:tcPr>
            <w:tcW w:w="1558" w:type="dxa"/>
          </w:tcPr>
          <w:p w:rsidR="001050CE" w:rsidRDefault="00E93448" w:rsidP="00FE4BE2">
            <w:r>
              <w:t xml:space="preserve">(b-1)(a-1) = </w:t>
            </w:r>
            <w:r w:rsidR="001050CE">
              <w:t>20</w:t>
            </w:r>
          </w:p>
        </w:tc>
        <w:tc>
          <w:tcPr>
            <w:tcW w:w="1558" w:type="dxa"/>
          </w:tcPr>
          <w:p w:rsidR="001050CE" w:rsidRDefault="001050CE" w:rsidP="00FE4BE2">
            <w:r>
              <w:t>169.33</w:t>
            </w:r>
          </w:p>
        </w:tc>
        <w:tc>
          <w:tcPr>
            <w:tcW w:w="1558" w:type="dxa"/>
          </w:tcPr>
          <w:p w:rsidR="001050CE" w:rsidRDefault="00E93448" w:rsidP="00FE4BE2">
            <w:r>
              <w:t>SS</w:t>
            </w:r>
            <w:r w:rsidRPr="002D5B1C">
              <w:rPr>
                <w:vertAlign w:val="subscript"/>
              </w:rPr>
              <w:t>E</w:t>
            </w:r>
            <w:r>
              <w:t>/(b-1)(a-1) = 169.33/20 =</w:t>
            </w:r>
            <w:r w:rsidRPr="00E93448">
              <w:rPr>
                <w:b/>
              </w:rPr>
              <w:t>8.467</w:t>
            </w:r>
          </w:p>
        </w:tc>
        <w:tc>
          <w:tcPr>
            <w:tcW w:w="1559" w:type="dxa"/>
          </w:tcPr>
          <w:p w:rsidR="001050CE" w:rsidRDefault="001050CE" w:rsidP="00FE4BE2"/>
        </w:tc>
        <w:tc>
          <w:tcPr>
            <w:tcW w:w="1559" w:type="dxa"/>
          </w:tcPr>
          <w:p w:rsidR="001050CE" w:rsidRDefault="001050CE" w:rsidP="00FE4BE2"/>
        </w:tc>
      </w:tr>
      <w:tr w:rsidR="00E93448" w:rsidTr="00FE4BE2">
        <w:tc>
          <w:tcPr>
            <w:tcW w:w="1558" w:type="dxa"/>
          </w:tcPr>
          <w:p w:rsidR="001050CE" w:rsidRDefault="001050CE" w:rsidP="00FE4BE2">
            <w:r>
              <w:t>Total</w:t>
            </w:r>
          </w:p>
        </w:tc>
        <w:tc>
          <w:tcPr>
            <w:tcW w:w="1558" w:type="dxa"/>
          </w:tcPr>
          <w:p w:rsidR="001050CE" w:rsidRDefault="001050CE" w:rsidP="00FE4BE2">
            <w:r>
              <w:t>29</w:t>
            </w:r>
          </w:p>
        </w:tc>
        <w:tc>
          <w:tcPr>
            <w:tcW w:w="1558" w:type="dxa"/>
          </w:tcPr>
          <w:p w:rsidR="001050CE" w:rsidRDefault="001050CE" w:rsidP="00FE4BE2">
            <w:r>
              <w:t>1503.71</w:t>
            </w:r>
          </w:p>
        </w:tc>
        <w:tc>
          <w:tcPr>
            <w:tcW w:w="1558" w:type="dxa"/>
          </w:tcPr>
          <w:p w:rsidR="001050CE" w:rsidRDefault="001050CE" w:rsidP="00FE4BE2"/>
        </w:tc>
        <w:tc>
          <w:tcPr>
            <w:tcW w:w="1559" w:type="dxa"/>
          </w:tcPr>
          <w:p w:rsidR="001050CE" w:rsidRDefault="001050CE" w:rsidP="00FE4BE2"/>
        </w:tc>
        <w:tc>
          <w:tcPr>
            <w:tcW w:w="1559" w:type="dxa"/>
          </w:tcPr>
          <w:p w:rsidR="001050CE" w:rsidRDefault="001050CE" w:rsidP="00FE4BE2"/>
        </w:tc>
      </w:tr>
    </w:tbl>
    <w:p w:rsidR="001050CE" w:rsidRDefault="001050CE"/>
    <w:p w:rsidR="00486E79" w:rsidRDefault="00486E79">
      <w:r>
        <w:t>Used a p-value calculator to calculate p-value</w:t>
      </w:r>
    </w:p>
    <w:p w:rsidR="00A74D0E" w:rsidRDefault="00A74D0E">
      <w:r>
        <w:t>b) 6 blocks were used in experiment</w:t>
      </w:r>
    </w:p>
    <w:p w:rsidR="00A74D0E" w:rsidRDefault="00A74D0E">
      <w:r>
        <w:t>c)</w:t>
      </w:r>
      <w:r w:rsidR="00A968A0">
        <w:t xml:space="preserve"> Since the p-value is below 0.05, then there is a significant differen</w:t>
      </w:r>
      <w:r w:rsidR="003522A0">
        <w:t>ce between the 5 treatment effects.</w:t>
      </w:r>
    </w:p>
    <w:p w:rsidR="00A74D0E" w:rsidRDefault="00A74D0E"/>
    <w:p w:rsidR="00486E79" w:rsidRPr="007F72C2" w:rsidRDefault="007F72C2">
      <w:pPr>
        <w:rPr>
          <w:b/>
        </w:rPr>
      </w:pPr>
      <w:r w:rsidRPr="007F72C2">
        <w:rPr>
          <w:b/>
        </w:rPr>
        <w:t>4.12</w:t>
      </w:r>
    </w:p>
    <w:p w:rsidR="007F72C2" w:rsidRDefault="003522A0">
      <w:r>
        <w:t>a) Do the treatments differ?</w:t>
      </w:r>
    </w:p>
    <w:p w:rsidR="003D6947" w:rsidRDefault="003D6947">
      <w:r>
        <w:t>H0: treatments are not different</w:t>
      </w:r>
    </w:p>
    <w:p w:rsidR="003D6947" w:rsidRDefault="003D6947">
      <w:r>
        <w:t>H1: treatments are different</w:t>
      </w:r>
    </w:p>
    <w:p w:rsidR="003D6947" w:rsidRDefault="003D6947">
      <w:r>
        <w:rPr>
          <w:noProof/>
        </w:rPr>
        <w:drawing>
          <wp:inline distT="0" distB="0" distL="0" distR="0">
            <wp:extent cx="3324225" cy="581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6947" w:rsidRDefault="003D6947">
      <w:r>
        <w:lastRenderedPageBreak/>
        <w:t xml:space="preserve">The p-value for the treatments is 0.0457, where our threshold is 0.05; therefore, H0 is rejected since they are significantly different. </w:t>
      </w:r>
    </w:p>
    <w:p w:rsidR="00CC4402" w:rsidRDefault="00CC4402">
      <w:r>
        <w:t xml:space="preserve">However, when I ran this as a one-way ANOVA and got a different p-value; but, considering the chapter focus, I assumed that the observation was the block since the treatment can’t be a block, since it’s the variable that’s being tested. </w:t>
      </w:r>
      <w:bookmarkStart w:id="0" w:name="_GoBack"/>
      <w:bookmarkEnd w:id="0"/>
    </w:p>
    <w:p w:rsidR="003522A0" w:rsidRDefault="003522A0">
      <w:r>
        <w:t>b) Check normality assumption</w:t>
      </w:r>
    </w:p>
    <w:p w:rsidR="00F80810" w:rsidRDefault="00F80810">
      <w:r>
        <w:rPr>
          <w:noProof/>
        </w:rPr>
        <w:drawing>
          <wp:inline distT="0" distB="0" distL="0" distR="0">
            <wp:extent cx="3200401" cy="2400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8443" cy="2413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47C6C">
        <w:rPr>
          <w:noProof/>
        </w:rPr>
        <w:drawing>
          <wp:inline distT="0" distB="0" distL="0" distR="0">
            <wp:extent cx="2667000" cy="962404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4499" cy="96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7C6C" w:rsidRDefault="00647C6C">
      <w:r>
        <w:t xml:space="preserve">As shown by the QQ plot and the objective normality tests, the data is normal. </w:t>
      </w:r>
    </w:p>
    <w:p w:rsidR="003522A0" w:rsidRDefault="003522A0">
      <w:r>
        <w:t>c) After taking the log of the raw data, do the treatment means differ from the transformed data?</w:t>
      </w:r>
    </w:p>
    <w:p w:rsidR="00647C6C" w:rsidRDefault="00647C6C">
      <w:r>
        <w:rPr>
          <w:noProof/>
        </w:rPr>
        <w:drawing>
          <wp:inline distT="0" distB="0" distL="0" distR="0">
            <wp:extent cx="3343275" cy="5715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7C6C" w:rsidRDefault="00647C6C">
      <w:r>
        <w:t xml:space="preserve">Since the p-value of the log of the treatment is 0.07, then taking the log of the raw data </w:t>
      </w:r>
      <w:r w:rsidR="00F00FD9">
        <w:t>de-</w:t>
      </w:r>
      <w:r>
        <w:t xml:space="preserve">emphasized the difference in the treatments. Therefore, we </w:t>
      </w:r>
      <w:r w:rsidR="00F00FD9">
        <w:t>do not</w:t>
      </w:r>
      <w:r>
        <w:t xml:space="preserve"> re</w:t>
      </w:r>
      <w:r w:rsidR="00F00FD9">
        <w:t xml:space="preserve">ject H0, since the p-value is larger than 0.05. </w:t>
      </w:r>
    </w:p>
    <w:p w:rsidR="003522A0" w:rsidRDefault="003522A0">
      <w:r>
        <w:t>d) Using the residuals</w:t>
      </w:r>
      <w:r w:rsidR="00201886">
        <w:t xml:space="preserve"> of the log data</w:t>
      </w:r>
      <w:r>
        <w:t xml:space="preserve">, comment on model accuracy. </w:t>
      </w:r>
    </w:p>
    <w:p w:rsidR="00201886" w:rsidRDefault="000E766D">
      <w:r>
        <w:rPr>
          <w:noProof/>
        </w:rPr>
        <w:lastRenderedPageBreak/>
        <w:drawing>
          <wp:inline distT="0" distB="0" distL="0" distR="0">
            <wp:extent cx="3452346" cy="26003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0438" cy="260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326393" cy="83439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1584" cy="868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766D" w:rsidRDefault="000E766D">
      <w:r>
        <w:t>Visually from the QQ plot, it looks like the residuals of the log transformation are slightly different from the line</w:t>
      </w:r>
      <w:r w:rsidR="00B157D9">
        <w:t>, implying that the model might not be accurate</w:t>
      </w:r>
      <w:r>
        <w:t>. However, looking at the p-value of the objective table, it looks like</w:t>
      </w:r>
      <w:r w:rsidR="00B157D9">
        <w:t xml:space="preserve"> the log data is mostly normal, therefore implying that the model is accurate.</w:t>
      </w:r>
    </w:p>
    <w:p w:rsidR="007F72C2" w:rsidRPr="007F72C2" w:rsidRDefault="007F72C2">
      <w:pPr>
        <w:rPr>
          <w:b/>
        </w:rPr>
      </w:pPr>
      <w:r w:rsidRPr="007F72C2">
        <w:rPr>
          <w:b/>
        </w:rPr>
        <w:t>4.16</w:t>
      </w:r>
    </w:p>
    <w:p w:rsidR="007F72C2" w:rsidRDefault="006C05F7">
      <w:r>
        <w:t xml:space="preserve">Equations needed: </w:t>
      </w:r>
    </w:p>
    <w:p w:rsidR="006C05F7" w:rsidRPr="006C05F7" w:rsidRDefault="00CC4402">
      <w:pPr>
        <w:rPr>
          <w:rFonts w:eastAsiaTheme="minorEastAsia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μ</m:t>
              </m:r>
            </m:e>
          </m:acc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y..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1435</m:t>
              </m:r>
            </m:num>
            <m:den>
              <m:r>
                <w:rPr>
                  <w:rFonts w:ascii="Cambria Math" w:eastAsiaTheme="minorEastAsia" w:hAnsi="Cambria Math"/>
                </w:rPr>
                <m:t>20</m:t>
              </m:r>
            </m:den>
          </m:f>
          <m:r>
            <w:rPr>
              <w:rFonts w:ascii="Cambria Math" w:eastAsiaTheme="minorEastAsia" w:hAnsi="Cambria Math"/>
            </w:rPr>
            <m:t>=71.75</m:t>
          </m:r>
        </m:oMath>
      </m:oMathPara>
    </w:p>
    <w:p w:rsidR="006C05F7" w:rsidRPr="006C05F7" w:rsidRDefault="00CC440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i.</m:t>
              </m:r>
            </m:sub>
          </m:sSub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i.</m:t>
                  </m:r>
                </m:sub>
              </m:sSub>
            </m:e>
          </m:acc>
          <m:r>
            <w:rPr>
              <w:rFonts w:ascii="Cambria Math" w:hAnsi="Cambria Math"/>
            </w:rPr>
            <m:t>-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..</m:t>
                  </m:r>
                </m:sub>
              </m:sSub>
            </m:e>
          </m:acc>
        </m:oMath>
      </m:oMathPara>
    </w:p>
    <w:p w:rsidR="006C05F7" w:rsidRPr="00B9560F" w:rsidRDefault="00CC440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.j</m:t>
              </m:r>
            </m:sub>
          </m:sSub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.j</m:t>
                  </m:r>
                </m:sub>
              </m:sSub>
            </m:e>
          </m:acc>
          <m:r>
            <w:rPr>
              <w:rFonts w:ascii="Cambria Math" w:hAnsi="Cambria Math"/>
            </w:rPr>
            <m:t>-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..</m:t>
                  </m:r>
                </m:sub>
              </m:sSub>
            </m:e>
          </m:acc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9"/>
        <w:gridCol w:w="719"/>
        <w:gridCol w:w="719"/>
        <w:gridCol w:w="787"/>
      </w:tblGrid>
      <w:tr w:rsidR="00D16C17" w:rsidRPr="00B9560F" w:rsidTr="00BA2690">
        <w:tc>
          <w:tcPr>
            <w:tcW w:w="1159" w:type="dxa"/>
          </w:tcPr>
          <w:p w:rsidR="00D16C17" w:rsidRPr="00B9560F" w:rsidRDefault="00D16C17">
            <w:pPr>
              <w:rPr>
                <w:rFonts w:eastAsiaTheme="minorEastAsia"/>
              </w:rPr>
            </w:pPr>
            <w:r w:rsidRPr="00B9560F">
              <w:rPr>
                <w:rFonts w:eastAsiaTheme="minorEastAsia"/>
              </w:rPr>
              <w:t>Chemical</w:t>
            </w:r>
          </w:p>
        </w:tc>
        <w:tc>
          <w:tcPr>
            <w:tcW w:w="719" w:type="dxa"/>
          </w:tcPr>
          <w:p w:rsidR="00D16C17" w:rsidRPr="00B9560F" w:rsidRDefault="00D16C17" w:rsidP="00D16C17">
            <w:pPr>
              <w:rPr>
                <w:rFonts w:ascii="Calibri" w:eastAsia="Calibri" w:hAnsi="Calibri" w:cs="Times New Roman"/>
              </w:rPr>
            </w:pPr>
            <w:r>
              <w:rPr>
                <w:rFonts w:eastAsiaTheme="minorEastAsia"/>
              </w:rPr>
              <w:t>∑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i.</m:t>
                  </m:r>
                </m:sub>
              </m:sSub>
            </m:oMath>
          </w:p>
        </w:tc>
        <w:tc>
          <w:tcPr>
            <w:tcW w:w="719" w:type="dxa"/>
          </w:tcPr>
          <w:p w:rsidR="00D16C17" w:rsidRPr="00B9560F" w:rsidRDefault="00CC4402">
            <w:pPr>
              <w:rPr>
                <w:rFonts w:eastAsiaTheme="minorEastAsia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i.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787" w:type="dxa"/>
          </w:tcPr>
          <w:p w:rsidR="00D16C17" w:rsidRPr="00B9560F" w:rsidRDefault="00CC4402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i.</m:t>
                    </m:r>
                  </m:sub>
                </m:sSub>
              </m:oMath>
            </m:oMathPara>
          </w:p>
        </w:tc>
      </w:tr>
      <w:tr w:rsidR="00D16C17" w:rsidRPr="00B9560F" w:rsidTr="00BA2690">
        <w:tc>
          <w:tcPr>
            <w:tcW w:w="1159" w:type="dxa"/>
          </w:tcPr>
          <w:p w:rsidR="00D16C17" w:rsidRPr="00B9560F" w:rsidRDefault="00D16C17">
            <w:pPr>
              <w:rPr>
                <w:rFonts w:eastAsiaTheme="minorEastAsia"/>
              </w:rPr>
            </w:pPr>
            <w:r w:rsidRPr="00B9560F">
              <w:rPr>
                <w:rFonts w:eastAsiaTheme="minorEastAsia"/>
              </w:rPr>
              <w:t>1</w:t>
            </w:r>
          </w:p>
        </w:tc>
        <w:tc>
          <w:tcPr>
            <w:tcW w:w="719" w:type="dxa"/>
          </w:tcPr>
          <w:p w:rsidR="00D16C17" w:rsidRPr="00B9560F" w:rsidRDefault="00D16C1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353</w:t>
            </w:r>
          </w:p>
        </w:tc>
        <w:tc>
          <w:tcPr>
            <w:tcW w:w="719" w:type="dxa"/>
          </w:tcPr>
          <w:p w:rsidR="00D16C17" w:rsidRPr="00B9560F" w:rsidRDefault="00D16C17">
            <w:pPr>
              <w:rPr>
                <w:rFonts w:eastAsiaTheme="minorEastAsia"/>
              </w:rPr>
            </w:pPr>
            <w:r w:rsidRPr="00B9560F">
              <w:rPr>
                <w:rFonts w:eastAsiaTheme="minorEastAsia"/>
              </w:rPr>
              <w:t>70.6</w:t>
            </w:r>
          </w:p>
        </w:tc>
        <w:tc>
          <w:tcPr>
            <w:tcW w:w="787" w:type="dxa"/>
          </w:tcPr>
          <w:p w:rsidR="00D16C17" w:rsidRPr="00B9560F" w:rsidRDefault="00D16C17">
            <w:pPr>
              <w:rPr>
                <w:rFonts w:eastAsiaTheme="minorEastAsia"/>
              </w:rPr>
            </w:pPr>
            <w:r w:rsidRPr="00B9560F">
              <w:rPr>
                <w:rFonts w:eastAsiaTheme="minorEastAsia"/>
              </w:rPr>
              <w:t>-1.15</w:t>
            </w:r>
          </w:p>
        </w:tc>
      </w:tr>
      <w:tr w:rsidR="00D16C17" w:rsidRPr="00B9560F" w:rsidTr="00BA2690">
        <w:tc>
          <w:tcPr>
            <w:tcW w:w="1159" w:type="dxa"/>
          </w:tcPr>
          <w:p w:rsidR="00D16C17" w:rsidRPr="00B9560F" w:rsidRDefault="00D16C17">
            <w:pPr>
              <w:rPr>
                <w:rFonts w:eastAsiaTheme="minorEastAsia"/>
              </w:rPr>
            </w:pPr>
            <w:r w:rsidRPr="00B9560F">
              <w:rPr>
                <w:rFonts w:eastAsiaTheme="minorEastAsia"/>
              </w:rPr>
              <w:t>2</w:t>
            </w:r>
          </w:p>
        </w:tc>
        <w:tc>
          <w:tcPr>
            <w:tcW w:w="719" w:type="dxa"/>
          </w:tcPr>
          <w:p w:rsidR="00D16C17" w:rsidRPr="00B9560F" w:rsidRDefault="00D16C1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357</w:t>
            </w:r>
          </w:p>
        </w:tc>
        <w:tc>
          <w:tcPr>
            <w:tcW w:w="719" w:type="dxa"/>
          </w:tcPr>
          <w:p w:rsidR="00D16C17" w:rsidRPr="00B9560F" w:rsidRDefault="00D16C17">
            <w:pPr>
              <w:rPr>
                <w:rFonts w:eastAsiaTheme="minorEastAsia"/>
              </w:rPr>
            </w:pPr>
            <w:r w:rsidRPr="00B9560F">
              <w:rPr>
                <w:rFonts w:eastAsiaTheme="minorEastAsia"/>
              </w:rPr>
              <w:t>71.4</w:t>
            </w:r>
          </w:p>
        </w:tc>
        <w:tc>
          <w:tcPr>
            <w:tcW w:w="787" w:type="dxa"/>
          </w:tcPr>
          <w:p w:rsidR="00D16C17" w:rsidRPr="00B9560F" w:rsidRDefault="00D16C17">
            <w:pPr>
              <w:rPr>
                <w:rFonts w:eastAsiaTheme="minorEastAsia"/>
              </w:rPr>
            </w:pPr>
            <w:r w:rsidRPr="00B9560F">
              <w:rPr>
                <w:rFonts w:eastAsiaTheme="minorEastAsia"/>
              </w:rPr>
              <w:t>-0.35</w:t>
            </w:r>
          </w:p>
        </w:tc>
      </w:tr>
      <w:tr w:rsidR="00D16C17" w:rsidRPr="00B9560F" w:rsidTr="00BA2690">
        <w:tc>
          <w:tcPr>
            <w:tcW w:w="1159" w:type="dxa"/>
          </w:tcPr>
          <w:p w:rsidR="00D16C17" w:rsidRPr="00B9560F" w:rsidRDefault="00D16C17">
            <w:pPr>
              <w:rPr>
                <w:rFonts w:eastAsiaTheme="minorEastAsia"/>
              </w:rPr>
            </w:pPr>
            <w:r w:rsidRPr="00B9560F">
              <w:rPr>
                <w:rFonts w:eastAsiaTheme="minorEastAsia"/>
              </w:rPr>
              <w:t>3</w:t>
            </w:r>
          </w:p>
        </w:tc>
        <w:tc>
          <w:tcPr>
            <w:tcW w:w="719" w:type="dxa"/>
          </w:tcPr>
          <w:p w:rsidR="00D16C17" w:rsidRPr="00B9560F" w:rsidRDefault="00D16C1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362</w:t>
            </w:r>
          </w:p>
        </w:tc>
        <w:tc>
          <w:tcPr>
            <w:tcW w:w="719" w:type="dxa"/>
          </w:tcPr>
          <w:p w:rsidR="00D16C17" w:rsidRPr="00B9560F" w:rsidRDefault="00D16C17">
            <w:pPr>
              <w:rPr>
                <w:rFonts w:eastAsiaTheme="minorEastAsia"/>
              </w:rPr>
            </w:pPr>
            <w:r w:rsidRPr="00B9560F">
              <w:rPr>
                <w:rFonts w:eastAsiaTheme="minorEastAsia"/>
              </w:rPr>
              <w:t>72.4</w:t>
            </w:r>
          </w:p>
        </w:tc>
        <w:tc>
          <w:tcPr>
            <w:tcW w:w="787" w:type="dxa"/>
          </w:tcPr>
          <w:p w:rsidR="00D16C17" w:rsidRPr="00B9560F" w:rsidRDefault="00D16C17">
            <w:pPr>
              <w:rPr>
                <w:rFonts w:eastAsiaTheme="minorEastAsia"/>
              </w:rPr>
            </w:pPr>
            <w:r w:rsidRPr="00B9560F">
              <w:rPr>
                <w:rFonts w:eastAsiaTheme="minorEastAsia"/>
              </w:rPr>
              <w:t>0.65</w:t>
            </w:r>
          </w:p>
        </w:tc>
      </w:tr>
      <w:tr w:rsidR="00D16C17" w:rsidRPr="00B9560F" w:rsidTr="00BA2690">
        <w:tc>
          <w:tcPr>
            <w:tcW w:w="1159" w:type="dxa"/>
          </w:tcPr>
          <w:p w:rsidR="00D16C17" w:rsidRPr="00B9560F" w:rsidRDefault="00D16C17">
            <w:pPr>
              <w:rPr>
                <w:rFonts w:eastAsiaTheme="minorEastAsia"/>
              </w:rPr>
            </w:pPr>
            <w:r w:rsidRPr="00B9560F">
              <w:rPr>
                <w:rFonts w:eastAsiaTheme="minorEastAsia"/>
              </w:rPr>
              <w:t>4</w:t>
            </w:r>
          </w:p>
        </w:tc>
        <w:tc>
          <w:tcPr>
            <w:tcW w:w="719" w:type="dxa"/>
          </w:tcPr>
          <w:p w:rsidR="00D16C17" w:rsidRPr="00B9560F" w:rsidRDefault="00D16C1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363</w:t>
            </w:r>
          </w:p>
        </w:tc>
        <w:tc>
          <w:tcPr>
            <w:tcW w:w="719" w:type="dxa"/>
          </w:tcPr>
          <w:p w:rsidR="00D16C17" w:rsidRPr="00B9560F" w:rsidRDefault="00D16C17">
            <w:pPr>
              <w:rPr>
                <w:rFonts w:eastAsiaTheme="minorEastAsia"/>
              </w:rPr>
            </w:pPr>
            <w:r w:rsidRPr="00B9560F">
              <w:rPr>
                <w:rFonts w:eastAsiaTheme="minorEastAsia"/>
              </w:rPr>
              <w:t>72.6</w:t>
            </w:r>
          </w:p>
        </w:tc>
        <w:tc>
          <w:tcPr>
            <w:tcW w:w="787" w:type="dxa"/>
          </w:tcPr>
          <w:p w:rsidR="00D16C17" w:rsidRPr="00B9560F" w:rsidRDefault="00D16C17">
            <w:pPr>
              <w:rPr>
                <w:rFonts w:eastAsiaTheme="minorEastAsia"/>
              </w:rPr>
            </w:pPr>
            <w:r w:rsidRPr="00B9560F">
              <w:rPr>
                <w:rFonts w:eastAsiaTheme="minorEastAsia"/>
              </w:rPr>
              <w:t>0.85</w:t>
            </w:r>
          </w:p>
        </w:tc>
      </w:tr>
    </w:tbl>
    <w:p w:rsidR="00B9560F" w:rsidRDefault="00B9560F">
      <w:pPr>
        <w:rPr>
          <w:rFonts w:eastAsiaTheme="minorEastAsia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9"/>
        <w:gridCol w:w="719"/>
        <w:gridCol w:w="719"/>
        <w:gridCol w:w="787"/>
      </w:tblGrid>
      <w:tr w:rsidR="00D16C17" w:rsidRPr="00B9560F" w:rsidTr="00960A41">
        <w:tc>
          <w:tcPr>
            <w:tcW w:w="1159" w:type="dxa"/>
          </w:tcPr>
          <w:p w:rsidR="00D16C17" w:rsidRPr="00B9560F" w:rsidRDefault="00D16C17" w:rsidP="00FE4BE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Bolt</w:t>
            </w:r>
          </w:p>
        </w:tc>
        <w:tc>
          <w:tcPr>
            <w:tcW w:w="719" w:type="dxa"/>
          </w:tcPr>
          <w:p w:rsidR="00D16C17" w:rsidRPr="00B9560F" w:rsidRDefault="00D16C17" w:rsidP="00D16C17">
            <w:pPr>
              <w:rPr>
                <w:rFonts w:ascii="Calibri" w:eastAsia="Calibri" w:hAnsi="Calibri" w:cs="Times New Roman"/>
              </w:rPr>
            </w:pPr>
            <w:r>
              <w:rPr>
                <w:rFonts w:eastAsiaTheme="minorEastAsia"/>
              </w:rPr>
              <w:t>∑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.j</m:t>
                  </m:r>
                </m:sub>
              </m:sSub>
            </m:oMath>
          </w:p>
        </w:tc>
        <w:tc>
          <w:tcPr>
            <w:tcW w:w="719" w:type="dxa"/>
          </w:tcPr>
          <w:p w:rsidR="00D16C17" w:rsidRPr="00B9560F" w:rsidRDefault="00CC4402" w:rsidP="00B9560F">
            <w:pPr>
              <w:rPr>
                <w:rFonts w:eastAsiaTheme="minorEastAsia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.j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787" w:type="dxa"/>
          </w:tcPr>
          <w:p w:rsidR="00D16C17" w:rsidRPr="00B9560F" w:rsidRDefault="00CC4402" w:rsidP="00FE4BE2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.j</m:t>
                    </m:r>
                  </m:sub>
                </m:sSub>
              </m:oMath>
            </m:oMathPara>
          </w:p>
        </w:tc>
      </w:tr>
      <w:tr w:rsidR="00D16C17" w:rsidRPr="00B9560F" w:rsidTr="00960A41">
        <w:tc>
          <w:tcPr>
            <w:tcW w:w="1159" w:type="dxa"/>
          </w:tcPr>
          <w:p w:rsidR="00D16C17" w:rsidRPr="00B9560F" w:rsidRDefault="00D16C17" w:rsidP="00FE4BE2">
            <w:pPr>
              <w:rPr>
                <w:rFonts w:eastAsiaTheme="minorEastAsia"/>
              </w:rPr>
            </w:pPr>
            <w:r w:rsidRPr="00B9560F">
              <w:rPr>
                <w:rFonts w:eastAsiaTheme="minorEastAsia"/>
              </w:rPr>
              <w:t>1</w:t>
            </w:r>
          </w:p>
        </w:tc>
        <w:tc>
          <w:tcPr>
            <w:tcW w:w="719" w:type="dxa"/>
          </w:tcPr>
          <w:p w:rsidR="00D16C17" w:rsidRPr="00B9560F" w:rsidRDefault="00D16C17" w:rsidP="00FE4BE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294</w:t>
            </w:r>
          </w:p>
        </w:tc>
        <w:tc>
          <w:tcPr>
            <w:tcW w:w="719" w:type="dxa"/>
          </w:tcPr>
          <w:p w:rsidR="00D16C17" w:rsidRPr="00B9560F" w:rsidRDefault="00ED4F3B" w:rsidP="00FE4BE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73.5</w:t>
            </w:r>
          </w:p>
        </w:tc>
        <w:tc>
          <w:tcPr>
            <w:tcW w:w="787" w:type="dxa"/>
          </w:tcPr>
          <w:p w:rsidR="00D16C17" w:rsidRPr="00B9560F" w:rsidRDefault="00ED4F3B" w:rsidP="00FE4BE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1.75</w:t>
            </w:r>
          </w:p>
        </w:tc>
      </w:tr>
      <w:tr w:rsidR="00D16C17" w:rsidRPr="00B9560F" w:rsidTr="00960A41">
        <w:tc>
          <w:tcPr>
            <w:tcW w:w="1159" w:type="dxa"/>
          </w:tcPr>
          <w:p w:rsidR="00D16C17" w:rsidRPr="00B9560F" w:rsidRDefault="00D16C17" w:rsidP="00FE4BE2">
            <w:pPr>
              <w:rPr>
                <w:rFonts w:eastAsiaTheme="minorEastAsia"/>
              </w:rPr>
            </w:pPr>
            <w:r w:rsidRPr="00B9560F">
              <w:rPr>
                <w:rFonts w:eastAsiaTheme="minorEastAsia"/>
              </w:rPr>
              <w:t>2</w:t>
            </w:r>
          </w:p>
        </w:tc>
        <w:tc>
          <w:tcPr>
            <w:tcW w:w="719" w:type="dxa"/>
          </w:tcPr>
          <w:p w:rsidR="00D16C17" w:rsidRPr="00B9560F" w:rsidRDefault="00D16C17" w:rsidP="00FE4BE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274</w:t>
            </w:r>
          </w:p>
        </w:tc>
        <w:tc>
          <w:tcPr>
            <w:tcW w:w="719" w:type="dxa"/>
          </w:tcPr>
          <w:p w:rsidR="00D16C17" w:rsidRPr="00B9560F" w:rsidRDefault="00ED4F3B" w:rsidP="00FE4BE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68.5</w:t>
            </w:r>
          </w:p>
        </w:tc>
        <w:tc>
          <w:tcPr>
            <w:tcW w:w="787" w:type="dxa"/>
          </w:tcPr>
          <w:p w:rsidR="00D16C17" w:rsidRPr="00B9560F" w:rsidRDefault="00ED4F3B" w:rsidP="00FE4BE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-3.25</w:t>
            </w:r>
          </w:p>
        </w:tc>
      </w:tr>
      <w:tr w:rsidR="00D16C17" w:rsidRPr="00B9560F" w:rsidTr="00960A41">
        <w:tc>
          <w:tcPr>
            <w:tcW w:w="1159" w:type="dxa"/>
          </w:tcPr>
          <w:p w:rsidR="00D16C17" w:rsidRPr="00B9560F" w:rsidRDefault="00D16C17" w:rsidP="00FE4BE2">
            <w:pPr>
              <w:rPr>
                <w:rFonts w:eastAsiaTheme="minorEastAsia"/>
              </w:rPr>
            </w:pPr>
            <w:r w:rsidRPr="00B9560F">
              <w:rPr>
                <w:rFonts w:eastAsiaTheme="minorEastAsia"/>
              </w:rPr>
              <w:t>3</w:t>
            </w:r>
          </w:p>
        </w:tc>
        <w:tc>
          <w:tcPr>
            <w:tcW w:w="719" w:type="dxa"/>
          </w:tcPr>
          <w:p w:rsidR="00D16C17" w:rsidRPr="00B9560F" w:rsidRDefault="00D16C17" w:rsidP="00FE4BE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302</w:t>
            </w:r>
          </w:p>
        </w:tc>
        <w:tc>
          <w:tcPr>
            <w:tcW w:w="719" w:type="dxa"/>
          </w:tcPr>
          <w:p w:rsidR="00D16C17" w:rsidRPr="00B9560F" w:rsidRDefault="00ED4F3B" w:rsidP="00FE4BE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75.5</w:t>
            </w:r>
          </w:p>
        </w:tc>
        <w:tc>
          <w:tcPr>
            <w:tcW w:w="787" w:type="dxa"/>
          </w:tcPr>
          <w:p w:rsidR="00D16C17" w:rsidRPr="00B9560F" w:rsidRDefault="00ED4F3B" w:rsidP="00FE4BE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3.75</w:t>
            </w:r>
          </w:p>
        </w:tc>
      </w:tr>
      <w:tr w:rsidR="00D16C17" w:rsidRPr="00B9560F" w:rsidTr="00960A41">
        <w:tc>
          <w:tcPr>
            <w:tcW w:w="1159" w:type="dxa"/>
          </w:tcPr>
          <w:p w:rsidR="00D16C17" w:rsidRPr="00B9560F" w:rsidRDefault="00D16C17" w:rsidP="00FE4BE2">
            <w:pPr>
              <w:rPr>
                <w:rFonts w:eastAsiaTheme="minorEastAsia"/>
              </w:rPr>
            </w:pPr>
            <w:r w:rsidRPr="00B9560F">
              <w:rPr>
                <w:rFonts w:eastAsiaTheme="minorEastAsia"/>
              </w:rPr>
              <w:t>4</w:t>
            </w:r>
          </w:p>
        </w:tc>
        <w:tc>
          <w:tcPr>
            <w:tcW w:w="719" w:type="dxa"/>
          </w:tcPr>
          <w:p w:rsidR="00D16C17" w:rsidRPr="00B9560F" w:rsidRDefault="00D16C17" w:rsidP="00FE4BE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291</w:t>
            </w:r>
          </w:p>
        </w:tc>
        <w:tc>
          <w:tcPr>
            <w:tcW w:w="719" w:type="dxa"/>
          </w:tcPr>
          <w:p w:rsidR="00D16C17" w:rsidRPr="00B9560F" w:rsidRDefault="00ED4F3B" w:rsidP="00FE4BE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72.75</w:t>
            </w:r>
          </w:p>
        </w:tc>
        <w:tc>
          <w:tcPr>
            <w:tcW w:w="787" w:type="dxa"/>
          </w:tcPr>
          <w:p w:rsidR="00D16C17" w:rsidRPr="00B9560F" w:rsidRDefault="00ED4F3B" w:rsidP="00FE4BE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-1.0</w:t>
            </w:r>
          </w:p>
        </w:tc>
      </w:tr>
      <w:tr w:rsidR="00D16C17" w:rsidRPr="00B9560F" w:rsidTr="00960A41">
        <w:tc>
          <w:tcPr>
            <w:tcW w:w="1159" w:type="dxa"/>
          </w:tcPr>
          <w:p w:rsidR="00D16C17" w:rsidRPr="00B9560F" w:rsidRDefault="00D16C17" w:rsidP="00FE4BE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  <w:tc>
          <w:tcPr>
            <w:tcW w:w="719" w:type="dxa"/>
          </w:tcPr>
          <w:p w:rsidR="00D16C17" w:rsidRPr="00B9560F" w:rsidRDefault="00D16C17" w:rsidP="00FE4BE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274</w:t>
            </w:r>
          </w:p>
        </w:tc>
        <w:tc>
          <w:tcPr>
            <w:tcW w:w="719" w:type="dxa"/>
          </w:tcPr>
          <w:p w:rsidR="00D16C17" w:rsidRPr="00B9560F" w:rsidRDefault="00ED4F3B" w:rsidP="00FE4BE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68.5</w:t>
            </w:r>
          </w:p>
        </w:tc>
        <w:tc>
          <w:tcPr>
            <w:tcW w:w="787" w:type="dxa"/>
          </w:tcPr>
          <w:p w:rsidR="00D16C17" w:rsidRPr="00B9560F" w:rsidRDefault="00ED4F3B" w:rsidP="00FE4BE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-3.25</w:t>
            </w:r>
          </w:p>
        </w:tc>
      </w:tr>
    </w:tbl>
    <w:p w:rsidR="00B9560F" w:rsidRPr="006C05F7" w:rsidRDefault="00B9560F">
      <w:pPr>
        <w:rPr>
          <w:rFonts w:eastAsiaTheme="minorEastAsia"/>
          <w:b/>
        </w:rPr>
      </w:pPr>
    </w:p>
    <w:p w:rsidR="007F72C2" w:rsidRPr="007F72C2" w:rsidRDefault="007F72C2">
      <w:pPr>
        <w:rPr>
          <w:b/>
        </w:rPr>
      </w:pPr>
      <w:r w:rsidRPr="007F72C2">
        <w:rPr>
          <w:b/>
        </w:rPr>
        <w:t>4.20</w:t>
      </w:r>
    </w:p>
    <w:p w:rsidR="007F72C2" w:rsidRDefault="007F72C2"/>
    <w:p w:rsidR="007F72C2" w:rsidRPr="007F72C2" w:rsidRDefault="007F72C2">
      <w:pPr>
        <w:rPr>
          <w:b/>
        </w:rPr>
      </w:pPr>
      <w:r w:rsidRPr="007F72C2">
        <w:rPr>
          <w:b/>
        </w:rPr>
        <w:lastRenderedPageBreak/>
        <w:t>4.28</w:t>
      </w:r>
    </w:p>
    <w:p w:rsidR="00E0164B" w:rsidRPr="006C05F7" w:rsidRDefault="00CC4402" w:rsidP="00E0164B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β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MS</m:t>
                  </m:r>
                </m:e>
                <m:sub>
                  <m:r>
                    <w:rPr>
                      <w:rFonts w:ascii="Cambria Math" w:hAnsi="Cambria Math"/>
                    </w:rPr>
                    <m:t>Blocks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MS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102292.395-73130.148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=9720.747</m:t>
          </m:r>
        </m:oMath>
      </m:oMathPara>
    </w:p>
    <w:p w:rsidR="007F72C2" w:rsidRDefault="00E0164B">
      <w:r>
        <w:rPr>
          <w:noProof/>
        </w:rPr>
        <w:drawing>
          <wp:inline distT="0" distB="0" distL="0" distR="0">
            <wp:extent cx="3724275" cy="31623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46A8" w:rsidRDefault="001746A8">
      <w:pPr>
        <w:rPr>
          <w:b/>
        </w:rPr>
      </w:pPr>
      <w:r w:rsidRPr="001746A8">
        <w:rPr>
          <w:b/>
        </w:rPr>
        <w:t>SAS Code</w:t>
      </w:r>
    </w:p>
    <w:p w:rsidR="001746A8" w:rsidRPr="001746A8" w:rsidRDefault="001746A8" w:rsidP="001746A8">
      <w:pPr>
        <w:pStyle w:val="NoSpacing"/>
        <w:rPr>
          <w:b/>
        </w:rPr>
      </w:pPr>
      <w:r>
        <w:rPr>
          <w:b/>
        </w:rPr>
        <w:t>4.12</w:t>
      </w:r>
      <w:r w:rsidR="004D177A">
        <w:rPr>
          <w:b/>
        </w:rPr>
        <w:t>/4.28</w:t>
      </w:r>
    </w:p>
    <w:p w:rsidR="001746A8" w:rsidRDefault="001746A8" w:rsidP="001746A8">
      <w:pPr>
        <w:pStyle w:val="NoSpacing"/>
      </w:pPr>
      <w:r>
        <w:t>data montgomery412;</w:t>
      </w:r>
    </w:p>
    <w:p w:rsidR="001746A8" w:rsidRDefault="001746A8" w:rsidP="001746A8">
      <w:pPr>
        <w:pStyle w:val="NoSpacing"/>
      </w:pPr>
      <w:r>
        <w:t>input treatment observation y @@;</w:t>
      </w:r>
    </w:p>
    <w:p w:rsidR="001746A8" w:rsidRDefault="001746A8" w:rsidP="001746A8">
      <w:pPr>
        <w:pStyle w:val="NoSpacing"/>
      </w:pPr>
      <w:r>
        <w:t>cards;</w:t>
      </w:r>
    </w:p>
    <w:p w:rsidR="001746A8" w:rsidRDefault="001746A8" w:rsidP="001746A8">
      <w:pPr>
        <w:pStyle w:val="NoSpacing"/>
      </w:pPr>
      <w:r>
        <w:t>1 1 334.5 1 2 31.6 1 3 701 1 4 41.2 1 5 61.2 1 6 69.6 1 7 67.5 1 8 66.6 1 9 120.7 1 10 881.9</w:t>
      </w:r>
    </w:p>
    <w:p w:rsidR="001746A8" w:rsidRDefault="001746A8" w:rsidP="001746A8">
      <w:pPr>
        <w:pStyle w:val="NoSpacing"/>
      </w:pPr>
      <w:r>
        <w:t>2 1 919.4 2 2 404.2 2 3 1024.8 2 4 54.1 2 5 62.8 2 6 671.6 2 7 882.1 2 8 354.2 2 9 321.9 2 10 91.1</w:t>
      </w:r>
    </w:p>
    <w:p w:rsidR="001746A8" w:rsidRDefault="001746A8" w:rsidP="001746A8">
      <w:pPr>
        <w:pStyle w:val="NoSpacing"/>
      </w:pPr>
      <w:r>
        <w:t>3 1 108.4 3 2 26.1 3 3 240.8 3 4 191.1 3 5 69.7 3 6 242.8 3 7 62.7 3 8 396.9 3 9 23.6 3 10 290.4</w:t>
      </w:r>
    </w:p>
    <w:p w:rsidR="001746A8" w:rsidRDefault="001746A8" w:rsidP="001746A8">
      <w:pPr>
        <w:pStyle w:val="NoSpacing"/>
      </w:pPr>
      <w:r>
        <w:t>;</w:t>
      </w:r>
    </w:p>
    <w:p w:rsidR="001746A8" w:rsidRDefault="001746A8" w:rsidP="001746A8">
      <w:pPr>
        <w:pStyle w:val="NoSpacing"/>
      </w:pPr>
      <w:r>
        <w:t>run;</w:t>
      </w:r>
    </w:p>
    <w:p w:rsidR="001746A8" w:rsidRDefault="001746A8" w:rsidP="001746A8">
      <w:pPr>
        <w:pStyle w:val="NoSpacing"/>
      </w:pPr>
    </w:p>
    <w:p w:rsidR="001746A8" w:rsidRDefault="001746A8" w:rsidP="001746A8">
      <w:pPr>
        <w:pStyle w:val="NoSpacing"/>
      </w:pPr>
      <w:r>
        <w:t>/*ANOVA Analysis*/</w:t>
      </w:r>
    </w:p>
    <w:p w:rsidR="001746A8" w:rsidRDefault="001746A8" w:rsidP="001746A8">
      <w:pPr>
        <w:pStyle w:val="NoSpacing"/>
      </w:pPr>
      <w:r>
        <w:t>proc glm data=montgomery412;</w:t>
      </w:r>
    </w:p>
    <w:p w:rsidR="001746A8" w:rsidRDefault="001746A8" w:rsidP="001746A8">
      <w:pPr>
        <w:pStyle w:val="NoSpacing"/>
      </w:pPr>
      <w:r>
        <w:t>class treatment observation;</w:t>
      </w:r>
    </w:p>
    <w:p w:rsidR="001746A8" w:rsidRDefault="001746A8" w:rsidP="001746A8">
      <w:pPr>
        <w:pStyle w:val="NoSpacing"/>
      </w:pPr>
      <w:r>
        <w:t>model y = treatment observation;</w:t>
      </w:r>
    </w:p>
    <w:p w:rsidR="001746A8" w:rsidRDefault="001746A8" w:rsidP="001746A8">
      <w:pPr>
        <w:pStyle w:val="NoSpacing"/>
      </w:pPr>
      <w:r>
        <w:t>output out=mont412 r=resids p=pred;</w:t>
      </w:r>
    </w:p>
    <w:p w:rsidR="001746A8" w:rsidRDefault="001746A8" w:rsidP="001746A8">
      <w:pPr>
        <w:pStyle w:val="NoSpacing"/>
      </w:pPr>
      <w:r>
        <w:t>run;</w:t>
      </w:r>
    </w:p>
    <w:p w:rsidR="001746A8" w:rsidRDefault="001746A8" w:rsidP="001746A8">
      <w:pPr>
        <w:pStyle w:val="NoSpacing"/>
      </w:pPr>
    </w:p>
    <w:p w:rsidR="001746A8" w:rsidRDefault="001746A8" w:rsidP="001746A8">
      <w:pPr>
        <w:pStyle w:val="NoSpacing"/>
      </w:pPr>
      <w:r>
        <w:t>/*Normality checking*/</w:t>
      </w:r>
    </w:p>
    <w:p w:rsidR="001746A8" w:rsidRDefault="001746A8" w:rsidP="001746A8">
      <w:pPr>
        <w:pStyle w:val="NoSpacing"/>
      </w:pPr>
      <w:r>
        <w:t>proc univariate data=mont412 normal;</w:t>
      </w:r>
    </w:p>
    <w:p w:rsidR="001746A8" w:rsidRDefault="001746A8" w:rsidP="001746A8">
      <w:pPr>
        <w:pStyle w:val="NoSpacing"/>
      </w:pPr>
      <w:r>
        <w:t>var resids;</w:t>
      </w:r>
    </w:p>
    <w:p w:rsidR="001746A8" w:rsidRDefault="001746A8" w:rsidP="001746A8">
      <w:pPr>
        <w:pStyle w:val="NoSpacing"/>
      </w:pPr>
      <w:r>
        <w:t>qqplot resids / normal (L=1 mu=est sigma=est);</w:t>
      </w:r>
    </w:p>
    <w:p w:rsidR="001746A8" w:rsidRDefault="001746A8" w:rsidP="001746A8">
      <w:pPr>
        <w:pStyle w:val="NoSpacing"/>
      </w:pPr>
      <w:r>
        <w:t>run;</w:t>
      </w:r>
    </w:p>
    <w:p w:rsidR="001746A8" w:rsidRDefault="001746A8" w:rsidP="001746A8">
      <w:pPr>
        <w:pStyle w:val="NoSpacing"/>
      </w:pPr>
    </w:p>
    <w:p w:rsidR="001746A8" w:rsidRDefault="001746A8" w:rsidP="001746A8">
      <w:pPr>
        <w:pStyle w:val="NoSpacing"/>
      </w:pPr>
      <w:r>
        <w:lastRenderedPageBreak/>
        <w:t>/*taking the log of the data, then ANOVA analysis*/</w:t>
      </w:r>
    </w:p>
    <w:p w:rsidR="001746A8" w:rsidRDefault="001746A8" w:rsidP="001746A8">
      <w:pPr>
        <w:pStyle w:val="NoSpacing"/>
      </w:pPr>
      <w:r>
        <w:t>data logmontgomery412;</w:t>
      </w:r>
    </w:p>
    <w:p w:rsidR="001746A8" w:rsidRDefault="001746A8" w:rsidP="001746A8">
      <w:pPr>
        <w:pStyle w:val="NoSpacing"/>
      </w:pPr>
      <w:r>
        <w:t>set montgomery412;</w:t>
      </w:r>
    </w:p>
    <w:p w:rsidR="001746A8" w:rsidRDefault="001746A8" w:rsidP="001746A8">
      <w:pPr>
        <w:pStyle w:val="NoSpacing"/>
      </w:pPr>
      <w:r>
        <w:t>logy = log(y);</w:t>
      </w:r>
    </w:p>
    <w:p w:rsidR="001746A8" w:rsidRDefault="001746A8" w:rsidP="001746A8">
      <w:pPr>
        <w:pStyle w:val="NoSpacing"/>
      </w:pPr>
      <w:r>
        <w:t>run;</w:t>
      </w:r>
    </w:p>
    <w:p w:rsidR="001746A8" w:rsidRDefault="001746A8" w:rsidP="001746A8">
      <w:pPr>
        <w:pStyle w:val="NoSpacing"/>
      </w:pPr>
    </w:p>
    <w:p w:rsidR="001746A8" w:rsidRDefault="001746A8" w:rsidP="001746A8">
      <w:pPr>
        <w:pStyle w:val="NoSpacing"/>
      </w:pPr>
      <w:r>
        <w:t>proc glm data=logmontgomery412;</w:t>
      </w:r>
    </w:p>
    <w:p w:rsidR="001746A8" w:rsidRDefault="001746A8" w:rsidP="001746A8">
      <w:pPr>
        <w:pStyle w:val="NoSpacing"/>
      </w:pPr>
      <w:r>
        <w:t>class treatment observation;</w:t>
      </w:r>
    </w:p>
    <w:p w:rsidR="001746A8" w:rsidRDefault="001746A8" w:rsidP="001746A8">
      <w:pPr>
        <w:pStyle w:val="NoSpacing"/>
      </w:pPr>
      <w:r>
        <w:t>model logy = treatment observation;</w:t>
      </w:r>
    </w:p>
    <w:p w:rsidR="001746A8" w:rsidRDefault="001746A8" w:rsidP="001746A8">
      <w:pPr>
        <w:pStyle w:val="NoSpacing"/>
      </w:pPr>
      <w:r>
        <w:t>output out=logmont412 r=lresids p=lpred;</w:t>
      </w:r>
    </w:p>
    <w:p w:rsidR="001746A8" w:rsidRDefault="001746A8" w:rsidP="001746A8">
      <w:pPr>
        <w:pStyle w:val="NoSpacing"/>
      </w:pPr>
      <w:r>
        <w:t>run;</w:t>
      </w:r>
    </w:p>
    <w:p w:rsidR="001746A8" w:rsidRDefault="001746A8" w:rsidP="001746A8">
      <w:pPr>
        <w:pStyle w:val="NoSpacing"/>
      </w:pPr>
      <w:r>
        <w:t>/*Normality checking the log data*/</w:t>
      </w:r>
    </w:p>
    <w:p w:rsidR="001746A8" w:rsidRDefault="001746A8" w:rsidP="001746A8">
      <w:pPr>
        <w:pStyle w:val="NoSpacing"/>
      </w:pPr>
      <w:r>
        <w:t>proc univariate data=logmont412 normal;</w:t>
      </w:r>
    </w:p>
    <w:p w:rsidR="001746A8" w:rsidRDefault="001746A8" w:rsidP="001746A8">
      <w:pPr>
        <w:pStyle w:val="NoSpacing"/>
      </w:pPr>
      <w:r>
        <w:t>var lresids;</w:t>
      </w:r>
    </w:p>
    <w:p w:rsidR="001746A8" w:rsidRDefault="001746A8" w:rsidP="001746A8">
      <w:pPr>
        <w:pStyle w:val="NoSpacing"/>
      </w:pPr>
      <w:r>
        <w:t xml:space="preserve">qqplot lresids </w:t>
      </w:r>
      <w:r w:rsidR="00D72958">
        <w:t>/ normal (L=1 mu=est sigma=est)</w:t>
      </w:r>
    </w:p>
    <w:p w:rsidR="001746A8" w:rsidRPr="001746A8" w:rsidRDefault="001746A8" w:rsidP="001746A8">
      <w:pPr>
        <w:pStyle w:val="NoSpacing"/>
      </w:pPr>
      <w:r>
        <w:t>run;</w:t>
      </w:r>
    </w:p>
    <w:sectPr w:rsidR="001746A8" w:rsidRPr="001746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835"/>
    <w:rsid w:val="00046B7C"/>
    <w:rsid w:val="000E766D"/>
    <w:rsid w:val="001050CE"/>
    <w:rsid w:val="001746A8"/>
    <w:rsid w:val="001E714C"/>
    <w:rsid w:val="00201886"/>
    <w:rsid w:val="00243F5F"/>
    <w:rsid w:val="002D5B1C"/>
    <w:rsid w:val="003522A0"/>
    <w:rsid w:val="003A1DF0"/>
    <w:rsid w:val="003D6947"/>
    <w:rsid w:val="00486E79"/>
    <w:rsid w:val="004D177A"/>
    <w:rsid w:val="004D4177"/>
    <w:rsid w:val="00565835"/>
    <w:rsid w:val="005C3F12"/>
    <w:rsid w:val="006239E7"/>
    <w:rsid w:val="006405AE"/>
    <w:rsid w:val="00647C6C"/>
    <w:rsid w:val="006C05F7"/>
    <w:rsid w:val="006D541C"/>
    <w:rsid w:val="007F72C2"/>
    <w:rsid w:val="009C11E7"/>
    <w:rsid w:val="00A74D0E"/>
    <w:rsid w:val="00A968A0"/>
    <w:rsid w:val="00B02148"/>
    <w:rsid w:val="00B157D9"/>
    <w:rsid w:val="00B257A4"/>
    <w:rsid w:val="00B9560F"/>
    <w:rsid w:val="00CC4402"/>
    <w:rsid w:val="00D16C17"/>
    <w:rsid w:val="00D72958"/>
    <w:rsid w:val="00E0164B"/>
    <w:rsid w:val="00E93448"/>
    <w:rsid w:val="00ED4F3B"/>
    <w:rsid w:val="00F00FD9"/>
    <w:rsid w:val="00F80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B44CD2-618B-461F-B525-967B52847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58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1746A8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6C05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5</Pages>
  <Words>515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Caitlyn Hall</dc:creator>
  <cp:keywords/>
  <dc:description/>
  <cp:lastModifiedBy>Caitlyn Hall</cp:lastModifiedBy>
  <cp:revision>29</cp:revision>
  <dcterms:created xsi:type="dcterms:W3CDTF">2016-02-23T17:05:00Z</dcterms:created>
  <dcterms:modified xsi:type="dcterms:W3CDTF">2016-02-24T21:17:00Z</dcterms:modified>
</cp:coreProperties>
</file>