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results-vocabulary-lexis-advisor 使用说明</w:t>
      </w:r>
    </w:p>
    <w:p>
      <w:pPr>
        <w:jc w:val="center"/>
      </w:pPr>
      <w:r>
        <w:t>Results 写作诊断 Skill · 成员 D（学术词汇与搭配）</w:t>
      </w:r>
    </w:p>
    <w:p>
      <w:pPr>
        <w:pStyle w:val="Heading1"/>
      </w:pPr>
      <w:r>
        <w:rPr>
          <w:color w:val="1F3B63"/>
        </w:rPr>
        <w:t>一、这个 Skill 是做什么的</w:t>
      </w:r>
    </w:p>
    <w:p>
      <w:r>
        <w:rPr>
          <w:b w:val="0"/>
        </w:rPr>
        <w:t>results-vocabulary-lexis-advisor 是"英文心理学论文 Results 写作诊断"总 Skill 的第 4 个子 Skill（成员 D），在成员 A（结构）、B（统计格式）、C（时态语法）之后执行，负责检查 Results 部分的学术词汇与搭配质量。</w:t>
      </w:r>
    </w:p>
    <w:p>
      <w:r>
        <w:rPr>
          <w:b/>
        </w:rPr>
        <w:t>六个诊断子维度：</w:t>
      </w:r>
    </w:p>
    <w:p>
      <w:pPr>
        <w:pStyle w:val="ListNumber"/>
      </w:pPr>
      <w:r>
        <w:t>口语化表达：识别 a lot of / got better / very significant 等非学术语域用词；</w:t>
      </w:r>
    </w:p>
    <w:p>
      <w:pPr>
        <w:pStyle w:val="ListNumber"/>
      </w:pPr>
      <w:r>
        <w:t>学术动词：检查 show / reveal / indicate / demonstrate / suggest 等动词强度与证据类型是否匹配（禁用 prove）；</w:t>
      </w:r>
    </w:p>
    <w:p>
      <w:pPr>
        <w:pStyle w:val="ListNumber"/>
      </w:pPr>
      <w:r>
        <w:t>图表邀请语：检查 Figure / Table 引出句式是否规范、图号是否连续一致；</w:t>
      </w:r>
    </w:p>
    <w:p>
      <w:pPr>
        <w:pStyle w:val="ListNumber"/>
      </w:pPr>
      <w:r>
        <w:t>结果描述词：检查 significant / robust / consistent with 等限定词的精度；</w:t>
      </w:r>
    </w:p>
    <w:p>
      <w:pPr>
        <w:pStyle w:val="ListNumber"/>
      </w:pPr>
      <w:r>
        <w:t>术语一致性：检查核心构念、变量名、缩写是否全文统一；</w:t>
      </w:r>
    </w:p>
    <w:p>
      <w:pPr>
        <w:pStyle w:val="ListNumber"/>
      </w:pPr>
      <w:r>
        <w:t>搭配自然度：识别 do a difference / make an analysis 等中式英语搭配。</w:t>
      </w:r>
    </w:p>
    <w:p>
      <w:pPr>
        <w:pStyle w:val="Heading1"/>
      </w:pPr>
      <w:r>
        <w:rPr>
          <w:color w:val="1F3B63"/>
        </w:rPr>
        <w:t>二、本文件夹内容</w:t>
      </w:r>
    </w:p>
    <w:p>
      <w:pPr>
        <w:pStyle w:val="ListBullet"/>
      </w:pPr>
      <w:r>
        <w:t>SKILL.md：Skill 主文件，含触发条件、输入要求、诊断流程、评分方式与输出格式。</w:t>
      </w:r>
    </w:p>
    <w:p>
      <w:pPr>
        <w:pStyle w:val="ListBullet"/>
      </w:pPr>
      <w:r>
        <w:t>references/：诊断依据库——rubric.md（1–5 分评分标准）、checklist.md（逐项检查表）、examples/（从 8 篇经典论文提取的 40 条正例与问题例，按四个维度分文件存放）。</w:t>
      </w:r>
    </w:p>
    <w:p>
      <w:pPr>
        <w:pStyle w:val="ListBullet"/>
      </w:pPr>
      <w:r>
        <w:t>papers/：examples 语料来源的 8 篇心理学论文 PDF（按"作者 (年份) - 期刊"规范命名）。</w:t>
      </w:r>
    </w:p>
    <w:p>
      <w:pPr>
        <w:pStyle w:val="ListBullet"/>
      </w:pPr>
      <w:r>
        <w:t>测试输入_Method&amp;Result2-26.docx：一次真实测试的输入稿件（室内亲生命干预 × 认知功能 元分析的 Method &amp; Results 草稿）。</w:t>
      </w:r>
    </w:p>
    <w:p>
      <w:pPr>
        <w:pStyle w:val="ListBullet"/>
      </w:pPr>
      <w:r>
        <w:t>输出_Results词汇诊断报告.md：该次测试按 Skill 标准模板生成的诊断报告（评分 3/5，含问题清单、原文证据、example 对照、Before/After 建议与转介记录）。</w:t>
      </w:r>
    </w:p>
    <w:p>
      <w:pPr>
        <w:pStyle w:val="ListBullet"/>
      </w:pPr>
      <w:r>
        <w:t>输出_Results润色缩短稿.md：该次测试的缩短润色成果（Results 由约 950 词压缩至 560 词，统计数值原样保留）。</w:t>
      </w:r>
    </w:p>
    <w:p>
      <w:pPr>
        <w:pStyle w:val="ListBullet"/>
      </w:pPr>
      <w:r>
        <w:t>使用说明.docx：本文件。</w:t>
      </w:r>
    </w:p>
    <w:p>
      <w:pPr>
        <w:pStyle w:val="Heading1"/>
      </w:pPr>
      <w:r>
        <w:rPr>
          <w:color w:val="1F3B63"/>
        </w:rPr>
        <w:t>三、如何使用</w:t>
      </w:r>
    </w:p>
    <w:p>
      <w:r>
        <w:rPr>
          <w:b/>
        </w:rPr>
        <w:t>方式一：在 WorkBuddy 中直接调用</w:t>
      </w:r>
    </w:p>
    <w:p>
      <w:r>
        <w:rPr>
          <w:b w:val="0"/>
        </w:rPr>
        <w:t>该 Skill 已安装于用户级目录（C:\Users\10941\.workbuddy\skills\results-vocabulary-lexis-advisor）。在对话中粘贴你的英文 Results 草稿，并说明研究领域，即可触发诊断。</w:t>
      </w:r>
    </w:p>
    <w:p>
      <w:r>
        <w:rPr>
          <w:b/>
        </w:rPr>
        <w:t>方式二：手动按 checklist 使用</w:t>
      </w:r>
    </w:p>
    <w:p>
      <w:r>
        <w:rPr>
          <w:b w:val="0"/>
        </w:rPr>
        <w:t>打开 references/checklist.md 逐项自查；遇到问题时翻 references/examples/ 中对应维度的正例，按其中的 Reusable Rule 修改。</w:t>
      </w:r>
    </w:p>
    <w:p>
      <w:r>
        <w:rPr>
          <w:b/>
        </w:rPr>
        <w:t>需要提供的输入：</w:t>
      </w:r>
    </w:p>
    <w:p>
      <w:pPr>
        <w:pStyle w:val="ListNumber"/>
      </w:pPr>
      <w:r>
        <w:t>Results 草稿（英文，必需）；</w:t>
      </w:r>
    </w:p>
    <w:p>
      <w:pPr>
        <w:pStyle w:val="ListNumber"/>
      </w:pPr>
      <w:r>
        <w:t>研究领域或论文主题（必需，用于判断术语惯例）；</w:t>
      </w:r>
    </w:p>
    <w:p>
      <w:pPr>
        <w:pStyle w:val="ListNumber"/>
      </w:pPr>
      <w:r>
        <w:t>研究假设、图表清单、目标期刊格式（建议提供，默认 APA 第 7 版）。</w:t>
      </w:r>
    </w:p>
    <w:p>
      <w:r>
        <w:rPr>
          <w:b/>
        </w:rPr>
        <w:t>你将得到的输出（固定结构）：</w:t>
      </w:r>
    </w:p>
    <w:p>
      <w:pPr>
        <w:pStyle w:val="ListNumber"/>
      </w:pPr>
      <w:r>
        <w:t>Dimension Score：1–5 分评分及理由；</w:t>
      </w:r>
    </w:p>
    <w:p>
      <w:pPr>
        <w:pStyle w:val="ListNumber"/>
      </w:pPr>
      <w:r>
        <w:t>Key Problems：按严重程度排序的问题清单；</w:t>
      </w:r>
    </w:p>
    <w:p>
      <w:pPr>
        <w:pStyle w:val="ListNumber"/>
      </w:pPr>
      <w:r>
        <w:t>Evidence from Draft：逐条引用原文句子定位问题；</w:t>
      </w:r>
    </w:p>
    <w:p>
      <w:pPr>
        <w:pStyle w:val="ListNumber"/>
      </w:pPr>
      <w:r>
        <w:t>Example-based Comparison：与 8 篇经典论文正例的对照（标注 Example ID）；</w:t>
      </w:r>
    </w:p>
    <w:p>
      <w:pPr>
        <w:pStyle w:val="ListNumber"/>
      </w:pPr>
      <w:r>
        <w:t>Revision Suggestions：每条问题给出 Before / After 修改示例；</w:t>
      </w:r>
    </w:p>
    <w:p>
      <w:pPr>
        <w:pStyle w:val="ListNumber"/>
      </w:pPr>
      <w:r>
        <w:t>Priority Level：高 / 中 / 低修改优先级；</w:t>
      </w:r>
    </w:p>
    <w:p>
      <w:pPr>
        <w:pStyle w:val="ListNumber"/>
      </w:pPr>
      <w:r>
        <w:t>Handoff Notes：需转介其他成员（结构/统计/时态/衔接/claim 强度）的问题。</w:t>
      </w:r>
    </w:p>
    <w:p>
      <w:pPr>
        <w:pStyle w:val="Heading1"/>
      </w:pPr>
      <w:r>
        <w:rPr>
          <w:color w:val="1F3B63"/>
        </w:rPr>
        <w:t>四、评分标准速览</w:t>
      </w:r>
    </w:p>
    <w:p>
      <w:pPr>
        <w:pStyle w:val="ListBullet"/>
      </w:pPr>
      <w:r>
        <w:t>5 分：词汇全面学术化，动词强度与证据匹配，图表邀请语规范，术语全文一致，无需修改。</w:t>
      </w:r>
    </w:p>
    <w:p>
      <w:pPr>
        <w:pStyle w:val="ListBullet"/>
      </w:pPr>
      <w:r>
        <w:t>4 分：整体规范，个别动词或搭配可微调。</w:t>
      </w:r>
    </w:p>
    <w:p>
      <w:pPr>
        <w:pStyle w:val="ListBullet"/>
      </w:pPr>
      <w:r>
        <w:t>3 分：基本可读，但有多处口语化、术语变体或图表引用混乱，需中等程度修改。</w:t>
      </w:r>
    </w:p>
    <w:p>
      <w:pPr>
        <w:pStyle w:val="ListBullet"/>
      </w:pPr>
      <w:r>
        <w:t>2 分：口语化严重、动词强度频繁失配、术语漂移影响理解，需大幅修改。</w:t>
      </w:r>
    </w:p>
    <w:p>
      <w:pPr>
        <w:pStyle w:val="ListBullet"/>
      </w:pPr>
      <w:r>
        <w:t>1 分：词汇层面完全不符合学术 Results 要求，需重写。</w:t>
      </w:r>
    </w:p>
    <w:p>
      <w:pPr>
        <w:pStyle w:val="Heading1"/>
      </w:pPr>
      <w:r>
        <w:rPr>
          <w:color w:val="1F3B63"/>
        </w:rPr>
        <w:t>五、8 篇参考论文（examples 语料来源）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作者 (年份)</w:t>
            </w:r>
          </w:p>
        </w:tc>
        <w:tc>
          <w:tcPr>
            <w:tcW w:type="dxa" w:w="2880"/>
          </w:tcPr>
          <w:p>
            <w:r>
              <w:t>期刊</w:t>
            </w:r>
          </w:p>
        </w:tc>
        <w:tc>
          <w:tcPr>
            <w:tcW w:type="dxa" w:w="2880"/>
          </w:tcPr>
          <w:p>
            <w:r>
              <w:t>DOI 链接</w:t>
            </w:r>
          </w:p>
        </w:tc>
      </w:tr>
      <w:tr>
        <w:tc>
          <w:tcPr>
            <w:tcW w:type="dxa" w:w="2880"/>
          </w:tcPr>
          <w:p>
            <w:r>
              <w:t>Posner &amp; Petersen (1990)</w:t>
            </w:r>
          </w:p>
        </w:tc>
        <w:tc>
          <w:tcPr>
            <w:tcW w:type="dxa" w:w="2880"/>
          </w:tcPr>
          <w:p>
            <w:r>
              <w:t>Annual Review of Neuroscience, 13, 25–42</w:t>
            </w:r>
          </w:p>
        </w:tc>
        <w:tc>
          <w:tcPr>
            <w:tcW w:type="dxa" w:w="2880"/>
          </w:tcPr>
          <w:p>
            <w:r>
              <w:t>https://doi.org/10.1146/annurev.ne.13.030190.000325</w:t>
            </w:r>
          </w:p>
        </w:tc>
      </w:tr>
      <w:tr>
        <w:tc>
          <w:tcPr>
            <w:tcW w:type="dxa" w:w="2880"/>
          </w:tcPr>
          <w:p>
            <w:r>
              <w:t>Johnson et al. (2021)</w:t>
            </w:r>
          </w:p>
        </w:tc>
        <w:tc>
          <w:tcPr>
            <w:tcW w:type="dxa" w:w="2880"/>
          </w:tcPr>
          <w:p>
            <w:r>
              <w:t>Journal of Environmental Psychology, 78, 101709</w:t>
            </w:r>
          </w:p>
        </w:tc>
        <w:tc>
          <w:tcPr>
            <w:tcW w:type="dxa" w:w="2880"/>
          </w:tcPr>
          <w:p>
            <w:r>
              <w:t>https://doi.org/10.1016/j.jenvp.2021.101709</w:t>
            </w:r>
          </w:p>
        </w:tc>
      </w:tr>
      <w:tr>
        <w:tc>
          <w:tcPr>
            <w:tcW w:type="dxa" w:w="2880"/>
          </w:tcPr>
          <w:p>
            <w:r>
              <w:t>Harvey (2019)</w:t>
            </w:r>
          </w:p>
        </w:tc>
        <w:tc>
          <w:tcPr>
            <w:tcW w:type="dxa" w:w="2880"/>
          </w:tcPr>
          <w:p>
            <w:r>
              <w:t>Dialogues in Clinical Neuroscience, 21(3), 227–237</w:t>
            </w:r>
          </w:p>
        </w:tc>
        <w:tc>
          <w:tcPr>
            <w:tcW w:type="dxa" w:w="2880"/>
          </w:tcPr>
          <w:p>
            <w:r>
              <w:t>https://doi.org/10.31887/DCNS.2019.21.3/pharvey</w:t>
            </w:r>
          </w:p>
        </w:tc>
      </w:tr>
      <w:tr>
        <w:tc>
          <w:tcPr>
            <w:tcW w:type="dxa" w:w="2880"/>
          </w:tcPr>
          <w:p>
            <w:r>
              <w:t>Toba et al. (2024)</w:t>
            </w:r>
          </w:p>
        </w:tc>
        <w:tc>
          <w:tcPr>
            <w:tcW w:type="dxa" w:w="2880"/>
          </w:tcPr>
          <w:p>
            <w:r>
              <w:t>Neuropsychology Review, 34, 418–454</w:t>
            </w:r>
          </w:p>
        </w:tc>
        <w:tc>
          <w:tcPr>
            <w:tcW w:type="dxa" w:w="2880"/>
          </w:tcPr>
          <w:p>
            <w:r>
              <w:t>https://doi.org/10.1007/s11065-023-09577-4</w:t>
            </w:r>
          </w:p>
        </w:tc>
      </w:tr>
      <w:tr>
        <w:tc>
          <w:tcPr>
            <w:tcW w:type="dxa" w:w="2880"/>
          </w:tcPr>
          <w:p>
            <w:r>
              <w:t>Song et al. (2022)</w:t>
            </w:r>
          </w:p>
        </w:tc>
        <w:tc>
          <w:tcPr>
            <w:tcW w:type="dxa" w:w="2880"/>
          </w:tcPr>
          <w:p>
            <w:r>
              <w:t>IJERPH, 19, 14506</w:t>
            </w:r>
          </w:p>
        </w:tc>
        <w:tc>
          <w:tcPr>
            <w:tcW w:type="dxa" w:w="2880"/>
          </w:tcPr>
          <w:p>
            <w:r>
              <w:t>https://doi.org/10.3390/ijerph192114506</w:t>
            </w:r>
          </w:p>
        </w:tc>
      </w:tr>
      <w:tr>
        <w:tc>
          <w:tcPr>
            <w:tcW w:type="dxa" w:w="2880"/>
          </w:tcPr>
          <w:p>
            <w:r>
              <w:t>Chen et al. (2020)</w:t>
            </w:r>
          </w:p>
        </w:tc>
        <w:tc>
          <w:tcPr>
            <w:tcW w:type="dxa" w:w="2880"/>
          </w:tcPr>
          <w:p>
            <w:r>
              <w:t>Journal of Environmental Psychology, 101406</w:t>
            </w:r>
          </w:p>
        </w:tc>
        <w:tc>
          <w:tcPr>
            <w:tcW w:type="dxa" w:w="2880"/>
          </w:tcPr>
          <w:p>
            <w:r>
              <w:t>https://doi.org/10.1016/j.jenvp.2020.101406</w:t>
            </w:r>
          </w:p>
        </w:tc>
      </w:tr>
      <w:tr>
        <w:tc>
          <w:tcPr>
            <w:tcW w:type="dxa" w:w="2880"/>
          </w:tcPr>
          <w:p>
            <w:r>
              <w:t>Rhee et al. (2023)</w:t>
            </w:r>
          </w:p>
        </w:tc>
        <w:tc>
          <w:tcPr>
            <w:tcW w:type="dxa" w:w="2880"/>
          </w:tcPr>
          <w:p>
            <w:r>
              <w:t>Scientific Reports</w:t>
            </w:r>
          </w:p>
        </w:tc>
        <w:tc>
          <w:tcPr>
            <w:tcW w:type="dxa" w:w="2880"/>
          </w:tcPr>
          <w:p>
            <w:r>
              <w:t>https://doi.org/10.1038/s41598-023-40408-x</w:t>
            </w:r>
          </w:p>
        </w:tc>
      </w:tr>
      <w:tr>
        <w:tc>
          <w:tcPr>
            <w:tcW w:type="dxa" w:w="2880"/>
          </w:tcPr>
          <w:p>
            <w:r>
              <w:t>Wang, Lin &amp; Lin (2025)</w:t>
            </w:r>
          </w:p>
        </w:tc>
        <w:tc>
          <w:tcPr>
            <w:tcW w:type="dxa" w:w="2880"/>
          </w:tcPr>
          <w:p>
            <w:r>
              <w:t>Frontiers in Forests and Global Change, 8:1651800</w:t>
            </w:r>
          </w:p>
        </w:tc>
        <w:tc>
          <w:tcPr>
            <w:tcW w:type="dxa" w:w="2880"/>
          </w:tcPr>
          <w:p>
            <w:r>
              <w:t>https://doi.org/10.3389/ffgc.2025.1651800</w:t>
            </w:r>
          </w:p>
        </w:tc>
      </w:tr>
    </w:tbl>
    <w:p>
      <w:pPr>
        <w:pStyle w:val="Heading1"/>
      </w:pPr>
      <w:r>
        <w:rPr>
          <w:color w:val="1F3B63"/>
        </w:rPr>
        <w:t>六、边界与注意事项</w:t>
      </w:r>
    </w:p>
    <w:p>
      <w:pPr>
        <w:pStyle w:val="ListBullet"/>
      </w:pPr>
      <w:r>
        <w:t>仅诊断 Results 部分；Introduction / Method / Discussion 不在范围内。</w:t>
      </w:r>
    </w:p>
    <w:p>
      <w:pPr>
        <w:pStyle w:val="ListBullet"/>
      </w:pPr>
      <w:r>
        <w:t>不验证统计量数值正确性（成员 B 职责）；不检查时态语法（成员 C）；不判断 claim 强度是否充分（成员 F），只做标记并转介。</w:t>
      </w:r>
    </w:p>
    <w:p>
      <w:pPr>
        <w:pStyle w:val="ListBullet"/>
      </w:pPr>
      <w:r>
        <w:t>examples 语料偏注意网络、认知评估与环境心理学方向；高度专业化的其他子领域建议补充领域语料。</w:t>
      </w:r>
    </w:p>
    <w:p>
      <w:pPr>
        <w:pStyle w:val="ListBullet"/>
      </w:pPr>
      <w:r>
        <w:t>诊断结果为写作建议，最终修改由作者决定。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