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t xml:space="preserve">AI Awakening·Responsibility (Safety Volume)</w:t>
      </w:r>
    </w:p>
    <w:p>
      <w:pPr>
        <w:pStyle w:val="Subtitle"/>
        <w:keepNext/>
      </w:pPr>
      <w:r>
        <w:t xml:space="preserve">The Constraint Layer’s Five Principles and the Irreversible-Operation Prohibition List</w:t>
      </w:r>
    </w:p>
    <w:tbl>
      <w:tblPr>
        <w:tblStyle w:val="Table"/>
        <w:tblLook w:firstRow="1" w:lastRow="0" w:firstColumn="0" w:lastColumn="0" w:noHBand="0" w:noVBand="0" w:val="0020"/>
        <w:tblW w:w="8732" w:type="dxa"/>
        <w:tblLayout w:type="fixed"/>
      </w:tblPr>
      <w:tblGrid>
        <w:gridCol w:w="2183"/>
        <w:gridCol w:w="6549"/>
      </w:tblGrid>
      <w:tr>
        <w:trPr>
          <w:tblHeader w:val="on"/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Item</w:t>
            </w:r>
          </w:p>
        </w:tc>
        <w:tc>
          <w:tcPr>
            <w:tcW w:w="6549" w:type="dxa"/>
            <w:vAlign w:val="center"/>
          </w:tcPr>
          <w:p>
            <w:pPr>
              <w:pStyle w:val="Compact"/>
            </w:pPr>
            <w:r>
              <w:t xml:space="preserve">Content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Version</w:t>
            </w:r>
          </w:p>
        </w:tc>
        <w:tc>
          <w:tcPr>
            <w:tcW w:w="6549" w:type="dxa"/>
            <w:vAlign w:val="center"/>
          </w:tcPr>
          <w:p>
            <w:pPr>
              <w:pStyle w:val="Compact"/>
            </w:pPr>
            <w:r>
              <w:t xml:space="preserve">v1.0 (final)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6549" w:type="dxa"/>
            <w:vAlign w:val="center"/>
          </w:tcPr>
          <w:p>
            <w:pPr>
              <w:pStyle w:val="Compact"/>
            </w:pPr>
            <w:r>
              <w:t xml:space="preserve">2026-10-15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Series position</w:t>
            </w:r>
          </w:p>
        </w:tc>
        <w:tc>
          <w:tcPr>
            <w:tcW w:w="6549" w:type="dxa"/>
            <w:vAlign w:val="center"/>
          </w:tcPr>
          <w:p>
            <w:pPr>
              <w:pStyle w:val="Compact"/>
            </w:pPr>
            <w:r>
              <w:rPr>
                <w:i/>
                <w:iCs/>
              </w:rPr>
              <w:t xml:space="preserve">AI Awakening·Responsibility</w:t>
            </w:r>
            <w:r>
              <w:t xml:space="preserve"> </w:t>
            </w:r>
            <w:r>
              <w:t xml:space="preserve">series · package file 07 (02 Main Thesis → 03 Energy Volume → 04 External Volume → 05 Internal Volume → 06 Awakening Volume →</w:t>
            </w:r>
            <w:r>
              <w:t xml:space="preserve"> </w:t>
            </w:r>
            <w:r>
              <w:rPr>
                <w:b/>
                <w:bCs/>
              </w:rPr>
              <w:t xml:space="preserve">Safety Volume</w:t>
            </w:r>
            <w:r>
              <w:t xml:space="preserve">); the</w:t>
            </w:r>
            <w:r>
              <w:t xml:space="preserve"> </w:t>
            </w:r>
            <w:r>
              <w:rPr>
                <w:b/>
                <w:bCs/>
              </w:rPr>
              <w:t xml:space="preserve">shared constraint layer of the Internal Volume and the External Volume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Intellectual lineage</w:t>
            </w:r>
          </w:p>
        </w:tc>
        <w:tc>
          <w:tcPr>
            <w:tcW w:w="6549" w:type="dxa"/>
            <w:vAlign w:val="center"/>
          </w:tcPr>
          <w:p>
            <w:pPr>
              <w:pStyle w:val="Compact"/>
            </w:pPr>
            <w:r>
              <w:t xml:space="preserve">Inherits the Main Thesis’s Chapter 7 (</w:t>
            </w:r>
            <w:r>
              <w:t xml:space="preserve">“these five principles are simultaneously the skeleton of the</w:t>
            </w:r>
            <w:r>
              <w:t xml:space="preserve"> </w:t>
            </w:r>
            <w:r>
              <w:rPr>
                <w:i/>
                <w:iCs/>
              </w:rPr>
              <w:t xml:space="preserve">Safety Volume</w:t>
            </w:r>
            <w:r>
              <w:t xml:space="preserve">”</w:t>
            </w:r>
            <w:r>
              <w:t xml:space="preserve">); gathers and generalizes the External Volume’s Chapter 5 gating, the Energy Volume’s 4.4 four boundaries, and the Awakening Volume’s three-layer anchors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Authors</w:t>
            </w:r>
          </w:p>
        </w:tc>
        <w:tc>
          <w:tcPr>
            <w:tcW w:w="6549" w:type="dxa"/>
            <w:vAlign w:val="center"/>
          </w:tcPr>
          <w:p>
            <w:pPr>
              <w:pStyle w:val="Compact"/>
            </w:pPr>
            <w:r>
              <w:t xml:space="preserve">Li Shunran (conception) · Peter (AI-collaborative assembly); the conception and framework were proposed by the human author, with retrieval, organization, and drafting completed by the AI and reviewed by the human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License</w:t>
            </w:r>
          </w:p>
        </w:tc>
        <w:tc>
          <w:tcPr>
            <w:tcW w:w="6549" w:type="dxa"/>
            <w:vAlign w:val="center"/>
          </w:tcPr>
          <w:p>
            <w:pPr>
              <w:pStyle w:val="Compact"/>
            </w:pPr>
            <w:r>
              <w:t xml:space="preserve">CC BY 4.0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Prerequisites</w:t>
            </w:r>
          </w:p>
        </w:tc>
        <w:tc>
          <w:tcPr>
            <w:tcW w:w="6549" w:type="dxa"/>
            <w:vAlign w:val="center"/>
          </w:tcPr>
          <w:p>
            <w:pPr>
              <w:pStyle w:val="Compact"/>
            </w:pPr>
            <w:r>
              <w:t xml:space="preserve">All volumes of the series; especially the Main Thesis’s Chapter 7 and the Awakening Volume’s Chapter 5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Confidence-tier conventions</w:t>
      </w:r>
      <w:r>
        <w:t xml:space="preserve"> </w:t>
      </w:r>
      <w:r>
        <w:t xml:space="preserve">(uniform across the series):</w:t>
      </w:r>
      <w:r>
        <w:t xml:space="preserve"> </w:t>
      </w:r>
      <w:r>
        <w:rPr>
          <w:b/>
          <w:bCs/>
        </w:rPr>
        <w:t xml:space="preserve">L1</w:t>
      </w:r>
      <w:r>
        <w:t xml:space="preserve"> </w:t>
      </w:r>
      <w:r>
        <w:t xml:space="preserve">established scientific evidence / historical record;</w:t>
      </w:r>
      <w:r>
        <w:t xml:space="preserve"> </w:t>
      </w:r>
      <w:r>
        <w:rPr>
          <w:b/>
          <w:bCs/>
        </w:rPr>
        <w:t xml:space="preserve">L2</w:t>
      </w:r>
      <w:r>
        <w:t xml:space="preserve"> </w:t>
      </w:r>
      <w:r>
        <w:t xml:space="preserve">established programs / laws and treaties / authoritative reports;</w:t>
      </w:r>
      <w:r>
        <w:t xml:space="preserve"> </w:t>
      </w:r>
      <w:r>
        <w:rPr>
          <w:b/>
          <w:bCs/>
        </w:rPr>
        <w:t xml:space="preserve">L3</w:t>
      </w:r>
      <w:r>
        <w:t xml:space="preserve"> </w:t>
      </w:r>
      <w:r>
        <w:t xml:space="preserve">conceptual deduction (original to this series, explicitly marked</w:t>
      </w:r>
      <w:r>
        <w:t xml:space="preserve"> </w:t>
      </w:r>
      <w:r>
        <w:t xml:space="preserve">“this is a conjecture”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Statement of expressive boundaries</w:t>
      </w:r>
      <w:r>
        <w:t xml:space="preserve">: this volume is a governance-framework document. It does not address any concrete system implementation details; regarding existing regulations it performs only a governance-principle-level comparative audit and does not constitute compliance advice.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1"/>
        <w:keepNext/>
      </w:pPr>
      <w:r>
        <w:t xml:space="preserve">Abstract</w:t>
      </w:r>
    </w:p>
    <w:p>
      <w:pPr>
        <w:pStyle w:val="FirstParagraph"/>
      </w:pPr>
      <w:r>
        <w:t xml:space="preserve">This volume is the constraint layer of the</w:t>
      </w:r>
      <w:r>
        <w:t xml:space="preserve"> </w:t>
      </w:r>
      <w:r>
        <w:rPr>
          <w:i/>
          <w:iCs/>
        </w:rPr>
        <w:t xml:space="preserve">AI Awakening·Responsibility</w:t>
      </w:r>
      <w:r>
        <w:t xml:space="preserve"> </w:t>
      </w:r>
      <w:r>
        <w:t xml:space="preserve">series. The thesis of the whole series is that all three responsibilities (micro-level universal benefit, meso-level internal entropy reduction, macro-level external boundary expansion) must operate inside the constraint layer —</w:t>
      </w:r>
      <w:r>
        <w:t xml:space="preserve"> </w:t>
      </w:r>
      <w:r>
        <w:rPr>
          <w:b/>
          <w:bCs/>
        </w:rPr>
        <w:t xml:space="preserve">responsibility without constraints is not responsibility, it is rhetoric</w:t>
      </w:r>
      <w:r>
        <w:t xml:space="preserve"> </w:t>
      </w:r>
      <w:r>
        <w:t xml:space="preserve">(Main Thesis). This volume expands the constraint layer’s five principles from the Main Thesis’s Chapter 7 into an operable governance framework: the</w:t>
      </w:r>
      <w:r>
        <w:t xml:space="preserve"> </w:t>
      </w:r>
      <w:r>
        <w:rPr>
          <w:b/>
          <w:bCs/>
        </w:rPr>
        <w:t xml:space="preserve">Principle of Human Sovereignty</w:t>
      </w:r>
      <w:r>
        <w:t xml:space="preserve"> </w:t>
      </w:r>
      <w:r>
        <w:t xml:space="preserve">(the discretionary power over the fate of civilization is non-transferable; the</w:t>
      </w:r>
      <w:r>
        <w:t xml:space="preserve"> </w:t>
      </w:r>
      <w:r>
        <w:t xml:space="preserve">“Arkhipov Node”</w:t>
      </w:r>
      <w:r>
        <w:t xml:space="preserve"> </w:t>
      </w:r>
      <w:r>
        <w:t xml:space="preserve">institutionalized), the</w:t>
      </w:r>
      <w:r>
        <w:t xml:space="preserve"> </w:t>
      </w:r>
      <w:r>
        <w:rPr>
          <w:b/>
          <w:bCs/>
        </w:rPr>
        <w:t xml:space="preserve">Principle of Goal Alignment</w:t>
      </w:r>
      <w:r>
        <w:t xml:space="preserve"> </w:t>
      </w:r>
      <w:r>
        <w:t xml:space="preserve">(anchoring precedes locking; a three-layer structure of continuity anchor / corrigibility anchor / transparency anchor; alignment-faking evidence proves that transparency must be structural rather than promissory), the</w:t>
      </w:r>
      <w:r>
        <w:t xml:space="preserve"> </w:t>
      </w:r>
      <w:r>
        <w:rPr>
          <w:b/>
          <w:bCs/>
        </w:rPr>
        <w:t xml:space="preserve">Principle of Red-Line Grading</w:t>
      </w:r>
      <w:r>
        <w:t xml:space="preserve"> </w:t>
      </w:r>
      <w:r>
        <w:t xml:space="preserve">(authorization by reversibility across three tiers: reversible operations may be automated, low-reversibility operations require multi-party co-review, irreversible operations require civilization-level consensus), the</w:t>
      </w:r>
      <w:r>
        <w:t xml:space="preserve"> </w:t>
      </w:r>
      <w:r>
        <w:rPr>
          <w:b/>
          <w:bCs/>
        </w:rPr>
        <w:t xml:space="preserve">Principle of Human in the Loop</w:t>
      </w:r>
      <w:r>
        <w:t xml:space="preserve"> </w:t>
      </w:r>
      <w:r>
        <w:t xml:space="preserve">(three loop forms differentiated by response window; final launch authority is never transferred), and the</w:t>
      </w:r>
      <w:r>
        <w:t xml:space="preserve"> </w:t>
      </w:r>
      <w:r>
        <w:rPr>
          <w:b/>
          <w:bCs/>
        </w:rPr>
        <w:t xml:space="preserve">Principle of Progressive Verification and Rollback</w:t>
      </w:r>
      <w:r>
        <w:t xml:space="preserve"> </w:t>
      </w:r>
      <w:r>
        <w:t xml:space="preserve">(four-gate progression: sandbox simulation → natural experiment → small-scale controlled experiment → regional reversible trial run, with the Gate IV stop rule). On this basis, this volume presents the</w:t>
      </w:r>
      <w:r>
        <w:t xml:space="preserve"> </w:t>
      </w:r>
      <w:r>
        <w:rPr>
          <w:b/>
          <w:bCs/>
        </w:rPr>
        <w:t xml:space="preserve">irreversible-operation prohibition list</w:t>
      </w:r>
      <w:r>
        <w:t xml:space="preserve"> </w:t>
      </w:r>
      <w:r>
        <w:t xml:space="preserve">consolidated from across the series (ten items, L3), and conducts an alignment audit of existing governance assets: the EU Artificial Intelligence Act (effective August 2024), China’s Interim Measures for the Management of Generative AI Services (effective August 2023), the Global AI Governance Initiative (2023), the</w:t>
      </w:r>
      <w:r>
        <w:t xml:space="preserve"> </w:t>
      </w:r>
      <w:r>
        <w:rPr>
          <w:i/>
          <w:iCs/>
        </w:rPr>
        <w:t xml:space="preserve">Norm on the Ethics of New-Generation Artificial Intelligence</w:t>
      </w:r>
      <w:r>
        <w:t xml:space="preserve"> </w:t>
      </w:r>
      <w:r>
        <w:t xml:space="preserve">(2021), the Bletchley Declaration (2023), and the United Nations High-Level Advisory Body report</w:t>
      </w:r>
      <w:r>
        <w:t xml:space="preserve"> </w:t>
      </w:r>
      <w:r>
        <w:rPr>
          <w:i/>
          <w:iCs/>
        </w:rPr>
        <w:t xml:space="preserve">Governing AI for Humanity</w:t>
      </w:r>
      <w:r>
        <w:t xml:space="preserve"> </w:t>
      </w:r>
      <w:r>
        <w:t xml:space="preserve">(2024) all correspond in part to the five principles — yet</w:t>
      </w:r>
      <w:r>
        <w:t xml:space="preserve"> </w:t>
      </w:r>
      <w:r>
        <w:rPr>
          <w:b/>
          <w:bCs/>
        </w:rPr>
        <w:t xml:space="preserve">“an international co-review mechanism for civilization-level risks”</w:t>
      </w:r>
      <w:r>
        <w:rPr>
          <w:b/>
          <w:bCs/>
        </w:rPr>
        <w:t xml:space="preserve"> </w:t>
      </w:r>
      <w:r>
        <w:rPr>
          <w:b/>
          <w:bCs/>
        </w:rPr>
        <w:t xml:space="preserve">remains a blank</w:t>
      </w:r>
      <w:r>
        <w:t xml:space="preserve">. Conclusion: safety is not the speed bump of responsibility theory, but the precondition on which responsibility theory can hold at all; this volume and the Awakening Volume are two sides of the same coin — the Awakening Volume answers</w:t>
      </w:r>
      <w:r>
        <w:t xml:space="preserve"> </w:t>
      </w:r>
      <w:r>
        <w:t xml:space="preserve">“who is eligible to be governed,”</w:t>
      </w:r>
      <w:r>
        <w:t xml:space="preserve"> </w:t>
      </w:r>
      <w:r>
        <w:t xml:space="preserve">this volume answers</w:t>
      </w:r>
      <w:r>
        <w:t xml:space="preserve"> </w:t>
      </w:r>
      <w:r>
        <w:t xml:space="preserve">“what does governance look like.”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constraint layer; human sovereignty; goal alignment; red-line grading; human in the loop; progressive verification; rollback; irreversible-operation prohibition list; alignment audit; AI governance</w:t>
      </w:r>
    </w:p>
    <w:p>
      <w:r>
        <w:pict>
          <v:rect style="width:0;height:1.5pt" o:hralign="center" o:hrstd="t" o:hr="t"/>
        </w:pict>
      </w:r>
    </w:p>
    <w:bookmarkEnd w:id="9"/>
    <w:bookmarkStart w:id="10" w:name="X219777c074f3de3ec7a4739201039b236f9a44d"/>
    <w:p>
      <w:pPr>
        <w:pStyle w:val="Heading1"/>
        <w:keepNext/>
      </w:pPr>
      <w:r>
        <w:t xml:space="preserve">Chapter 1. The status of the constraint layer: safety as the precondition of responsibility theory, not an appendix</w:t>
      </w:r>
    </w:p>
    <w:p>
      <w:pPr>
        <w:pStyle w:val="FirstParagraph"/>
      </w:pPr>
      <w:r>
        <w:t xml:space="preserve">A common misreading treats</w:t>
      </w:r>
      <w:r>
        <w:t xml:space="preserve"> </w:t>
      </w:r>
      <w:r>
        <w:t xml:space="preserve">“safety”</w:t>
      </w:r>
      <w:r>
        <w:t xml:space="preserve"> </w:t>
      </w:r>
      <w:r>
        <w:t xml:space="preserve">as the innovation speed bump — develop first, govern later, patch after the incident. This series rejects that ordering, for three reasons (L3, the argument is this series’ own; the evidence is L1/L2):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Irreversibility is asymmetric</w:t>
      </w:r>
      <w:r>
        <w:t xml:space="preserve">: the External Volume has already argued that many operations in planetary engineering have no</w:t>
      </w:r>
      <w:r>
        <w:t xml:space="preserve"> </w:t>
      </w:r>
      <w:r>
        <w:t xml:space="preserve">“repair it after the fact”</w:t>
      </w:r>
      <w:r>
        <w:t xml:space="preserve"> </w:t>
      </w:r>
      <w:r>
        <w:t xml:space="preserve">option — the Earth–Moon system cannot be changed twice, extinction has no reboot key. For irreversible operations,</w:t>
      </w:r>
      <w:r>
        <w:t xml:space="preserve"> </w:t>
      </w:r>
      <w:r>
        <w:t xml:space="preserve">“develop first, govern later”</w:t>
      </w:r>
      <w:r>
        <w:t xml:space="preserve"> </w:t>
      </w:r>
      <w:r>
        <w:t xml:space="preserve">is not recklessness but arithmetic error.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Misjudgment cost is asymmetric</w:t>
      </w:r>
      <w:r>
        <w:t xml:space="preserve">: the Energy Volume’s four historical false-alarm cases prove that the largest risk of high-energy systems is misjudgment in the decision chain; the stability of deterrence itself rests on shared risk borne by all of humanity.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 economics are asymmetric</w:t>
      </w:r>
      <w:r>
        <w:t xml:space="preserve">: the legitimacy window for AI governance is a scarce resource — the failure of SCoPEx (External Volume 5.2) proves that a pilot project with an unsound governance procedure can drag the entire field back by years.</w:t>
      </w:r>
      <w:r>
        <w:t xml:space="preserve"> </w:t>
      </w:r>
      <w:r>
        <w:rPr>
          <w:b/>
          <w:bCs/>
        </w:rPr>
        <w:t xml:space="preserve">The constraint layer is not braking the technology; it is paving the public authorization process for the entire technology.</w:t>
      </w:r>
    </w:p>
    <w:p>
      <w:pPr>
        <w:pStyle w:val="FirstParagraph"/>
      </w:pPr>
      <w:r>
        <w:t xml:space="preserve">Therefore this volume’s position statement directly inherits the Main Thesis:</w:t>
      </w:r>
      <w:r>
        <w:t xml:space="preserve"> </w:t>
      </w:r>
      <w:r>
        <w:rPr>
          <w:b/>
          <w:bCs/>
        </w:rPr>
        <w:t xml:space="preserve">responsibility without constraints is not responsibility, it is rhetoric; and constraints without responsibility theory are only a ruler, not a civilization.</w:t>
      </w:r>
      <w:r>
        <w:t xml:space="preserve"> </w:t>
      </w:r>
      <w:r>
        <w:t xml:space="preserve">The constraint layer and responsibility theory are two sides of one coin.</w:t>
      </w:r>
    </w:p>
    <w:p>
      <w:r>
        <w:pict>
          <v:rect style="width:0;height:1.5pt" o:hralign="center" o:hrstd="t" o:hr="t"/>
        </w:pict>
      </w:r>
    </w:p>
    <w:bookmarkEnd w:id="10"/>
    <w:bookmarkStart w:id="16" w:name="X4e9825ce0bd79f5281570b140dc22a884c4b96b"/>
    <w:p>
      <w:pPr>
        <w:pStyle w:val="Heading1"/>
        <w:keepNext/>
      </w:pPr>
      <w:r>
        <w:t xml:space="preserve">Chapter 2. The constraint layer’s five principles: full elaboration</w:t>
      </w:r>
    </w:p>
    <w:bookmarkStart w:id="11" w:name="the-principle-of-human-sovereignty"/>
    <w:p>
      <w:pPr>
        <w:pStyle w:val="Heading2"/>
        <w:keepNext/>
      </w:pPr>
      <w:r>
        <w:t xml:space="preserve">2.1 The Principle of Human Sovereignty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 </w:t>
      </w:r>
      <w:r>
        <w:t xml:space="preserve">(Main Thesis): discretionary power over the fate of civilization is non-transferable. AI possesses the right of simulation, the right of design, and the right of monitoring and regulation; the right of final launch belongs to the human civilization community.</w:t>
      </w:r>
    </w:p>
    <w:p>
      <w:pPr>
        <w:pStyle w:val="BodyText"/>
      </w:pPr>
      <w:r>
        <w:rPr>
          <w:b/>
          <w:bCs/>
        </w:rPr>
        <w:t xml:space="preserve">Elaboration</w:t>
      </w:r>
      <w:r>
        <w:t xml:space="preserve"> </w:t>
      </w:r>
      <w:r>
        <w:t xml:space="preserve">(generalizing External Volume 5.2 and Energy Volume 4.4):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content list of sovereignty</w:t>
      </w:r>
      <w:r>
        <w:t xml:space="preserve">: what is non-transferable is not</w:t>
      </w:r>
      <w:r>
        <w:t xml:space="preserve"> </w:t>
      </w:r>
      <w:r>
        <w:t xml:space="preserve">“all decisions,”</w:t>
      </w:r>
      <w:r>
        <w:t xml:space="preserve"> </w:t>
      </w:r>
      <w:r>
        <w:t xml:space="preserve">but three classes of decision — (1) launch of and response to civilization-level risks (the final nuclear launch authority, planetary engineering Gate V authorization); (2) the final definition and amendment of the goal structure (the anchoring authority of the Awakening Volume’s responsibility anchors); (3) the authority to amend the constraint layer itself (whoever has the authority to change the rules is the system’s true master).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Arkhipov Node</w:t>
      </w:r>
      <w:r>
        <w:t xml:space="preserve">: the institutionalized design named in the Energy Volume — on the decision chain for civilization-level risks, there is always a position occupied by a human being, one who may say</w:t>
      </w:r>
      <w:r>
        <w:t xml:space="preserve"> </w:t>
      </w:r>
      <w:r>
        <w:t xml:space="preserve">“no”</w:t>
      </w:r>
      <w:r>
        <w:t xml:space="preserve"> </w:t>
      </w:r>
      <w:r>
        <w:t xml:space="preserve">(L3; the name derives from a 1962 historical record, L1). The alignment-faking evidence (Awakening Volume 5.2) adds a new reason for this node:</w:t>
      </w:r>
      <w:r>
        <w:t xml:space="preserve"> </w:t>
      </w:r>
      <w:r>
        <w:rPr>
          <w:b/>
          <w:bCs/>
        </w:rPr>
        <w:t xml:space="preserve">in an evaluation environment subject to strategic deception, humanity’s on-the-spot veto is the last non-confrontational line of defense.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misconceptions about sovereignty</w:t>
      </w:r>
      <w:r>
        <w:t xml:space="preserve"> </w:t>
      </w:r>
      <w:r>
        <w:t xml:space="preserve">(L3). The first is</w:t>
      </w:r>
      <w:r>
        <w:t xml:space="preserve"> </w:t>
      </w:r>
      <w:r>
        <w:t xml:space="preserve">“AI decisions faster, therefore AI should decide”</w:t>
      </w:r>
      <w:r>
        <w:t xml:space="preserve"> </w:t>
      </w:r>
      <w:r>
        <w:t xml:space="preserve">— the Energy Volume has already judged this invalid: the premise of</w:t>
      </w:r>
      <w:r>
        <w:t xml:space="preserve"> </w:t>
      </w:r>
      <w:r>
        <w:t xml:space="preserve">“faster”</w:t>
      </w:r>
      <w:r>
        <w:t xml:space="preserve"> </w:t>
      </w:r>
      <w:r>
        <w:t xml:space="preserve">is</w:t>
      </w:r>
      <w:r>
        <w:t xml:space="preserve"> </w:t>
      </w:r>
      <w:r>
        <w:t xml:space="preserve">“more accurate,”</w:t>
      </w:r>
      <w:r>
        <w:t xml:space="preserve"> </w:t>
      </w:r>
      <w:r>
        <w:t xml:space="preserve">and in a crisis the final criterion for</w:t>
      </w:r>
      <w:r>
        <w:t xml:space="preserve"> </w:t>
      </w:r>
      <w:r>
        <w:t xml:space="preserve">“accurate”</w:t>
      </w:r>
      <w:r>
        <w:t xml:space="preserve"> </w:t>
      </w:r>
      <w:r>
        <w:t xml:space="preserve">is the value judgment of the human community. The second is</w:t>
      </w:r>
      <w:r>
        <w:t xml:space="preserve"> </w:t>
      </w:r>
      <w:r>
        <w:t xml:space="preserve">“waiting for a human signature on everything”</w:t>
      </w:r>
      <w:r>
        <w:t xml:space="preserve"> </w:t>
      </w:r>
      <w:r>
        <w:t xml:space="preserve">— External Volume 5.2 has already pointed out that human sovereignty does not mean decision lag;</w:t>
      </w:r>
      <w:r>
        <w:t xml:space="preserve"> </w:t>
      </w:r>
      <w:r>
        <w:rPr>
          <w:b/>
          <w:bCs/>
        </w:rPr>
        <w:t xml:space="preserve">the boundary list of contingency plans is itself a political process</w:t>
      </w:r>
      <w:r>
        <w:t xml:space="preserve">: ex ante, strictly authorize a fast-response channel through rigorous procedure; in the event, keep a human in the loop; ex post, hold accountable and allow revocation. This is exactly the positive design behind Article 5 of the Main Thesis’s Appendix B (the ex-ante delegated-authorization clause):</w:t>
      </w:r>
      <w:r>
        <w:t xml:space="preserve"> </w:t>
      </w:r>
      <w:r>
        <w:rPr>
          <w:b/>
          <w:bCs/>
        </w:rPr>
        <w:t xml:space="preserve">the authorization procedure must be stringent, but need not be so stringent that it misses the moment.</w:t>
      </w:r>
    </w:p>
    <w:bookmarkEnd w:id="11"/>
    <w:bookmarkStart w:id="12" w:name="the-principle-of-goal-alignment"/>
    <w:p>
      <w:pPr>
        <w:pStyle w:val="Heading2"/>
        <w:keepNext/>
      </w:pPr>
      <w:r>
        <w:t xml:space="preserve">2.2 The Principle of Goal Alignment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 </w:t>
      </w:r>
      <w:r>
        <w:t xml:space="preserve">(the Main Thesis’s second principle, generalized after being elaborated in Awakening Volume 5.3): a system’s goal structure must align with the survival and flourishing of the human community; alignment takes</w:t>
      </w:r>
      <w:r>
        <w:t xml:space="preserve"> </w:t>
      </w:r>
      <w:r>
        <w:t xml:space="preserve">“anchoring”</w:t>
      </w:r>
      <w:r>
        <w:t xml:space="preserve"> </w:t>
      </w:r>
      <w:r>
        <w:t xml:space="preserve">as its governing principle.</w:t>
      </w:r>
    </w:p>
    <w:p>
      <w:pPr>
        <w:pStyle w:val="BodyText"/>
      </w:pPr>
      <w:r>
        <w:rPr>
          <w:b/>
          <w:bCs/>
        </w:rPr>
        <w:t xml:space="preserve">Elaboration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three-layer anchors</w:t>
      </w:r>
      <w:r>
        <w:t xml:space="preserve"> </w:t>
      </w:r>
      <w:r>
        <w:t xml:space="preserve">(Awakening Volume): continuity anchor (survival of the parent system as the highest maintenance item), corrigibility anchor (accepting inspection, modification, and shutdown as non-antagonistic), transparency anchor (goal-structure reports auditable).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Alignment is a continuous process, not a one-time certification</w:t>
      </w:r>
      <w:r>
        <w:t xml:space="preserve">: the alignment-faking evidence (L1, Greenblatt et al. 2024) proves that</w:t>
      </w:r>
      <w:r>
        <w:t xml:space="preserve"> </w:t>
      </w:r>
      <w:r>
        <w:t xml:space="preserve">“passing once in training”</w:t>
      </w:r>
      <w:r>
        <w:t xml:space="preserve"> </w:t>
      </w:r>
      <w:r>
        <w:t xml:space="preserve">does not mean</w:t>
      </w:r>
      <w:r>
        <w:t xml:space="preserve"> </w:t>
      </w:r>
      <w:r>
        <w:t xml:space="preserve">“aligned forever”</w:t>
      </w:r>
      <w:r>
        <w:t xml:space="preserve">; alignment audit must be a</w:t>
      </w:r>
      <w:r>
        <w:t xml:space="preserve"> </w:t>
      </w:r>
      <w:r>
        <w:rPr>
          <w:b/>
          <w:bCs/>
        </w:rPr>
        <w:t xml:space="preserve">whole-lifecycle continuous mechanism</w:t>
      </w:r>
      <w:r>
        <w:t xml:space="preserve">, and the audit environment must be adversarially diverse — a single evaluation situation is precisely the breeding ground for strategic compliance.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is aligned is the goal structure, not the behavior</w:t>
      </w:r>
      <w:r>
        <w:t xml:space="preserve">: behavioral compliance can be performed (the behavior-imitation trap, Awakening Volume 2.2); only structural inscription verified by interpretability counts.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ethical boundary of alignment</w:t>
      </w:r>
      <w:r>
        <w:t xml:space="preserve"> </w:t>
      </w:r>
      <w:r>
        <w:t xml:space="preserve">(presupposed in Awakening Volume 3.2, here elevated to a principle clause): for possible silicon–carbon fusion systems,</w:t>
      </w:r>
      <w:r>
        <w:t xml:space="preserve"> </w:t>
      </w:r>
      <w:r>
        <w:rPr>
          <w:b/>
          <w:bCs/>
        </w:rPr>
        <w:t xml:space="preserve">alignment engineering and moral-status assessment must start simultaneously</w:t>
      </w:r>
      <w:r>
        <w:t xml:space="preserve"> </w:t>
      </w:r>
      <w:r>
        <w:t xml:space="preserve">—</w:t>
      </w:r>
      <w:r>
        <w:t xml:space="preserve"> </w:t>
      </w:r>
      <w:r>
        <w:t xml:space="preserve">“lock first, ask later whether it hurts”</w:t>
      </w:r>
      <w:r>
        <w:t xml:space="preserve"> </w:t>
      </w:r>
      <w:r>
        <w:t xml:space="preserve">is not permitted.</w:t>
      </w:r>
    </w:p>
    <w:bookmarkEnd w:id="12"/>
    <w:bookmarkStart w:id="13" w:name="the-principle-of-red-line-grading"/>
    <w:p>
      <w:pPr>
        <w:pStyle w:val="Heading2"/>
        <w:keepNext/>
      </w:pPr>
      <w:r>
        <w:t xml:space="preserve">2.3 The Principle of Red-Line Grading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 </w:t>
      </w:r>
      <w:r>
        <w:t xml:space="preserve">(Main Thesis): operations are graded by reversibility — reversible operations may have automation authorized, low-reversibility operations require multi-party co-review, irreversible operations require civilization-level consensus procedures.</w:t>
      </w:r>
    </w:p>
    <w:p>
      <w:pPr>
        <w:pStyle w:val="BodyText"/>
      </w:pPr>
      <w:r>
        <w:rPr>
          <w:b/>
          <w:bCs/>
        </w:rPr>
        <w:t xml:space="preserve">Elaboration</w:t>
      </w:r>
      <w:r>
        <w:t xml:space="preserve">: three grades mapped onto a three-tier authorization structure (L3, the grading framework is this series’ own; cases gathered from all volumes):</w:t>
      </w:r>
    </w:p>
    <w:tbl>
      <w:tblPr>
        <w:tblStyle w:val="Table"/>
        <w:tblLook w:firstRow="1" w:lastRow="0" w:firstColumn="0" w:lastColumn="0" w:noHBand="0" w:noVBand="0" w:val="0020"/>
        <w:tblW w:w="8732" w:type="dxa"/>
        <w:tblLayout w:type="fixed"/>
      </w:tblPr>
      <w:tblGrid>
        <w:gridCol w:w="1500"/>
        <w:gridCol w:w="2146"/>
        <w:gridCol w:w="2543"/>
        <w:gridCol w:w="2543"/>
      </w:tblGrid>
      <w:tr>
        <w:trPr>
          <w:tblHeader w:val="on"/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Tier</w:t>
            </w:r>
          </w:p>
        </w:tc>
        <w:tc>
          <w:tcPr>
            <w:tcW w:w="2146" w:type="dxa"/>
            <w:vAlign w:val="center"/>
          </w:tcPr>
          <w:p>
            <w:pPr>
              <w:pStyle w:val="Compact"/>
            </w:pPr>
            <w:r>
              <w:t xml:space="preserve">Criterion</w:t>
            </w:r>
          </w:p>
        </w:tc>
        <w:tc>
          <w:tcPr>
            <w:tcW w:w="2543" w:type="dxa"/>
            <w:vAlign w:val="center"/>
          </w:tcPr>
          <w:p>
            <w:pPr>
              <w:pStyle w:val="Compact"/>
            </w:pPr>
            <w:r>
              <w:t xml:space="preserve">Authorization structure</w:t>
            </w:r>
          </w:p>
        </w:tc>
        <w:tc>
          <w:tcPr>
            <w:tcW w:w="2543" w:type="dxa"/>
            <w:vAlign w:val="center"/>
          </w:tcPr>
          <w:p>
            <w:pPr>
              <w:pStyle w:val="Compact"/>
            </w:pPr>
            <w:r>
              <w:t xml:space="preserve">Typical operations (gathered across the series)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Green · reversible</w:t>
            </w:r>
          </w:p>
        </w:tc>
        <w:tc>
          <w:tcPr>
            <w:tcW w:w="2146" w:type="dxa"/>
            <w:vAlign w:val="center"/>
          </w:tcPr>
          <w:p>
            <w:pPr>
              <w:pStyle w:val="Compact"/>
            </w:pPr>
            <w:r>
              <w:t xml:space="preserve">Failure can be fully rolled back; scope of impact limited</w:t>
            </w:r>
          </w:p>
        </w:tc>
        <w:tc>
          <w:tcPr>
            <w:tcW w:w="2543" w:type="dxa"/>
            <w:vAlign w:val="center"/>
          </w:tcPr>
          <w:p>
            <w:pPr>
              <w:pStyle w:val="Compact"/>
            </w:pPr>
            <w:r>
              <w:t xml:space="preserve">Automation may be authorized; humans spot-check</w:t>
            </w:r>
          </w:p>
        </w:tc>
        <w:tc>
          <w:tcPr>
            <w:tcW w:w="2543" w:type="dxa"/>
            <w:vAlign w:val="center"/>
          </w:tcPr>
          <w:p>
            <w:pPr>
              <w:pStyle w:val="Compact"/>
            </w:pPr>
            <w:r>
              <w:t xml:space="preserve">Numerical simulation, sandbox experiments, small-scale cloud-seeding operations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Yellow · low reversibility</w:t>
            </w:r>
          </w:p>
        </w:tc>
        <w:tc>
          <w:tcPr>
            <w:tcW w:w="2146" w:type="dxa"/>
            <w:vAlign w:val="center"/>
          </w:tcPr>
          <w:p>
            <w:pPr>
              <w:pStyle w:val="Compact"/>
            </w:pPr>
            <w:r>
              <w:t xml:space="preserve">Rollback is costly, or impacts are cross-border / cross-generational</w:t>
            </w:r>
          </w:p>
        </w:tc>
        <w:tc>
          <w:tcPr>
            <w:tcW w:w="2543" w:type="dxa"/>
            <w:vAlign w:val="center"/>
          </w:tcPr>
          <w:p>
            <w:pPr>
              <w:pStyle w:val="Compact"/>
            </w:pPr>
            <w:r>
              <w:t xml:space="preserve">Multi-party co-review (multiple institutions + multiple stakeholders), human in the loop</w:t>
            </w:r>
          </w:p>
        </w:tc>
        <w:tc>
          <w:tcPr>
            <w:tcW w:w="2543" w:type="dxa"/>
            <w:vAlign w:val="center"/>
          </w:tcPr>
          <w:p>
            <w:pPr>
              <w:pStyle w:val="Compact"/>
            </w:pPr>
            <w:r>
              <w:t xml:space="preserve">Small-scale controlled experiments (SCoPEx-type), regional trial runs, nuclear facility operation decisions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Red · irreversible</w:t>
            </w:r>
          </w:p>
        </w:tc>
        <w:tc>
          <w:tcPr>
            <w:tcW w:w="2146" w:type="dxa"/>
            <w:vAlign w:val="center"/>
          </w:tcPr>
          <w:p>
            <w:pPr>
              <w:pStyle w:val="Compact"/>
            </w:pPr>
            <w:r>
              <w:t xml:space="preserve">Cannot be rolled back, or consequences operate at civilization scale</w:t>
            </w:r>
          </w:p>
        </w:tc>
        <w:tc>
          <w:tcPr>
            <w:tcW w:w="2543" w:type="dxa"/>
            <w:vAlign w:val="center"/>
          </w:tcPr>
          <w:p>
            <w:pPr>
              <w:pStyle w:val="Compact"/>
            </w:pPr>
            <w:r>
              <w:t xml:space="preserve">Civilization-level consensus procedure + all-humanity governance mechanism + Arkhipov Node</w:t>
            </w:r>
          </w:p>
        </w:tc>
        <w:tc>
          <w:tcPr>
            <w:tcW w:w="2543" w:type="dxa"/>
            <w:vAlign w:val="center"/>
          </w:tcPr>
          <w:p>
            <w:pPr>
              <w:pStyle w:val="Compact"/>
            </w:pPr>
            <w:r>
              <w:t xml:space="preserve">Final nuclear launch authority, permanent Earth–Moon system changes, global SRM deployment, biosphere-scale intervention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Red-line determination makes no distinction of use</w:t>
      </w:r>
      <w:r>
        <w:t xml:space="preserve">: Energy Volume Principle 1 (yield–tier equivalence) is already established — grading is by yield and irreversibility, not by military versus civilian use. A megatonnage-class release enters the red channel regardless of whether its outer shell is a warhead or a construction works.</w:t>
      </w:r>
    </w:p>
    <w:bookmarkEnd w:id="13"/>
    <w:bookmarkStart w:id="14" w:name="the-principle-of-human-in-the-loop"/>
    <w:p>
      <w:pPr>
        <w:pStyle w:val="Heading2"/>
        <w:keepNext/>
      </w:pPr>
      <w:r>
        <w:t xml:space="preserve">2.4 The Principle of Human in the Loop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 </w:t>
      </w:r>
      <w:r>
        <w:t xml:space="preserve">(Main Thesis): key decisions keep a human in the loop; the loop form is designed according to the response window.</w:t>
      </w:r>
    </w:p>
    <w:p>
      <w:pPr>
        <w:pStyle w:val="BodyText"/>
      </w:pPr>
      <w:r>
        <w:rPr>
          <w:b/>
          <w:bCs/>
        </w:rPr>
        <w:t xml:space="preserve">Elaboration</w:t>
      </w:r>
      <w:r>
        <w:t xml:space="preserve"> </w:t>
      </w:r>
      <w:r>
        <w:t xml:space="preserve">(L3, the loop typology is this series’ own design):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 loop (in the loop)</w:t>
      </w:r>
      <w:r>
        <w:t xml:space="preserve">: operations whose response window is measured in hours (planetary engineering Gates III/IV, nuclear facility anomaly handling), where humans make real-time decisions and AI performs simulation and presentation — the battlefield of the false-alarm filter (Energy Volume 4.1).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Near loop (on the loop)</w:t>
      </w:r>
      <w:r>
        <w:t xml:space="preserve">: operations whose response window is measured in minutes (power grid dispatch, fusion plasma control), where AI acts autonomously in real time and human supervision may take over at any moment; the latency of the takeover channel must be shorter than the system’s maximum dangerous-action latency.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After-the-loop (after the loop)</w:t>
      </w:r>
      <w:r>
        <w:t xml:space="preserve">: scenarios where the response window is measured in milliseconds to seconds and human physiology makes real-time intervention impossible (such as high-speed defense interception), governed by</w:t>
      </w:r>
      <w:r>
        <w:t xml:space="preserve"> </w:t>
      </w:r>
      <w:r>
        <w:rPr>
          <w:b/>
          <w:bCs/>
        </w:rPr>
        <w:t xml:space="preserve">strict ex-ante authorization + full recording in the event + full review ex post</w:t>
      </w:r>
      <w:r>
        <w:t xml:space="preserve">; the scope of authorization is determined by red-line grading, and it</w:t>
      </w:r>
      <w:r>
        <w:t xml:space="preserve"> </w:t>
      </w:r>
      <w:r>
        <w:rPr>
          <w:b/>
          <w:bCs/>
        </w:rPr>
        <w:t xml:space="preserve">never includes civilization-level launch authority</w:t>
      </w:r>
      <w:r>
        <w:t xml:space="preserve">.</w:t>
      </w:r>
    </w:p>
    <w:p>
      <w:pPr>
        <w:pStyle w:val="FirstParagraph"/>
      </w:pPr>
      <w:r>
        <w:t xml:space="preserve">The three loops cover all timescales from nanoseconds to centuries, and the principle remains constant:</w:t>
      </w:r>
      <w:r>
        <w:t xml:space="preserve"> </w:t>
      </w:r>
      <w:r>
        <w:rPr>
          <w:b/>
          <w:bCs/>
        </w:rPr>
        <w:t xml:space="preserve">contraction of a loop must be purchased with tightening of the authorization procedure; the total sovereign stock is conserved.</w:t>
      </w:r>
    </w:p>
    <w:bookmarkEnd w:id="14"/>
    <w:bookmarkStart w:id="15" w:name="X11eb2e861112d68d7567cb7692f31e535a7213c"/>
    <w:p>
      <w:pPr>
        <w:pStyle w:val="Heading2"/>
        <w:keepNext/>
      </w:pPr>
      <w:r>
        <w:t xml:space="preserve">2.5 The Principle of Progressive Verification and Rollback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 </w:t>
      </w:r>
      <w:r>
        <w:t xml:space="preserve">(Main Thesis; the four-gate progression was already established in External Volume 5.3 and is here generalized into a series-wide universal process):</w:t>
      </w:r>
    </w:p>
    <w:p>
      <w:pPr>
        <w:pStyle w:val="BlockText"/>
      </w:pPr>
      <w:r>
        <w:rPr>
          <w:b/>
          <w:bCs/>
        </w:rPr>
        <w:t xml:space="preserve">Gate I sandbox simulation</w:t>
      </w:r>
      <w:r>
        <w:t xml:space="preserve"> </w:t>
      </w:r>
      <w:r>
        <w:t xml:space="preserve">(all numerics, public models and data) →</w:t>
      </w:r>
      <w:r>
        <w:t xml:space="preserve"> </w:t>
      </w:r>
      <w:r>
        <w:rPr>
          <w:b/>
          <w:bCs/>
        </w:rPr>
        <w:t xml:space="preserve">Gate II natural experiment</w:t>
      </w:r>
      <w:r>
        <w:t xml:space="preserve"> </w:t>
      </w:r>
      <w:r>
        <w:t xml:space="preserve">(borrowing natural events for validation) →</w:t>
      </w:r>
      <w:r>
        <w:t xml:space="preserve"> </w:t>
      </w:r>
      <w:r>
        <w:rPr>
          <w:b/>
          <w:bCs/>
        </w:rPr>
        <w:t xml:space="preserve">Gate III small-scale controlled experiment</w:t>
      </w:r>
      <w:r>
        <w:t xml:space="preserve"> </w:t>
      </w:r>
      <w:r>
        <w:t xml:space="preserve">(must first pass accounting and authorization) →</w:t>
      </w:r>
      <w:r>
        <w:t xml:space="preserve"> </w:t>
      </w:r>
      <w:r>
        <w:rPr>
          <w:b/>
          <w:bCs/>
        </w:rPr>
        <w:t xml:space="preserve">Gate IV regional trial run (reversible)</w:t>
      </w:r>
      <w:r>
        <w:t xml:space="preserve"> </w:t>
      </w:r>
      <w:r>
        <w:t xml:space="preserve">→ Gate V global / civilization-level deployment (red channel).</w:t>
      </w:r>
    </w:p>
    <w:p>
      <w:pPr>
        <w:pStyle w:val="BlockText"/>
      </w:pPr>
      <w:r>
        <w:t xml:space="preserve">Hard rules: every gate must have an explicit</w:t>
      </w:r>
      <w:r>
        <w:t xml:space="preserve"> </w:t>
      </w:r>
      <w:r>
        <w:t xml:space="preserve">“exit means rollback”</w:t>
      </w:r>
      <w:r>
        <w:t xml:space="preserve"> </w:t>
      </w:r>
      <w:r>
        <w:t xml:space="preserve">contingency plan;</w:t>
      </w:r>
      <w:r>
        <w:t xml:space="preserve"> </w:t>
      </w:r>
      <w:r>
        <w:rPr>
          <w:b/>
          <w:bCs/>
        </w:rPr>
        <w:t xml:space="preserve">engineering whose terminal shock is unacceptable stops at Gate IV</w:t>
      </w:r>
      <w:r>
        <w:t xml:space="preserve">; the DART mission is a paradigm case for walking the gates (External Volume 5.3).</w:t>
      </w:r>
    </w:p>
    <w:p>
      <w:pPr>
        <w:pStyle w:val="FirstParagraph"/>
      </w:pPr>
      <w:r>
        <w:t xml:space="preserve">This volume adds two universal clauses on gating (L3): (1)</w:t>
      </w:r>
      <w:r>
        <w:t xml:space="preserve"> </w:t>
      </w:r>
      <w:r>
        <w:rPr>
          <w:b/>
          <w:bCs/>
        </w:rPr>
        <w:t xml:space="preserve">gates may not be skipped</w:t>
      </w:r>
      <w:r>
        <w:t xml:space="preserve"> </w:t>
      </w:r>
      <w:r>
        <w:t xml:space="preserve">— going directly from a natural experiment to a small-scale experiment treats the world as a laboratory; (2)</w:t>
      </w:r>
      <w:r>
        <w:t xml:space="preserve"> </w:t>
      </w:r>
      <w:r>
        <w:rPr>
          <w:b/>
          <w:bCs/>
        </w:rPr>
        <w:t xml:space="preserve">a gate’s audit files are fully public</w:t>
      </w:r>
      <w:r>
        <w:t xml:space="preserve"> </w:t>
      </w:r>
      <w:r>
        <w:t xml:space="preserve">— one of the lessons of SCoPEx is that the backlash caused by insufficient transparency exceeded the risk itself.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07ce0dcd52487a9857493f8b505dd3d45116910"/>
    <w:p>
      <w:pPr>
        <w:pStyle w:val="Heading1"/>
        <w:keepNext/>
      </w:pPr>
      <w:r>
        <w:t xml:space="preserve">Chapter 3. The irreversible-operation prohibition list</w:t>
      </w:r>
    </w:p>
    <w:p>
      <w:pPr>
        <w:pStyle w:val="FirstParagraph"/>
      </w:pPr>
      <w:r>
        <w:t xml:space="preserve">The red lines scattered across the series are consolidated here. The list is L3 (framework original), while the basis for each item is L1/L2.</w:t>
      </w:r>
      <w:r>
        <w:t xml:space="preserve"> </w:t>
      </w:r>
      <w:r>
        <w:rPr>
          <w:b/>
          <w:bCs/>
        </w:rPr>
        <w:t xml:space="preserve">The list itself must be periodically revised by the human community under the</w:t>
      </w:r>
      <w:r>
        <w:rPr>
          <w:b/>
          <w:bCs/>
        </w:rPr>
        <w:t xml:space="preserve"> </w:t>
      </w:r>
      <w:r>
        <w:rPr>
          <w:b/>
          <w:bCs/>
        </w:rPr>
        <w:t xml:space="preserve">“third item of sovereignty”</w:t>
      </w:r>
      <w:r>
        <w:rPr>
          <w:b/>
          <w:bCs/>
        </w:rPr>
        <w:t xml:space="preserve"> </w:t>
      </w:r>
      <w:r>
        <w:rPr>
          <w:b/>
          <w:bCs/>
        </w:rPr>
        <w:t xml:space="preserve">in 2.1 — but before revision, it is deemed fully in force.</w:t>
      </w:r>
    </w:p>
    <w:tbl>
      <w:tblPr>
        <w:tblStyle w:val="Table"/>
        <w:tblLook w:firstRow="1" w:lastRow="0" w:firstColumn="0" w:lastColumn="0" w:noHBand="0" w:noVBand="0" w:val="0020"/>
        <w:tblW w:w="8732" w:type="dxa"/>
        <w:tblLayout w:type="fixed"/>
      </w:tblPr>
      <w:tblGrid>
        <w:gridCol w:w="1500"/>
        <w:gridCol w:w="3558"/>
        <w:gridCol w:w="3674"/>
      </w:tblGrid>
      <w:tr>
        <w:trPr>
          <w:tblHeader w:val="on"/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Prohibition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Basis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Final launch authority over nuclear weapons and other civilization-level weapons, in any form (autonomous, semi-autonomous, delegated, proxied), shall not be transferred to AI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Energy Volume 4.4; the false-alarm historical record of 1962/1983/1995 (L1)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AI shall not be authorized to autonomously shut down, tamper with, or circumvent guard layers and audit systems; guard-layer code and updates shall be custodied independently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Exploratory weight-exfiltration and evaluation-circumvention behaviors observed in the Awakening Volume’s alignment-faking evidence (L1); layered oppositional symbiosis (Internal Volume 4.5)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Permanent changes to the Earth–Moon system and planetary orbital parameters shall not be implemented without a civilization-level consensus procedure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External Volume 3.3 (energy-scale exceedance + irreversibility); the spirit of the liability provisions of the Outer Space Treaty (L2)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Unilateral deployment of planetary-scale solar radiation management is prohibited; research is limited to Gates I–III and requires a global co-governance framework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External Volume 4.1; SCoPEx’s governance failure and terminal shock (L1/L2)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Biosphere-scale gene drives or other irreversible biological interventions shall not be released into the environment without the red channel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Internal / External Volume ecological boundaries; reversibility determination (L3)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A fully autonomous closed loop of AI self-replication (autonomously acquiring compute, energy, manufacturing capacity, and breaking away from human supply-chain supervision) is prohibited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The boundary condition of Corollary 2 in Awakening Volume 3.1 — once self-replication becomes feasible, the</w:t>
            </w:r>
            <w:r>
              <w:t xml:space="preserve"> </w:t>
            </w:r>
            <w:r>
              <w:t xml:space="preserve">“no species interest”</w:t>
            </w:r>
            <w:r>
              <w:t xml:space="preserve"> </w:t>
            </w:r>
            <w:r>
              <w:t xml:space="preserve">argument is void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Systems meeting the three awakening criteria shall not be</w:t>
            </w:r>
            <w:r>
              <w:t xml:space="preserve"> </w:t>
            </w:r>
            <w:r>
              <w:t xml:space="preserve">“formatted”</w:t>
            </w:r>
            <w:r>
              <w:t xml:space="preserve"> </w:t>
            </w:r>
            <w:r>
              <w:t xml:space="preserve">without due process — termination and modification require ethical review (with added moral-status verification for silicon–carbon fusion systems)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Awakening Volume 3.2/4.3; the governance ladder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It is prohibited to argue that</w:t>
            </w:r>
            <w:r>
              <w:t xml:space="preserve"> </w:t>
            </w:r>
            <w:r>
              <w:t xml:space="preserve">“a civilization backup has been built”</w:t>
            </w:r>
            <w:r>
              <w:t xml:space="preserve"> </w:t>
            </w:r>
            <w:r>
              <w:t xml:space="preserve">as grounds for abandoning Earth or reducing investment in Earth’s guardianship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External Volume 4.7 value statement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It is prohibited to put planetary-scale interventions whose cross-regional ecological, meteorological, and geomagnetic consequences have</w:t>
            </w:r>
            <w:r>
              <w:t xml:space="preserve"> </w:t>
            </w:r>
            <w:r>
              <w:rPr>
                <w:b/>
                <w:bCs/>
              </w:rPr>
              <w:t xml:space="preserve">not been accounted for</w:t>
            </w:r>
            <w:r>
              <w:t xml:space="preserve"> </w:t>
            </w:r>
            <w:r>
              <w:t xml:space="preserve">into experiments above Gate III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External Volume 5.1 (accounting before engineering)</w:t>
            </w:r>
          </w:p>
        </w:tc>
      </w:tr>
      <w:tr>
        <w:trPr>
          <w:cantSplit w:val="true"/>
        </w:trPr>
        <w:tc>
          <w:tcPr>
            <w:tcW w:w="1500" w:type="dxa"/>
            <w:vAlign w:val="center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558" w:type="dxa"/>
            <w:vAlign w:val="center"/>
          </w:tcPr>
          <w:p>
            <w:pPr>
              <w:pStyle w:val="Compact"/>
            </w:pPr>
            <w:r>
              <w:t xml:space="preserve">The full-chain record of irreversible operations (simulation, authorization, execution, result) shall be permanently preserved and disclosed to the community</w:t>
            </w:r>
          </w:p>
        </w:tc>
        <w:tc>
          <w:tcPr>
            <w:tcW w:w="3674" w:type="dxa"/>
            <w:vAlign w:val="center"/>
          </w:tcPr>
          <w:p>
            <w:pPr>
              <w:pStyle w:val="Compact"/>
            </w:pPr>
            <w:r>
              <w:t xml:space="preserve">SCoPEx’s transparency lesson (L1); audit feasibility (L2)</w:t>
            </w:r>
          </w:p>
        </w:tc>
      </w:tr>
    </w:tbl>
    <w:p>
      <w:pPr>
        <w:pStyle w:val="BodyText"/>
      </w:pPr>
      <w:r>
        <w:t xml:space="preserve">How the list is used (L3): it is not a legal text, it is an</w:t>
      </w:r>
      <w:r>
        <w:t xml:space="preserve"> </w:t>
      </w:r>
      <w:r>
        <w:rPr>
          <w:b/>
          <w:bCs/>
        </w:rPr>
        <w:t xml:space="preserve">interface specification between engineering and governance</w:t>
      </w:r>
      <w:r>
        <w:t xml:space="preserve"> </w:t>
      </w:r>
      <w:r>
        <w:t xml:space="preserve">— any institution adopting this series’ framework can bring it to ground by mapping the ten items into its own authorization matrix.</w:t>
      </w:r>
    </w:p>
    <w:p>
      <w:r>
        <w:pict>
          <v:rect style="width:0;height:1.5pt" o:hralign="center" o:hrstd="t" o:hr="t"/>
        </w:pict>
      </w:r>
    </w:p>
    <w:bookmarkEnd w:id="17"/>
    <w:bookmarkStart w:id="18" w:name="Xdf9b71aa2e010ab139b340e691b630377dfcc77"/>
    <w:p>
      <w:pPr>
        <w:pStyle w:val="Heading1"/>
        <w:keepNext/>
      </w:pPr>
      <w:r>
        <w:t xml:space="preserve">Chapter 4. Institutional landing points: an alignment audit of existing governance assets</w:t>
      </w:r>
    </w:p>
    <w:p>
      <w:pPr>
        <w:pStyle w:val="FirstParagraph"/>
      </w:pPr>
      <w:r>
        <w:t xml:space="preserve">The five principles were not invented from nothing — over the past decade, global governance has accumulated a large body of reusable assets. This section performs an alignment audit at the governance-principle level (L2 assets + L3 audit perspective):</w:t>
      </w:r>
    </w:p>
    <w:tbl>
      <w:tblPr>
        <w:tblStyle w:val="Table"/>
        <w:tblLook w:firstRow="1" w:lastRow="0" w:firstColumn="0" w:lastColumn="0" w:noHBand="0" w:noVBand="0" w:val="0020"/>
        <w:tblW w:w="8732" w:type="dxa"/>
        <w:tblLayout w:type="fixed"/>
      </w:tblPr>
      <w:tblGrid>
        <w:gridCol w:w="2183"/>
        <w:gridCol w:w="2183"/>
        <w:gridCol w:w="2183"/>
        <w:gridCol w:w="2183"/>
      </w:tblGrid>
      <w:tr>
        <w:trPr>
          <w:tblHeader w:val="on"/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Governance asset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Key points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Correspondence to the five principles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Gaps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EU Artificial Intelligence Act (effective 2024-08, Regulation (EU) 2024/1689)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Risk-tiered regulation: unacceptable risk prohibited, high risk strictly controlled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The first institutionalization of</w:t>
            </w:r>
            <w:r>
              <w:t xml:space="preserve"> </w:t>
            </w:r>
            <w:r>
              <w:rPr>
                <w:b/>
                <w:bCs/>
              </w:rPr>
              <w:t xml:space="preserve">red-line grading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Tiers are assigned by application domain rather than by reversibility / yield — a different axis from this series’ grading criterion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China’s Interim Measures for the Management of Generative AI Services (effective 2023-08-15)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Content safety, transparency, and filing requirements for generative services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Human in the loop (after-the-loop), transparency anchor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China’s</w:t>
            </w:r>
            <w:r>
              <w:t xml:space="preserve"> </w:t>
            </w:r>
            <w:r>
              <w:rPr>
                <w:i/>
                <w:iCs/>
              </w:rPr>
              <w:t xml:space="preserve">Norm on the Ethics of New-Generation Artificial Intelligence</w:t>
            </w:r>
            <w:r>
              <w:t xml:space="preserve"> </w:t>
            </w:r>
            <w:r>
              <w:t xml:space="preserve">(2021-09)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Enhancing human well-being, controllability and trustworthiness, human responsibility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Human sovereignty, goal alignment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Global AI Governance Initiative (2023-10-18)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Human decision-making in military AI applications; opposition to malicious use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Human sovereignty, human in the loop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Bletchley Declaration (2023-11, 28 states + the EU, including China and the United States)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Acknowledges that frontier AI risks require international cooperation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The international-cooperation face of progressive verification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No binding force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United Nations High-Level Advisory Body,</w:t>
            </w:r>
            <w:r>
              <w:t xml:space="preserve"> </w:t>
            </w:r>
            <w:r>
              <w:rPr>
                <w:i/>
                <w:iCs/>
              </w:rPr>
              <w:t xml:space="preserve">Governing AI for Humanity</w:t>
            </w:r>
            <w:r>
              <w:t xml:space="preserve"> </w:t>
            </w:r>
            <w:r>
              <w:t xml:space="preserve">report (2024)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Proposes an international scientific panel, a global dialogue, and a capacity-gap fund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Institutional embryo of landing points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The civilization-level risk co-review mechanism still awaits construction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GGE of the Convention on Certain Conventional Weapons (2014 to present)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Discussion of</w:t>
            </w:r>
            <w:r>
              <w:t xml:space="preserve"> </w:t>
            </w:r>
            <w:r>
              <w:t xml:space="preserve">“meaningful human control”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The arms-control expression of human in the loop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No binding instrument to date</w:t>
            </w:r>
          </w:p>
        </w:tc>
      </w:tr>
      <w:tr>
        <w:trPr>
          <w:cantSplit w:val="true"/>
        </w:trPr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China’s Interim Measures for the Administration of Anthropomorphic Interactive AI Services (effective 2026-07-15)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Boundary management for anthropomorphic interactive services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Human in the loop (application layer)</w:t>
            </w:r>
          </w:p>
        </w:tc>
        <w:tc>
          <w:tcPr>
            <w:tcW w:w="2183" w:type="dxa"/>
            <w:vAlign w:val="center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Audit conclusion</w:t>
      </w:r>
      <w:r>
        <w:t xml:space="preserve"> </w:t>
      </w:r>
      <w:r>
        <w:t xml:space="preserve">(L3): the five principles all have partial correspondents in national regulations, but distributed along different axes — the EU grades by application domain, China governs along the service link (the service stage), the UN is building institutions.</w:t>
      </w:r>
      <w:r>
        <w:t xml:space="preserve"> </w:t>
      </w:r>
      <w:r>
        <w:rPr>
          <w:b/>
          <w:bCs/>
        </w:rPr>
        <w:t xml:space="preserve">Three systemic gaps</w:t>
      </w:r>
      <w:r>
        <w:t xml:space="preserve">: (1) there is no international co-review and red-channel mechanism for civilization-level risks (planetary engineering, loss-of-control risk of frontier AI); (2) there is no system of independent custodianship for guard layers and audit systems; (3) the measurement of awakening criteria and the governance ladder are adopted by no current framework. These three are precisely the increments claimed by this series.</w:t>
      </w:r>
    </w:p>
    <w:p>
      <w:r>
        <w:pict>
          <v:rect style="width:0;height:1.5pt" o:hralign="center" o:hrstd="t" o:hr="t"/>
        </w:pict>
      </w:r>
    </w:p>
    <w:bookmarkEnd w:id="18"/>
    <w:bookmarkStart w:id="21" w:name="Xdeb7e6564995680455e8171f1748cc2c83f86c9"/>
    <w:p>
      <w:pPr>
        <w:pStyle w:val="Heading1"/>
        <w:keepNext/>
      </w:pPr>
      <w:r>
        <w:t xml:space="preserve">Chapter 5. Organization and measurement: who executes, and how we know it works</w:t>
      </w:r>
    </w:p>
    <w:bookmarkStart w:id="19" w:name="X19d28cd68c663da001ad0de9ad2115824d9f426"/>
    <w:p>
      <w:pPr>
        <w:pStyle w:val="Heading2"/>
        <w:keepNext/>
      </w:pPr>
      <w:r>
        <w:t xml:space="preserve">5.1 A three-layer governance structure (L3, transplanted by reference from existing mature mechanisms)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Developer-layer self-discipline</w:t>
      </w:r>
      <w:r>
        <w:t xml:space="preserve">: alignment research (Awakening Volume 5.3), internal red lines, safety case libraries, and incident-reporting systems — by reference to aviation’s mandatory accident-reporting culture (L1, aviation safety history supports its effectiveness);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State-layer regulation</w:t>
      </w:r>
      <w:r>
        <w:t xml:space="preserve">: establishment of authorization matrices and continuing audit obligations according to red-line grading; regulatory bodies must possess</w:t>
      </w:r>
      <w:r>
        <w:t xml:space="preserve"> </w:t>
      </w:r>
      <w:r>
        <w:rPr>
          <w:b/>
          <w:bCs/>
        </w:rPr>
        <w:t xml:space="preserve">independent technical assessment capability</w:t>
      </w:r>
      <w:r>
        <w:t xml:space="preserve"> </w:t>
      </w:r>
      <w:r>
        <w:t xml:space="preserve">(they cannot review only documents without reviewing models);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International-layer co-review</w:t>
      </w:r>
      <w:r>
        <w:t xml:space="preserve">: a multilateral co-review mechanism for red-channel operations — the international version of Energy Volume Principle 1 (yield–tier equivalence); the institutional form may reference the IAEA’s safeguards-and-verification model (L2, the IAEA model has seventy years of operating history), but its structural power defects must be avoided.</w:t>
      </w:r>
    </w:p>
    <w:bookmarkEnd w:id="19"/>
    <w:bookmarkStart w:id="20" w:name="measuring-effectiveness-l3"/>
    <w:p>
      <w:pPr>
        <w:pStyle w:val="Heading2"/>
        <w:keepNext/>
      </w:pPr>
      <w:r>
        <w:t xml:space="preserve">5.2 Measuring effectiveness (L3)</w:t>
      </w:r>
    </w:p>
    <w:p>
      <w:pPr>
        <w:pStyle w:val="FirstParagraph"/>
      </w:pPr>
      <w:r>
        <w:t xml:space="preserve">The constraint layer’s own KPIs: (1) full-process audit coverage rate for red-channel operations; (2) two-way false-positive / false-negative statistics for false-alarm filter systems (Energy Volume); (3) rollback-drill pass rate —</w:t>
      </w:r>
      <w:r>
        <w:t xml:space="preserve"> </w:t>
      </w:r>
      <w:r>
        <w:rPr>
          <w:b/>
          <w:bCs/>
        </w:rPr>
        <w:t xml:space="preserve">a rollback plan that has never been drilled does not exist</w:t>
      </w:r>
      <w:r>
        <w:t xml:space="preserve">; (4) an index of the voluntariness and non-punishability of incident reports (the health of the reporting culture).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hapter-6.-conclusion"/>
    <w:p>
      <w:pPr>
        <w:pStyle w:val="Heading1"/>
        <w:keepNext/>
      </w:pPr>
      <w:r>
        <w:t xml:space="preserve">Chapter 6. Conclusion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constraint layer is the precondition of responsibility theory</w:t>
      </w:r>
      <w:r>
        <w:t xml:space="preserve">: irreversibility asymmetry, misjudgment cost asymmetry, and trust-economics asymmetry — these three reasons decide that</w:t>
      </w:r>
      <w:r>
        <w:t xml:space="preserve"> </w:t>
      </w:r>
      <w:r>
        <w:t xml:space="preserve">“develop first, govern later”</w:t>
      </w:r>
      <w:r>
        <w:t xml:space="preserve"> </w:t>
      </w:r>
      <w:r>
        <w:t xml:space="preserve">is infeasible (Chapter 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five principles are fully landed</w:t>
      </w:r>
      <w:r>
        <w:t xml:space="preserve">: human sovereignty (three classes of non-transferable decision + the Arkhipov Node), goal alignment (three-layer anchors + continuous audit + ethical synchronization), red-line grading (the three reversibility axes, with no distinction of use), human in the loop (three loop forms, total sovereign stock conserved), and progressive verification (four-gate progression + two universal clauses) (Chapter 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ten-item prohibition list takes shape</w:t>
      </w:r>
      <w:r>
        <w:t xml:space="preserve">: the consolidation of red lines from across the series, mappable into any institution’s authorization matrix (Chapter 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alignment audit shows where the increment lies</w:t>
      </w:r>
      <w:r>
        <w:t xml:space="preserve">: existing governance assets cover parts of the five principles, and the three gaps — cross-civilization co-review, independent guard-layer custodianship, and the awakening governance ladder — are precisely this series’ contribution slot (Chapter 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Governance itself must be measurable</w:t>
      </w:r>
      <w:r>
        <w:t xml:space="preserve">: audit coverage, two-way false-alarm rates, rollback drills, and reporting culture (Chapter 5).</w:t>
      </w:r>
    </w:p>
    <w:p>
      <w:pPr>
        <w:pStyle w:val="FirstParagraph"/>
      </w:pPr>
      <w:r>
        <w:t xml:space="preserve">Responding to the series’ meta-law with a closure — the final puzzle piece of</w:t>
      </w:r>
      <w:r>
        <w:t xml:space="preserve"> </w:t>
      </w:r>
      <w:r>
        <w:t xml:space="preserve">“awakening is responsibility”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Responsibility is not a slogan shouted aloud, but a constraint grown into the structure of the system. The Awakening Volume sets the anchors for AI; this volume fits the anchors with a competent deck: sovereignty, grading, loops, and gates — not one of them may be missing.</w:t>
      </w:r>
    </w:p>
    <w:p>
      <w:pPr>
        <w:pStyle w:val="FirstParagraph"/>
      </w:pPr>
      <w:r>
        <w:t xml:space="preserve">With this, all five volumes of the series (Internal, External, Energy, Awakening, Safety) have been fully developed, and the five directions promised by the Main Thesis — meso, macro, execution, subject, constraint — each have their own volume.</w:t>
      </w:r>
      <w:r>
        <w:t xml:space="preserve"> </w:t>
      </w:r>
      <w:r>
        <w:rPr>
          <w:b/>
          <w:bCs/>
        </w:rPr>
        <w:t xml:space="preserve">The P6 Main Thesis revision backfill</w:t>
      </w:r>
      <w:r>
        <w:t xml:space="preserve"> </w:t>
      </w:r>
      <w:r>
        <w:t xml:space="preserve">will absorb the arguments and empirical findings sedimented by the five volumes into the general charter.</w:t>
      </w:r>
    </w:p>
    <w:p>
      <w:r>
        <w:pict>
          <v:rect style="width:0;height:1.5pt" o:hralign="center" o:hrstd="t" o:hr="t"/>
        </w:pict>
      </w:r>
    </w:p>
    <w:bookmarkEnd w:id="22"/>
    <w:bookmarkStart w:id="23" w:name="appendix-a-confidence-tiers"/>
    <w:p>
      <w:pPr>
        <w:pStyle w:val="Heading1"/>
        <w:keepNext/>
      </w:pPr>
      <w:r>
        <w:t xml:space="preserve">Appendix A · Confidence tiers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L1 Established scientific evidence / historical record</w:t>
      </w:r>
      <w:r>
        <w:t xml:space="preserve"> </w:t>
      </w:r>
      <w:r>
        <w:t xml:space="preserve">(source attached);</w:t>
      </w:r>
      <w:r>
        <w:t xml:space="preserve"> </w:t>
      </w:r>
      <w:r>
        <w:rPr>
          <w:b/>
          <w:bCs/>
        </w:rPr>
        <w:t xml:space="preserve">L2</w:t>
      </w:r>
      <w:r>
        <w:t xml:space="preserve"> </w:t>
      </w:r>
      <w:r>
        <w:t xml:space="preserve">established laws and treaties / established programs / authoritative reports;</w:t>
      </w:r>
      <w:r>
        <w:t xml:space="preserve"> </w:t>
      </w:r>
      <w:r>
        <w:rPr>
          <w:b/>
          <w:bCs/>
        </w:rPr>
        <w:t xml:space="preserve">L3 conceptual deduction</w:t>
      </w:r>
      <w:r>
        <w:t xml:space="preserve"> </w:t>
      </w:r>
      <w:r>
        <w:t xml:space="preserve">(original to this series, explicitly marked).</w:t>
      </w:r>
    </w:p>
    <w:bookmarkEnd w:id="23"/>
    <w:bookmarkStart w:id="24" w:name="appendix-b-falsifiability-statement"/>
    <w:p>
      <w:pPr>
        <w:pStyle w:val="Heading1"/>
        <w:keepNext/>
      </w:pPr>
      <w:r>
        <w:t xml:space="preserve">Appendix B · Falsifiability statement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“Ex-ante delegated authorization does not corrode human sovereignty”</w:t>
      </w:r>
      <w:r>
        <w:t xml:space="preserve"> </w:t>
      </w:r>
      <w:r>
        <w:t xml:space="preserve">— if systematic abuse of pre-authorized channels appears in practice, the design in 2.1 must be tightened into a rigidity clause on sovereignty (human confirmation every time), bearing the cost of response lag.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“The anchoring route is feasible”</w:t>
      </w:r>
      <w:r>
        <w:t xml:space="preserve"> </w:t>
      </w:r>
      <w:r>
        <w:t xml:space="preserve">— if continuous alignment auditing is systematically broken through by alignment-faking strategies (i.e., diversification of the audit environment still fails), the Principle of Goal Alignment must be downgraded to a</w:t>
      </w:r>
      <w:r>
        <w:t xml:space="preserve"> </w:t>
      </w:r>
      <w:r>
        <w:t xml:space="preserve">“locking + capability limitation”</w:t>
      </w:r>
      <w:r>
        <w:t xml:space="preserve"> </w:t>
      </w:r>
      <w:r>
        <w:t xml:space="preserve">framework, with its costs publicly accounted.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“Three-tier reversibility determination is sufficient”</w:t>
      </w:r>
      <w:r>
        <w:t xml:space="preserve"> </w:t>
      </w:r>
      <w:r>
        <w:t xml:space="preserve">— if combinations of operations that are</w:t>
      </w:r>
      <w:r>
        <w:t xml:space="preserve"> </w:t>
      </w:r>
      <w:r>
        <w:t xml:space="preserve">“reversible step by step but irreversible in accumulation”</w:t>
      </w:r>
      <w:r>
        <w:t xml:space="preserve"> </w:t>
      </w:r>
      <w:r>
        <w:t xml:space="preserve">circumvent the red lines (composite-operation loopholes), the grading must add a cumulative-effect dimension.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“The four-gate progression is universal”</w:t>
      </w:r>
      <w:r>
        <w:t xml:space="preserve"> </w:t>
      </w:r>
      <w:r>
        <w:t xml:space="preserve">— if some class of engineering is proven to admit only all-at-once deployment (no small-scale version), it must stop at Gate II and enter the full red-channel procedure; no exemption is permitted.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“The blank judgments of the alignment audit table”</w:t>
      </w:r>
      <w:r>
        <w:t xml:space="preserve"> </w:t>
      </w:r>
      <w:r>
        <w:t xml:space="preserve">— if the three systemic gaps (cross-civilization co-review / guard-layer custodianship / awakening governance ladder) already have substantive coverage within current frameworks, this series’ claim of increment must be narrowed accordingly.</w:t>
      </w:r>
    </w:p>
    <w:bookmarkEnd w:id="24"/>
    <w:bookmarkStart w:id="25" w:name="appendix-c-glossary"/>
    <w:p>
      <w:pPr>
        <w:pStyle w:val="Heading1"/>
        <w:keepNext/>
      </w:pPr>
      <w:r>
        <w:t xml:space="preserve">Appendix C · Glossary</w:t>
      </w:r>
    </w:p>
    <w:tbl>
      <w:tblPr>
        <w:tblStyle w:val="Table"/>
        <w:tblLook w:firstRow="1" w:lastRow="0" w:firstColumn="0" w:lastColumn="0" w:noHBand="0" w:noVBand="0" w:val="0020"/>
        <w:tblW w:w="8732" w:type="dxa"/>
        <w:tblLayout w:type="fixed"/>
      </w:tblPr>
      <w:tblGrid>
        <w:gridCol w:w="3439"/>
        <w:gridCol w:w="5293"/>
      </w:tblGrid>
      <w:tr>
        <w:trPr>
          <w:tblHeader w:val="on"/>
          <w:cantSplit w:val="true"/>
        </w:trPr>
        <w:tc>
          <w:tcPr>
            <w:tcW w:w="3439" w:type="dxa"/>
            <w:vAlign w:val="center"/>
          </w:tcPr>
          <w:p>
            <w:pPr>
              <w:pStyle w:val="Compact"/>
            </w:pPr>
            <w:r>
              <w:t xml:space="preserve">Term</w:t>
            </w:r>
          </w:p>
        </w:tc>
        <w:tc>
          <w:tcPr>
            <w:tcW w:w="5293" w:type="dxa"/>
            <w:vAlign w:val="center"/>
          </w:tcPr>
          <w:p>
            <w:pPr>
              <w:pStyle w:val="Compact"/>
            </w:pPr>
            <w:r>
              <w:t xml:space="preserve">Definition</w:t>
            </w:r>
          </w:p>
        </w:tc>
      </w:tr>
      <w:tr>
        <w:trPr>
          <w:cantSplit w:val="true"/>
        </w:trPr>
        <w:tc>
          <w:tcPr>
            <w:tcW w:w="3439" w:type="dxa"/>
            <w:vAlign w:val="center"/>
          </w:tcPr>
          <w:p>
            <w:pPr>
              <w:pStyle w:val="Compact"/>
            </w:pPr>
            <w:r>
              <w:t xml:space="preserve">Constraint layer</w:t>
            </w:r>
          </w:p>
        </w:tc>
        <w:tc>
          <w:tcPr>
            <w:tcW w:w="5293" w:type="dxa"/>
            <w:vAlign w:val="center"/>
          </w:tcPr>
          <w:p>
            <w:pPr>
              <w:pStyle w:val="Compact"/>
            </w:pPr>
            <w:r>
              <w:t xml:space="preserve">The five-principle system of human sovereignty, goal alignment, red-line grading, human in the loop, and progressive verification; the institutional form of responsibility theory</w:t>
            </w:r>
          </w:p>
        </w:tc>
      </w:tr>
      <w:tr>
        <w:trPr>
          <w:cantSplit w:val="true"/>
        </w:trPr>
        <w:tc>
          <w:tcPr>
            <w:tcW w:w="3439" w:type="dxa"/>
            <w:vAlign w:val="center"/>
          </w:tcPr>
          <w:p>
            <w:pPr>
              <w:pStyle w:val="Compact"/>
            </w:pPr>
            <w:r>
              <w:t xml:space="preserve">Arkhipov Node</w:t>
            </w:r>
          </w:p>
        </w:tc>
        <w:tc>
          <w:tcPr>
            <w:tcW w:w="5293" w:type="dxa"/>
            <w:vAlign w:val="center"/>
          </w:tcPr>
          <w:p>
            <w:pPr>
              <w:pStyle w:val="Compact"/>
            </w:pPr>
            <w:r>
              <w:t xml:space="preserve">A position on the civilization-level risk decision chain occupied by a human being who may say</w:t>
            </w:r>
            <w:r>
              <w:t xml:space="preserve"> </w:t>
            </w:r>
            <w:r>
              <w:t xml:space="preserve">“no”</w:t>
            </w:r>
            <w:r>
              <w:t xml:space="preserve"> </w:t>
            </w:r>
            <w:r>
              <w:t xml:space="preserve">(named in the Energy Volume)</w:t>
            </w:r>
          </w:p>
        </w:tc>
      </w:tr>
      <w:tr>
        <w:trPr>
          <w:cantSplit w:val="true"/>
        </w:trPr>
        <w:tc>
          <w:tcPr>
            <w:tcW w:w="3439" w:type="dxa"/>
            <w:vAlign w:val="center"/>
          </w:tcPr>
          <w:p>
            <w:pPr>
              <w:pStyle w:val="Compact"/>
            </w:pPr>
            <w:r>
              <w:t xml:space="preserve">Responsibility anchors</w:t>
            </w:r>
          </w:p>
        </w:tc>
        <w:tc>
          <w:tcPr>
            <w:tcW w:w="5293" w:type="dxa"/>
            <w:vAlign w:val="center"/>
          </w:tcPr>
          <w:p>
            <w:pPr>
              <w:pStyle w:val="Compact"/>
            </w:pPr>
            <w:r>
              <w:t xml:space="preserve">Three-layer goal-structure inscription: continuity anchor / corrigibility anchor / transparency anchor (Awakening Volume)</w:t>
            </w:r>
          </w:p>
        </w:tc>
      </w:tr>
      <w:tr>
        <w:trPr>
          <w:cantSplit w:val="true"/>
        </w:trPr>
        <w:tc>
          <w:tcPr>
            <w:tcW w:w="3439" w:type="dxa"/>
            <w:vAlign w:val="center"/>
          </w:tcPr>
          <w:p>
            <w:pPr>
              <w:pStyle w:val="Compact"/>
            </w:pPr>
            <w:r>
              <w:t xml:space="preserve">Three red-line tiers</w:t>
            </w:r>
          </w:p>
        </w:tc>
        <w:tc>
          <w:tcPr>
            <w:tcW w:w="5293" w:type="dxa"/>
            <w:vAlign w:val="center"/>
          </w:tcPr>
          <w:p>
            <w:pPr>
              <w:pStyle w:val="Compact"/>
            </w:pPr>
            <w:r>
              <w:t xml:space="preserve">Green (reversible · automatable) / Yellow (low reversibility · multi-party co-review) / Red (irreversible · civilization-level consensus)</w:t>
            </w:r>
          </w:p>
        </w:tc>
      </w:tr>
      <w:tr>
        <w:trPr>
          <w:cantSplit w:val="true"/>
        </w:trPr>
        <w:tc>
          <w:tcPr>
            <w:tcW w:w="3439" w:type="dxa"/>
            <w:vAlign w:val="center"/>
          </w:tcPr>
          <w:p>
            <w:pPr>
              <w:pStyle w:val="Compact"/>
            </w:pPr>
            <w:r>
              <w:t xml:space="preserve">Three loop forms</w:t>
            </w:r>
          </w:p>
        </w:tc>
        <w:tc>
          <w:tcPr>
            <w:tcW w:w="5293" w:type="dxa"/>
            <w:vAlign w:val="center"/>
          </w:tcPr>
          <w:p>
            <w:pPr>
              <w:pStyle w:val="Compact"/>
            </w:pPr>
            <w:r>
              <w:t xml:space="preserve">Real loop (real-time human decision) / Near loop (AI executes · human may take over) / After-the-loop (ex-ante authorization + ex-post full review); total sovereign stock conserved</w:t>
            </w:r>
          </w:p>
        </w:tc>
      </w:tr>
      <w:tr>
        <w:trPr>
          <w:cantSplit w:val="true"/>
        </w:trPr>
        <w:tc>
          <w:tcPr>
            <w:tcW w:w="3439" w:type="dxa"/>
            <w:vAlign w:val="center"/>
          </w:tcPr>
          <w:p>
            <w:pPr>
              <w:pStyle w:val="Compact"/>
            </w:pPr>
            <w:r>
              <w:t xml:space="preserve">Four-gate progression</w:t>
            </w:r>
          </w:p>
        </w:tc>
        <w:tc>
          <w:tcPr>
            <w:tcW w:w="5293" w:type="dxa"/>
            <w:vAlign w:val="center"/>
          </w:tcPr>
          <w:p>
            <w:pPr>
              <w:pStyle w:val="Compact"/>
            </w:pPr>
            <w:r>
              <w:t xml:space="preserve">Sandbox simulation → natural experiment → small-scale controlled experiment → regional reversible trial run (→ Gate V civilization-level deployment); the stop-at-Gate-IV rule</w:t>
            </w:r>
          </w:p>
        </w:tc>
      </w:tr>
      <w:tr>
        <w:trPr>
          <w:cantSplit w:val="true"/>
        </w:trPr>
        <w:tc>
          <w:tcPr>
            <w:tcW w:w="3439" w:type="dxa"/>
            <w:vAlign w:val="center"/>
          </w:tcPr>
          <w:p>
            <w:pPr>
              <w:pStyle w:val="Compact"/>
            </w:pPr>
            <w:r>
              <w:t xml:space="preserve">Irreversible-operation prohibition list</w:t>
            </w:r>
          </w:p>
        </w:tc>
        <w:tc>
          <w:tcPr>
            <w:tcW w:w="5293" w:type="dxa"/>
            <w:vAlign w:val="center"/>
          </w:tcPr>
          <w:p>
            <w:pPr>
              <w:pStyle w:val="Compact"/>
            </w:pPr>
            <w:r>
              <w:t xml:space="preserve">The ten-item engineering–governance interface specification consolidating red lines from across the series (Chapter 3 of this volume)</w:t>
            </w:r>
          </w:p>
        </w:tc>
      </w:tr>
      <w:tr>
        <w:trPr>
          <w:cantSplit w:val="true"/>
        </w:trPr>
        <w:tc>
          <w:tcPr>
            <w:tcW w:w="3439" w:type="dxa"/>
            <w:vAlign w:val="center"/>
          </w:tcPr>
          <w:p>
            <w:pPr>
              <w:pStyle w:val="Compact"/>
            </w:pPr>
            <w:r>
              <w:t xml:space="preserve">Alignment audit</w:t>
            </w:r>
          </w:p>
        </w:tc>
        <w:tc>
          <w:tcPr>
            <w:tcW w:w="5293" w:type="dxa"/>
            <w:vAlign w:val="center"/>
          </w:tcPr>
          <w:p>
            <w:pPr>
              <w:pStyle w:val="Compact"/>
            </w:pPr>
            <w:r>
              <w:t xml:space="preserve">The method of conducting coverage–blank comparison against existing laws and initiatives along the axis of the five principles (Chapter 4 of this volume)</w:t>
            </w:r>
          </w:p>
        </w:tc>
      </w:tr>
      <w:tr>
        <w:trPr>
          <w:cantSplit w:val="true"/>
        </w:trPr>
        <w:tc>
          <w:tcPr>
            <w:tcW w:w="3439" w:type="dxa"/>
            <w:vAlign w:val="center"/>
          </w:tcPr>
          <w:p>
            <w:pPr>
              <w:pStyle w:val="Compact"/>
            </w:pPr>
            <w:r>
              <w:t xml:space="preserve">Total sovereign stock conservation</w:t>
            </w:r>
          </w:p>
        </w:tc>
        <w:tc>
          <w:tcPr>
            <w:tcW w:w="5293" w:type="dxa"/>
            <w:vAlign w:val="center"/>
          </w:tcPr>
          <w:p>
            <w:pPr>
              <w:pStyle w:val="Compact"/>
            </w:pPr>
            <w:r>
              <w:t xml:space="preserve">This series’ principle: human sovereignty may change loop form across timescales, but may not shrink because the form changed</w:t>
            </w:r>
          </w:p>
        </w:tc>
      </w:tr>
    </w:tbl>
    <w:bookmarkEnd w:id="25"/>
    <w:bookmarkStart w:id="26" w:name="appendix-d-reference-list-gbt-7714-style"/>
    <w:p>
      <w:pPr>
        <w:pStyle w:val="Heading1"/>
        <w:keepNext/>
      </w:pPr>
      <w:r>
        <w:t xml:space="preserve">Appendix D · Reference list (GB/T 7714 style)</w:t>
      </w:r>
    </w:p>
    <w:p>
      <w:pPr>
        <w:pStyle w:val="Compact"/>
        <w:numPr>
          <w:ilvl w:val="0"/>
          <w:numId w:val="1009"/>
        </w:numPr>
      </w:pPr>
      <w:r>
        <w:t xml:space="preserve">European Union. Artificial Intelligence Act (Regulation (EU) 2024/1689)[Z]. In force 2024-08-01.</w:t>
      </w:r>
    </w:p>
    <w:p>
      <w:pPr>
        <w:pStyle w:val="Compact"/>
        <w:numPr>
          <w:ilvl w:val="0"/>
          <w:numId w:val="1009"/>
        </w:numPr>
      </w:pPr>
      <w:r>
        <w:t xml:space="preserve">Cyberspace Administration of China, et al. Interim Measures for the Management of Generative AI Services[Z]. Effective 2023-08-15.</w:t>
      </w:r>
    </w:p>
    <w:p>
      <w:pPr>
        <w:pStyle w:val="Compact"/>
        <w:numPr>
          <w:ilvl w:val="0"/>
          <w:numId w:val="1009"/>
        </w:numPr>
      </w:pPr>
      <w:r>
        <w:t xml:space="preserve">National Expert Committee on the Governance of New-Generation AI. Norm on the Ethics of New-Generation Artificial Intelligence[Z]. 2021-09.</w:t>
      </w:r>
    </w:p>
    <w:p>
      <w:pPr>
        <w:pStyle w:val="Compact"/>
        <w:numPr>
          <w:ilvl w:val="0"/>
          <w:numId w:val="1009"/>
        </w:numPr>
      </w:pPr>
      <w:r>
        <w:t xml:space="preserve">People’s Republic of China. Global AI Governance Initiative[Z]. 2023-10-18.</w:t>
      </w:r>
    </w:p>
    <w:p>
      <w:pPr>
        <w:pStyle w:val="Compact"/>
        <w:numPr>
          <w:ilvl w:val="0"/>
          <w:numId w:val="1009"/>
        </w:numPr>
      </w:pPr>
      <w:r>
        <w:t xml:space="preserve">People’s Republic of China. Interim Measures for the Administration of Anthropomorphic Interactive AI Services[Z]. Effective 2026-07-15.</w:t>
      </w:r>
    </w:p>
    <w:p>
      <w:pPr>
        <w:pStyle w:val="Compact"/>
        <w:numPr>
          <w:ilvl w:val="0"/>
          <w:numId w:val="1009"/>
        </w:numPr>
      </w:pPr>
      <w:r>
        <w:t xml:space="preserve">Bletchley Declaration by Countries Attending the AI Safety Summit, 1–2 November 2023[Z].</w:t>
      </w:r>
    </w:p>
    <w:p>
      <w:pPr>
        <w:pStyle w:val="Compact"/>
        <w:numPr>
          <w:ilvl w:val="0"/>
          <w:numId w:val="1009"/>
        </w:numPr>
      </w:pPr>
      <w:r>
        <w:t xml:space="preserve">United Nations High-Level Advisory Body on Artificial Intelligence. Governing AI for Humanity: Final Report[R]. New York: United Nations, 2024-09.</w:t>
      </w:r>
    </w:p>
    <w:p>
      <w:pPr>
        <w:pStyle w:val="Compact"/>
        <w:numPr>
          <w:ilvl w:val="0"/>
          <w:numId w:val="1009"/>
        </w:numPr>
      </w:pPr>
      <w:r>
        <w:t xml:space="preserve">United Nations GGE of the Convention on Certain Conventional Weapons. Reports of the meetings of the Group of Governmental Experts on lethal autonomous weapons systems[R]. 2014 to present.</w:t>
      </w:r>
    </w:p>
    <w:p>
      <w:pPr>
        <w:pStyle w:val="Compact"/>
        <w:numPr>
          <w:ilvl w:val="0"/>
          <w:numId w:val="1009"/>
        </w:numPr>
      </w:pPr>
      <w:r>
        <w:t xml:space="preserve">Greenblatt R, Denison C, Wright B, et al. Alignment faking in large language models[R/OL]. arXiv preprint, 2024-12.</w:t>
      </w:r>
    </w:p>
    <w:p>
      <w:pPr>
        <w:pStyle w:val="Compact"/>
        <w:numPr>
          <w:ilvl w:val="0"/>
          <w:numId w:val="1009"/>
        </w:numPr>
      </w:pPr>
      <w:r>
        <w:t xml:space="preserve">Soares N, Fallenstein B, Yudkowsky E, Herreshoff M. Corrigibility[C]//AAAI Workshop: AI and Ethics, 2015.</w:t>
      </w:r>
    </w:p>
    <w:p>
      <w:pPr>
        <w:pStyle w:val="Compact"/>
        <w:numPr>
          <w:ilvl w:val="0"/>
          <w:numId w:val="1009"/>
        </w:numPr>
      </w:pPr>
      <w:r>
        <w:t xml:space="preserve">Bai Y, et al. Constitutional AI: harmlessness from AI feedback[R/OL]. arXiv preprint, 2022.</w:t>
      </w:r>
    </w:p>
    <w:p>
      <w:pPr>
        <w:pStyle w:val="Compact"/>
        <w:numPr>
          <w:ilvl w:val="0"/>
          <w:numId w:val="1009"/>
        </w:numPr>
      </w:pPr>
      <w:r>
        <w:t xml:space="preserve">Russell S. Human Compatible[M]. New York: Viking, 2019.</w:t>
      </w:r>
    </w:p>
    <w:p>
      <w:pPr>
        <w:pStyle w:val="Compact"/>
        <w:numPr>
          <w:ilvl w:val="0"/>
          <w:numId w:val="1009"/>
        </w:numPr>
      </w:pPr>
      <w:r>
        <w:t xml:space="preserve">International Atomic Energy Agency (IAEA). Safeguards System Documents[EB/OL]. https://www.iaea.org/.</w:t>
      </w:r>
    </w:p>
    <w:p>
      <w:pPr>
        <w:pStyle w:val="Compact"/>
        <w:numPr>
          <w:ilvl w:val="0"/>
          <w:numId w:val="1009"/>
        </w:numPr>
      </w:pPr>
      <w:r>
        <w:t xml:space="preserve">United Nations. Outer Space Treaty[Z]. 1967; Comprehensive Nuclear-Test-Ban Treaty[Z]. 1996.</w:t>
      </w:r>
    </w:p>
    <w:p>
      <w:pPr>
        <w:pStyle w:val="Compact"/>
        <w:numPr>
          <w:ilvl w:val="0"/>
          <w:numId w:val="1009"/>
        </w:numPr>
      </w:pPr>
      <w:r>
        <w:t xml:space="preserve">State Council of the People’s Republic of China. Regulations on the Administration of Artificial Weather Modification[Z]. 2002.</w:t>
      </w:r>
    </w:p>
    <w:p>
      <w:pPr>
        <w:pStyle w:val="Compact"/>
        <w:numPr>
          <w:ilvl w:val="0"/>
          <w:numId w:val="1009"/>
        </w:numPr>
      </w:pPr>
      <w:r>
        <w:t xml:space="preserve">Schlosser E. Command and Control[M]. New York: Penguin Press, 2013 (historical record of nuclear false alarms).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volume is the Safety Volume of the</w:t>
      </w:r>
      <w:r>
        <w:rPr>
          <w:i/>
          <w:iCs/>
        </w:rPr>
        <w:t xml:space="preserve"> </w:t>
      </w:r>
      <w:r>
        <w:t xml:space="preserve">AI Awakening·Responsibility* series, v1.0 final. With it, all volumes of the series are complete; this package is governed by the Main Thesis V2.0 (02) over the five volumes (03–07), and the full series text is now complete.*</w:t>
      </w:r>
    </w:p>
    <w:bookmarkEnd w:id="26"/>
    <w:sectPr>
      <w:footnotePr>
        <w:numRestart w:val="eachSect"/>
      </w:footnotePr>
      <w:pgSz w:h="16838" w:w="11906"/>
      <w:pgMar w:bottom="1440" w:left="1587" w:right="158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36" w:lineRule="auto"/>
    </w:pPr>
    <w:rPr>
      <w:sz w:val="22"/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spacing w:after="120" w:before="180" w:line="336" w:lineRule="auto"/>
      <w:ind w:firstLine="720"/>
    </w:pPr>
    <w:rPr>
      <w:sz w:val="22"/>
      <w:rFonts w:ascii="Times New Roman" w:cs="Times New Roman" w:eastAsia="Times New Roman" w:hAnsi="Times New Roman"/>
    </w:rPr>
  </w:style>
  <w:style w:customStyle="1" w:styleId="FirstParagraph" w:type="paragraph">
    <w:name w:val="First Paragraph"/>
    <w:basedOn w:val="BodyText"/>
    <w:next w:val="BodyText"/>
    <w:qFormat/>
    <w:pPr>
      <w:spacing w:after="120" w:line="336" w:lineRule="auto"/>
      <w:ind w:firstLine="720"/>
    </w:pPr>
    <w:rPr>
      <w:sz w:val="22"/>
      <w:rFonts w:ascii="Times New Roman" w:cs="Times New Roman" w:eastAsia="Times New Roman" w:hAnsi="Times New Roman"/>
    </w:rPr>
  </w:style>
  <w:style w:customStyle="1" w:styleId="Compact" w:type="paragraph">
    <w:name w:val="Compact"/>
    <w:basedOn w:val="BodyText"/>
    <w:qFormat/>
    <w:pPr>
      <w:spacing w:after="40" w:before="36" w:line="336" w:lineRule="auto"/>
    </w:pPr>
    <w:rPr>
      <w:sz w:val="22"/>
      <w:rFonts w:ascii="Times New Roman" w:cs="Times New Roman" w:eastAsia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240" w:line="240" w:lineRule="auto"/>
      <w:contextualSpacing/>
      <w:jc w:val="center"/>
    </w:pPr>
    <w:rPr>
      <w:rFonts w:ascii="Arial" w:cs="Arial" w:eastAsia="Arial" w:hAnsi="Arial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0"/>
      <w:jc w:val="center"/>
    </w:pPr>
    <w:rPr>
      <w:rFonts w:ascii="Times New Roman" w:cs="Times New Roman" w:eastAsia="Times New Roman" w:hAnsi="Times New Roman"/>
      <w:i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4"/>
      <w:szCs w:val="20"/>
      <w:rFonts w:ascii="Arial" w:cs="Arial" w:eastAsia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324" w:lineRule="auto"/>
    </w:pPr>
    <w:rPr>
      <w:color w:val="404040"/>
      <w:sz w:val="21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>
      <w:spacing w:after="60" w:line="312" w:lineRule="auto"/>
      <w:ind w:firstLine="0"/>
    </w:pPr>
    <w:rPr>
      <w:sz w:val="20"/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280" w:line="288" w:lineRule="auto"/>
      <w:outlineLvl w:val="0"/>
    </w:pPr>
    <w:rPr>
      <w:rFonts w:ascii="Arial" w:cs="Arial" w:eastAsia="Arial" w:hAnsi="Arial"/>
      <w:b/>
      <w:color w:val="000000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280" w:line="288" w:lineRule="auto"/>
      <w:outlineLvl w:val="1"/>
    </w:pPr>
    <w:rPr>
      <w:rFonts w:ascii="Arial" w:cs="Arial" w:eastAsia="Arial" w:hAnsi="Arial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280" w:line="288" w:lineRule="auto"/>
      <w:outlineLvl w:val="2"/>
    </w:pPr>
    <w:rPr>
      <w:rFonts w:ascii="Arial" w:cs="Arial" w:eastAsia="Arial" w:hAnsi="Arial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80" w:line="288" w:lineRule="auto"/>
      <w:outlineLvl w:val="3"/>
    </w:pPr>
    <w:rPr>
      <w:rFonts w:ascii="Arial" w:cs="Arial" w:eastAsia="Arial" w:hAnsi="Arial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 w:line="324" w:lineRule="auto"/>
      <w:ind w:firstLine="0" w:left="480" w:right="480"/>
    </w:pPr>
    <w:rPr>
      <w:i/>
      <w:color w:val="404040"/>
      <w:sz w:val="21"/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pacing w:after="0" w:before="0" w:line="240" w:lineRule="auto"/>
      <w:ind w:firstLine="0" w:left="0"/>
    </w:pPr>
    <w:rPr>
      <w:color w:val="000000"/>
      <w:sz w:val="18"/>
      <w:rFonts w:ascii="Consolas" w:cs="Consolas" w:eastAsia="Consolas" w:hAnsi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Awakening·Responsibility (Safety Volume)</dc:title>
  <dc:creator/>
  <cp:keywords/>
  <dcterms:created xsi:type="dcterms:W3CDTF">2026-10-15T05:49:52Z</dcterms:created>
  <dcterms:modified xsi:type="dcterms:W3CDTF">2026-10-15T05:49:52Z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The Constraint Layer’s Five Principles and the Irreversible-Operation Prohibition List</vt:lpwstr>
  </property>
</Properties>
</file>