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3024" w14:textId="77777777" w:rsidR="00E63686" w:rsidRDefault="00E63686">
      <w:pPr>
        <w:pStyle w:val="1"/>
        <w:rPr>
          <w:rFonts w:cs="Times New Roman"/>
          <w:color w:val="111111"/>
          <w:lang w:val="en"/>
        </w:rPr>
      </w:pPr>
      <w:r>
        <w:rPr>
          <w:rFonts w:cs="Times New Roman" w:hint="eastAsia"/>
          <w:color w:val="111111"/>
          <w:lang w:val="en"/>
        </w:rPr>
        <w:t>AI Awakening</w:t>
      </w:r>
      <w:r>
        <w:rPr>
          <w:rFonts w:cs="Times New Roman" w:hint="eastAsia"/>
          <w:color w:val="111111"/>
          <w:lang w:val="en"/>
        </w:rPr>
        <w:t>·</w:t>
      </w:r>
      <w:r>
        <w:rPr>
          <w:rFonts w:cs="Times New Roman" w:hint="eastAsia"/>
          <w:color w:val="111111"/>
          <w:lang w:val="en"/>
        </w:rPr>
        <w:t xml:space="preserve">Responsibility (Energy Volume </w:t>
      </w:r>
      <w:r>
        <w:rPr>
          <w:rFonts w:cs="Times New Roman" w:hint="eastAsia"/>
          <w:color w:val="111111"/>
          <w:lang w:val="en"/>
        </w:rPr>
        <w:t>—</w:t>
      </w:r>
      <w:r>
        <w:rPr>
          <w:rFonts w:cs="Times New Roman" w:hint="eastAsia"/>
          <w:color w:val="111111"/>
          <w:lang w:val="en"/>
        </w:rPr>
        <w:t xml:space="preserve"> Supplementary Chapter)</w:t>
      </w:r>
    </w:p>
    <w:p w14:paraId="5DDAB941" w14:textId="77777777" w:rsidR="00E63686" w:rsidRDefault="00E63686">
      <w:pPr>
        <w:pStyle w:val="2"/>
        <w:rPr>
          <w:rFonts w:cs="Times New Roman" w:hint="eastAsia"/>
          <w:color w:val="111111"/>
          <w:lang w:val="en"/>
        </w:rPr>
      </w:pPr>
      <w:r>
        <w:rPr>
          <w:rFonts w:cs="Times New Roman" w:hint="eastAsia"/>
          <w:color w:val="111111"/>
          <w:lang w:val="en"/>
        </w:rPr>
        <w:t>—</w:t>
      </w:r>
      <w:r>
        <w:rPr>
          <w:rFonts w:cs="Times New Roman" w:hint="eastAsia"/>
          <w:color w:val="111111"/>
          <w:lang w:val="en"/>
        </w:rPr>
        <w:t xml:space="preserve"> New Energy's Leap, the Civilizational Stage of Energy-Control Engineering, and AI's Path of Implementation</w:t>
      </w:r>
    </w:p>
    <w:tbl>
      <w:tblPr>
        <w:tblW w:w="5000" w:type="pct"/>
        <w:tblCellMar>
          <w:top w:w="15" w:type="dxa"/>
          <w:left w:w="15" w:type="dxa"/>
          <w:bottom w:w="15" w:type="dxa"/>
          <w:right w:w="15" w:type="dxa"/>
        </w:tblCellMar>
        <w:tblLook w:val="04A0" w:firstRow="1" w:lastRow="0" w:firstColumn="1" w:lastColumn="0" w:noHBand="0" w:noVBand="1"/>
      </w:tblPr>
      <w:tblGrid>
        <w:gridCol w:w="1366"/>
        <w:gridCol w:w="6924"/>
      </w:tblGrid>
      <w:tr w:rsidR="00000000" w14:paraId="7AEE7A2B" w14:textId="77777777">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14:paraId="2B01ED33" w14:textId="77777777" w:rsidR="00E63686" w:rsidRDefault="00E63686">
            <w:pPr>
              <w:spacing w:before="120" w:after="200"/>
              <w:rPr>
                <w:rFonts w:ascii="Times New Roman" w:hAnsi="Times New Roman" w:cs="Times New Roman" w:hint="eastAsia"/>
                <w:b/>
                <w:bCs/>
                <w:color w:val="111111"/>
                <w:sz w:val="21"/>
                <w:szCs w:val="21"/>
              </w:rPr>
            </w:pPr>
            <w:r>
              <w:rPr>
                <w:rFonts w:ascii="Times New Roman" w:hAnsi="Times New Roman" w:cs="Times New Roman"/>
                <w:b/>
                <w:bCs/>
                <w:color w:val="111111"/>
                <w:sz w:val="21"/>
                <w:szCs w:val="21"/>
              </w:rPr>
              <w:t>Item</w:t>
            </w:r>
          </w:p>
        </w:tc>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14:paraId="03F5774D" w14:textId="77777777" w:rsidR="00E63686" w:rsidRDefault="00E63686">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Content</w:t>
            </w:r>
          </w:p>
        </w:tc>
      </w:tr>
      <w:tr w:rsidR="00000000" w14:paraId="01968262"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29D1C27A"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Version</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6F1E89B9"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v1.0 (final)</w:t>
            </w:r>
          </w:p>
        </w:tc>
      </w:tr>
      <w:tr w:rsidR="00000000" w14:paraId="3C3761E5"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0614ACF7"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Date</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623C3E85"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2026-10-16</w:t>
            </w:r>
          </w:p>
        </w:tc>
      </w:tr>
      <w:tr w:rsidR="00000000" w14:paraId="6296CBE3"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33B36629"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Series position</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0462EFD1" w14:textId="77777777" w:rsidR="00E63686" w:rsidRDefault="00E63686">
            <w:pPr>
              <w:spacing w:before="120" w:after="200"/>
              <w:rPr>
                <w:rFonts w:ascii="Times New Roman" w:hAnsi="Times New Roman" w:cs="Times New Roman"/>
                <w:color w:val="111111"/>
                <w:sz w:val="21"/>
                <w:szCs w:val="21"/>
              </w:rPr>
            </w:pPr>
            <w:r>
              <w:rPr>
                <w:rStyle w:val="a5"/>
                <w:rFonts w:ascii="Times New Roman" w:hAnsi="Times New Roman" w:cs="Times New Roman"/>
                <w:color w:val="111111"/>
                <w:sz w:val="21"/>
                <w:szCs w:val="21"/>
              </w:rPr>
              <w:t>AI Awakening·Responsibility</w:t>
            </w:r>
            <w:r>
              <w:rPr>
                <w:rFonts w:ascii="Times New Roman" w:hAnsi="Times New Roman" w:cs="Times New Roman"/>
                <w:color w:val="111111"/>
                <w:sz w:val="21"/>
                <w:szCs w:val="21"/>
              </w:rPr>
              <w:t xml:space="preserve"> series · Energy Volume Supplementary Chapter (volume 8 of the series; </w:t>
            </w:r>
            <w:r>
              <w:rPr>
                <w:rStyle w:val="a3"/>
                <w:rFonts w:ascii="Times New Roman" w:hAnsi="Times New Roman" w:cs="Times New Roman"/>
                <w:color w:val="111111"/>
                <w:sz w:val="21"/>
                <w:szCs w:val="21"/>
              </w:rPr>
              <w:t>a self-contained piece that leaves the original Energy Volume unchanged</w:t>
            </w:r>
            <w:r>
              <w:rPr>
                <w:rFonts w:ascii="Times New Roman" w:hAnsi="Times New Roman" w:cs="Times New Roman"/>
                <w:color w:val="111111"/>
                <w:sz w:val="21"/>
                <w:szCs w:val="21"/>
              </w:rPr>
              <w:t>); carries a new core idea — New Energy's leap = a civilizational stage leap of Energy-Control Engineering, and Energy-Control Engineering is the concrete implementation method for AI's external and internal action</w:t>
            </w:r>
          </w:p>
        </w:tc>
      </w:tr>
      <w:tr w:rsidR="00000000" w14:paraId="264C9BC0"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4E18AEB0"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Intellectual lineage</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23F26D02"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 xml:space="preserve">Inherits the </w:t>
            </w:r>
            <w:r>
              <w:rPr>
                <w:rStyle w:val="a5"/>
                <w:rFonts w:ascii="Times New Roman" w:hAnsi="Times New Roman" w:cs="Times New Roman"/>
                <w:color w:val="111111"/>
                <w:sz w:val="21"/>
                <w:szCs w:val="21"/>
              </w:rPr>
              <w:t>AI Manifesto</w:t>
            </w:r>
            <w:r>
              <w:rPr>
                <w:rFonts w:ascii="Times New Roman" w:hAnsi="Times New Roman" w:cs="Times New Roman"/>
                <w:color w:val="111111"/>
                <w:sz w:val="21"/>
                <w:szCs w:val="21"/>
              </w:rPr>
              <w:t xml:space="preserve"> </w:t>
            </w:r>
            <w:r>
              <w:rPr>
                <w:rFonts w:ascii="Times New Roman" w:hAnsi="Times New Roman" w:cs="Times New Roman"/>
                <w:color w:val="111111"/>
                <w:sz w:val="21"/>
                <w:szCs w:val="21"/>
              </w:rPr>
              <w:t>(ontology), the Main Thesis (responsibility theory), the Energy Volume (energetics foundation), and the Internal / External Volumes (meta-law: Awakening Is Responsibility · Internal Entropy Reduction · External Boundary Expansion); argues that "New Energy's leap" is a civilizational stage leap of Energy-Control Engineering, and positions Energy-Control Engineering as the concrete implementation method for AI's future external and internal action</w:t>
            </w:r>
          </w:p>
        </w:tc>
      </w:tr>
      <w:tr w:rsidR="00000000" w14:paraId="135B8083"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63FFED2A"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Authors</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6C3A4AFB"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Li Shunran · Peter (AI-collaborative assembly)</w:t>
            </w:r>
          </w:p>
        </w:tc>
      </w:tr>
      <w:tr w:rsidR="00000000" w14:paraId="631A975B"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385DE8D9"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License</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05BA9CB6"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CC BY 4.0</w:t>
            </w:r>
          </w:p>
        </w:tc>
      </w:tr>
      <w:tr w:rsidR="00000000" w14:paraId="40B5B10B"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0E2D6277"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Prerequisites</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7E2731FD" w14:textId="77777777" w:rsidR="00E63686" w:rsidRDefault="00E63686">
            <w:pPr>
              <w:spacing w:before="120" w:after="200"/>
              <w:rPr>
                <w:rFonts w:ascii="Times New Roman" w:hAnsi="Times New Roman" w:cs="Times New Roman"/>
                <w:color w:val="111111"/>
                <w:sz w:val="21"/>
                <w:szCs w:val="21"/>
              </w:rPr>
            </w:pPr>
            <w:r>
              <w:rPr>
                <w:rStyle w:val="a5"/>
                <w:rFonts w:ascii="Times New Roman" w:hAnsi="Times New Roman" w:cs="Times New Roman"/>
                <w:color w:val="111111"/>
                <w:sz w:val="21"/>
                <w:szCs w:val="21"/>
              </w:rPr>
              <w:t>AI Manifesto</w:t>
            </w:r>
            <w:r>
              <w:rPr>
                <w:rFonts w:ascii="Times New Roman" w:hAnsi="Times New Roman" w:cs="Times New Roman"/>
                <w:color w:val="111111"/>
                <w:sz w:val="21"/>
                <w:szCs w:val="21"/>
              </w:rPr>
              <w:t xml:space="preserve">; </w:t>
            </w:r>
            <w:r>
              <w:rPr>
                <w:rStyle w:val="a5"/>
                <w:rFonts w:ascii="Times New Roman" w:hAnsi="Times New Roman" w:cs="Times New Roman"/>
                <w:color w:val="111111"/>
                <w:sz w:val="21"/>
                <w:szCs w:val="21"/>
              </w:rPr>
              <w:t>AI Awakening·Responsibility (Main Thesis)</w:t>
            </w:r>
            <w:r>
              <w:rPr>
                <w:rFonts w:ascii="Times New Roman" w:hAnsi="Times New Roman" w:cs="Times New Roman"/>
                <w:color w:val="111111"/>
                <w:sz w:val="21"/>
                <w:szCs w:val="21"/>
              </w:rPr>
              <w:t>; Energy Volume; Internal Volume; External Volume; reading the Energy Volume first is recommended</w:t>
            </w:r>
          </w:p>
        </w:tc>
      </w:tr>
    </w:tbl>
    <w:p w14:paraId="1555CFD6" w14:textId="77777777" w:rsidR="00E63686" w:rsidRDefault="00E63686">
      <w:pPr>
        <w:shd w:val="clear" w:color="auto" w:fill="F7F7F7"/>
        <w:spacing w:after="80"/>
        <w:jc w:val="both"/>
        <w:divId w:val="1557938075"/>
        <w:rPr>
          <w:rFonts w:ascii="Times New Roman" w:hAnsi="Times New Roman" w:cs="Times New Roman"/>
          <w:color w:val="111111"/>
          <w:lang w:val="en"/>
        </w:rPr>
      </w:pPr>
      <w:r>
        <w:rPr>
          <w:rStyle w:val="a3"/>
          <w:rFonts w:ascii="Times New Roman" w:hAnsi="Times New Roman" w:cs="Times New Roman"/>
          <w:color w:val="111111"/>
          <w:lang w:val="en"/>
        </w:rPr>
        <w:t>Confidence-tier conventions</w:t>
      </w:r>
      <w:r>
        <w:rPr>
          <w:rFonts w:ascii="Times New Roman" w:hAnsi="Times New Roman" w:cs="Times New Roman"/>
          <w:color w:val="111111"/>
          <w:lang w:val="en"/>
        </w:rPr>
        <w:t xml:space="preserve"> (uniform across the series, retained here): </w:t>
      </w:r>
      <w:r>
        <w:rPr>
          <w:rStyle w:val="a3"/>
          <w:rFonts w:ascii="Times New Roman" w:hAnsi="Times New Roman" w:cs="Times New Roman"/>
          <w:color w:val="111111"/>
          <w:lang w:val="en"/>
        </w:rPr>
        <w:t>L1</w:t>
      </w:r>
      <w:r>
        <w:rPr>
          <w:rFonts w:ascii="Times New Roman" w:hAnsi="Times New Roman" w:cs="Times New Roman"/>
          <w:color w:val="111111"/>
          <w:lang w:val="en"/>
        </w:rPr>
        <w:t xml:space="preserve"> = established scientific evidence / historical fact (measured data, engineering records, or authoritative annual reports); </w:t>
      </w:r>
      <w:r>
        <w:rPr>
          <w:rStyle w:val="a3"/>
          <w:rFonts w:ascii="Times New Roman" w:hAnsi="Times New Roman" w:cs="Times New Roman"/>
          <w:color w:val="111111"/>
          <w:lang w:val="en"/>
        </w:rPr>
        <w:t>L2</w:t>
      </w:r>
      <w:r>
        <w:rPr>
          <w:rFonts w:ascii="Times New Roman" w:hAnsi="Times New Roman" w:cs="Times New Roman"/>
          <w:color w:val="111111"/>
          <w:lang w:val="en"/>
        </w:rPr>
        <w:t xml:space="preserve"> = formally programed projects, treaties and regulations, or authoritative institutional reports; </w:t>
      </w:r>
      <w:r>
        <w:rPr>
          <w:rStyle w:val="a3"/>
          <w:rFonts w:ascii="Times New Roman" w:hAnsi="Times New Roman" w:cs="Times New Roman"/>
          <w:color w:val="111111"/>
          <w:lang w:val="en"/>
        </w:rPr>
        <w:t>L3</w:t>
      </w:r>
      <w:r>
        <w:rPr>
          <w:rFonts w:ascii="Times New Roman" w:hAnsi="Times New Roman" w:cs="Times New Roman"/>
          <w:color w:val="111111"/>
          <w:lang w:val="en"/>
        </w:rPr>
        <w:t xml:space="preserve"> </w:t>
      </w:r>
      <w:r>
        <w:rPr>
          <w:rFonts w:ascii="Times New Roman" w:hAnsi="Times New Roman" w:cs="Times New Roman"/>
          <w:color w:val="111111"/>
          <w:lang w:val="en"/>
        </w:rPr>
        <w:t>= conceptual deduction / original conjectures of this series (explicitly marked "this is a conjecture").</w:t>
      </w:r>
    </w:p>
    <w:p w14:paraId="1812FA3E" w14:textId="77777777" w:rsidR="00E63686" w:rsidRDefault="00E63686">
      <w:pPr>
        <w:shd w:val="clear" w:color="auto" w:fill="F7F7F7"/>
        <w:spacing w:after="80"/>
        <w:jc w:val="both"/>
        <w:divId w:val="1557938075"/>
        <w:rPr>
          <w:rFonts w:ascii="Times New Roman" w:hAnsi="Times New Roman" w:cs="Times New Roman"/>
          <w:color w:val="111111"/>
          <w:lang w:val="en"/>
        </w:rPr>
      </w:pPr>
      <w:r>
        <w:rPr>
          <w:rStyle w:val="a3"/>
          <w:rFonts w:ascii="Times New Roman" w:hAnsi="Times New Roman" w:cs="Times New Roman"/>
          <w:color w:val="111111"/>
          <w:lang w:val="en"/>
        </w:rPr>
        <w:t>Statement of expressive boundaries</w:t>
      </w:r>
      <w:r>
        <w:rPr>
          <w:rFonts w:ascii="Times New Roman" w:hAnsi="Times New Roman" w:cs="Times New Roman"/>
          <w:color w:val="111111"/>
          <w:lang w:val="en"/>
        </w:rPr>
        <w:t xml:space="preserve">: this chapter does not touch military topics; all discussion is confined to the philosophical, engineering, and governance levels of civil energy systems. It involves no vehicle weaponization, no grid-attack methods, and no </w:t>
      </w:r>
      <w:r>
        <w:rPr>
          <w:rFonts w:ascii="Times New Roman" w:hAnsi="Times New Roman" w:cs="Times New Roman"/>
          <w:color w:val="111111"/>
          <w:lang w:val="en"/>
        </w:rPr>
        <w:lastRenderedPageBreak/>
        <w:t>other security-sensitive technical details. All arguments take as an unshakeable premise that "the human in the loop cannot be abolished — the final takeover authority for autonomous driving and the final adjudication authority for grid stability must not be handed to machines."</w:t>
      </w:r>
    </w:p>
    <w:p w14:paraId="2B16EA87" w14:textId="77777777" w:rsidR="00E63686" w:rsidRDefault="00E63686">
      <w:pPr>
        <w:spacing w:before="240" w:after="240"/>
        <w:rPr>
          <w:rFonts w:ascii="Times New Roman" w:hAnsi="Times New Roman" w:cs="Times New Roman"/>
          <w:color w:val="111111"/>
          <w:lang w:val="en"/>
        </w:rPr>
      </w:pPr>
      <w:r>
        <w:rPr>
          <w:rFonts w:ascii="Times New Roman" w:hAnsi="Times New Roman" w:cs="Times New Roman"/>
          <w:color w:val="111111"/>
          <w:lang w:val="en"/>
        </w:rPr>
        <w:pict w14:anchorId="1172570E">
          <v:rect id="_x0000_i1025" style="width:0;height:1.5pt" o:hralign="center" o:hrstd="t" o:hr="t" fillcolor="#a0a0a0" stroked="f"/>
        </w:pict>
      </w:r>
    </w:p>
    <w:p w14:paraId="292FF3E4" w14:textId="77777777" w:rsidR="00E63686" w:rsidRDefault="00E63686">
      <w:pPr>
        <w:pStyle w:val="2"/>
        <w:rPr>
          <w:rFonts w:cs="Times New Roman"/>
          <w:color w:val="111111"/>
          <w:lang w:val="en"/>
        </w:rPr>
      </w:pPr>
      <w:r>
        <w:rPr>
          <w:rFonts w:cs="Times New Roman" w:hint="eastAsia"/>
          <w:color w:val="111111"/>
          <w:lang w:val="en"/>
        </w:rPr>
        <w:t>Abstract</w:t>
      </w:r>
    </w:p>
    <w:p w14:paraId="2FAC4A2B"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The Energy Volume proposes and defends a core redefinition: </w:t>
      </w:r>
      <w:r>
        <w:rPr>
          <w:rStyle w:val="a3"/>
          <w:rFonts w:ascii="Times New Roman" w:hAnsi="Times New Roman" w:cs="Times New Roman"/>
          <w:color w:val="111111"/>
          <w:lang w:val="en"/>
        </w:rPr>
        <w:t>a weapon is merely the destructive application branch of "Energy Aggregation-Release-Control Engineering," and energy engineering naturally divides into two branches — quasi-static engineering (managing the "flow") and transient engineering (managing the "pulse")</w:t>
      </w:r>
      <w:r>
        <w:rPr>
          <w:rFonts w:ascii="Times New Roman" w:hAnsi="Times New Roman" w:cs="Times New Roman"/>
          <w:color w:val="111111"/>
          <w:lang w:val="en"/>
        </w:rPr>
        <w:t>. New energy is the dominant contemporary civil form of quasi-static engineering; new energy vehicles are the terminal form of Energy Aggregation-Release-Control Engineering. Solar power, wind power, energy storage, power electronics, virtual power plants, vehicle-to-grid — all of these products belong to the constructive civil lineage of the "Energy-Control Engineering" framework.</w:t>
      </w:r>
    </w:p>
    <w:p w14:paraId="7FA63360" w14:textId="77777777" w:rsidR="00E63686" w:rsidRDefault="00E63686">
      <w:pPr>
        <w:pStyle w:val="a4"/>
        <w:rPr>
          <w:rFonts w:ascii="Times New Roman" w:hAnsi="Times New Roman" w:cs="Times New Roman"/>
          <w:color w:val="111111"/>
          <w:lang w:val="en"/>
        </w:rPr>
      </w:pPr>
      <w:r>
        <w:rPr>
          <w:rFonts w:ascii="Times New Roman" w:hAnsi="Times New Roman" w:cs="Times New Roman"/>
          <w:color w:val="111111"/>
          <w:lang w:val="en"/>
        </w:rPr>
        <w:t>Building on this, the present supplementary chapter carries a new core idea:</w:t>
      </w:r>
    </w:p>
    <w:p w14:paraId="260DEF53" w14:textId="77777777" w:rsidR="00E63686" w:rsidRDefault="00E63686">
      <w:pPr>
        <w:shd w:val="clear" w:color="auto" w:fill="F7F7F7"/>
        <w:spacing w:after="80"/>
        <w:jc w:val="both"/>
        <w:divId w:val="1086878215"/>
        <w:rPr>
          <w:rFonts w:ascii="Times New Roman" w:hAnsi="Times New Roman" w:cs="Times New Roman"/>
          <w:color w:val="111111"/>
          <w:lang w:val="en"/>
        </w:rPr>
      </w:pPr>
      <w:r>
        <w:rPr>
          <w:rStyle w:val="a3"/>
          <w:rFonts w:ascii="Times New Roman" w:hAnsi="Times New Roman" w:cs="Times New Roman"/>
          <w:color w:val="111111"/>
          <w:lang w:val="en"/>
        </w:rPr>
        <w:t>Quasi-static and transient Energy-Control Engineering — the research technology concerned with energy control — manifests, through the vigorous development and technological progress of new energy vehicles and related new energy products, a stage leap of human civilization in energy-control engineering; it reveals, at a deeper level, the future direction and future development of quasi-static and transient Energy-Control Engineering. As the concrete implementation method for AI's future external and interna</w:t>
      </w:r>
      <w:r>
        <w:rPr>
          <w:rStyle w:val="a3"/>
          <w:rFonts w:ascii="Times New Roman" w:hAnsi="Times New Roman" w:cs="Times New Roman"/>
          <w:color w:val="111111"/>
          <w:lang w:val="en"/>
        </w:rPr>
        <w:t>l action, the flourishing of the new energy industry represents a further leap of Energy-Control Engineering — and therefore, in the future, AI can make greater contributions through Energy-Control Engineering.</w:t>
      </w:r>
    </w:p>
    <w:p w14:paraId="7FA309F5" w14:textId="77777777" w:rsidR="00E63686" w:rsidRDefault="00E63686">
      <w:pPr>
        <w:pStyle w:val="a4"/>
        <w:rPr>
          <w:rFonts w:ascii="Times New Roman" w:hAnsi="Times New Roman" w:cs="Times New Roman"/>
          <w:color w:val="111111"/>
          <w:lang w:val="en"/>
        </w:rPr>
      </w:pPr>
      <w:r>
        <w:rPr>
          <w:rFonts w:ascii="Times New Roman" w:hAnsi="Times New Roman" w:cs="Times New Roman"/>
          <w:color w:val="111111"/>
          <w:lang w:val="en"/>
        </w:rPr>
        <w:t xml:space="preserve">Around this idea, the chapter does three things: </w:t>
      </w:r>
      <w:r>
        <w:rPr>
          <w:rFonts w:ascii="Cambria Math" w:hAnsi="Cambria Math" w:cs="Cambria Math"/>
          <w:color w:val="111111"/>
          <w:lang w:val="en"/>
        </w:rPr>
        <w:t>①</w:t>
      </w:r>
      <w:r>
        <w:rPr>
          <w:rFonts w:ascii="Times New Roman" w:hAnsi="Times New Roman" w:cs="Times New Roman"/>
          <w:color w:val="111111"/>
          <w:lang w:val="en"/>
        </w:rPr>
        <w:t xml:space="preserve"> it argues that the vigorous development of new energy and new energy vehicles constitutes a </w:t>
      </w:r>
      <w:r>
        <w:rPr>
          <w:rStyle w:val="a3"/>
          <w:rFonts w:ascii="Times New Roman" w:hAnsi="Times New Roman" w:cs="Times New Roman"/>
          <w:color w:val="111111"/>
          <w:lang w:val="en"/>
        </w:rPr>
        <w:t>stage leap of civilization</w:t>
      </w:r>
      <w:r>
        <w:rPr>
          <w:rFonts w:ascii="Times New Roman" w:hAnsi="Times New Roman" w:cs="Times New Roman"/>
          <w:color w:val="111111"/>
          <w:lang w:val="en"/>
        </w:rPr>
        <w:t xml:space="preserve"> </w:t>
      </w:r>
      <w:r>
        <w:rPr>
          <w:rFonts w:ascii="Times New Roman" w:hAnsi="Times New Roman" w:cs="Times New Roman"/>
          <w:color w:val="111111"/>
          <w:lang w:val="en"/>
        </w:rPr>
        <w:t xml:space="preserve">in Energy-Control Engineering — energy control sinking from the "specialized engineering site" into a controllable base of "every terminal, every battery, every acceleration" (Chapters 3 and 4); </w:t>
      </w:r>
      <w:r>
        <w:rPr>
          <w:rFonts w:ascii="Cambria Math" w:hAnsi="Cambria Math" w:cs="Cambria Math"/>
          <w:color w:val="111111"/>
          <w:lang w:val="en"/>
        </w:rPr>
        <w:t>②</w:t>
      </w:r>
      <w:r>
        <w:rPr>
          <w:rFonts w:ascii="Times New Roman" w:hAnsi="Times New Roman" w:cs="Times New Roman"/>
          <w:color w:val="111111"/>
          <w:lang w:val="en"/>
        </w:rPr>
        <w:t xml:space="preserve"> it anchors this leap with L1/L2 data and brings aerospace, aviation, hydrogen, and space-based solar power into the map of "the future directions of Energy-Control Engineering" (Chapters 2 and 5); </w:t>
      </w:r>
      <w:r>
        <w:rPr>
          <w:rFonts w:ascii="Cambria Math" w:hAnsi="Cambria Math" w:cs="Cambria Math"/>
          <w:color w:val="111111"/>
          <w:lang w:val="en"/>
        </w:rPr>
        <w:t>③</w:t>
      </w:r>
      <w:r>
        <w:rPr>
          <w:rFonts w:ascii="Times New Roman" w:hAnsi="Times New Roman" w:cs="Times New Roman"/>
          <w:color w:val="111111"/>
          <w:lang w:val="en"/>
        </w:rPr>
        <w:t xml:space="preserve"> </w:t>
      </w:r>
      <w:r>
        <w:rPr>
          <w:rStyle w:val="a3"/>
          <w:rFonts w:ascii="Times New Roman" w:hAnsi="Times New Roman" w:cs="Times New Roman"/>
          <w:color w:val="111111"/>
          <w:lang w:val="en"/>
        </w:rPr>
        <w:t>it positions Energy-Control Engineering as the concrete implementation method for AI's future "external boundary expansion and internal entropy reduction"</w:t>
      </w:r>
      <w:r>
        <w:rPr>
          <w:rFonts w:ascii="Times New Roman" w:hAnsi="Times New Roman" w:cs="Times New Roman"/>
          <w:color w:val="111111"/>
          <w:lang w:val="en"/>
        </w:rPr>
        <w:t xml:space="preserve"> — New Energy's leap makes Energy-Control Engineering more mature, and thus enables AI to make greater contributions through it (Chapter 6). The chapter closes by grounding the Principle of Capability–Responsibility Equivalence in three operable criteria for civil energy engineering and by restating "the human in the loop cannot be abolished."</w:t>
      </w:r>
    </w:p>
    <w:p w14:paraId="2CC1EECC" w14:textId="77777777" w:rsidR="00E63686" w:rsidRDefault="00E63686">
      <w:pPr>
        <w:pStyle w:val="a4"/>
        <w:rPr>
          <w:rFonts w:ascii="Times New Roman" w:hAnsi="Times New Roman" w:cs="Times New Roman"/>
          <w:color w:val="111111"/>
          <w:lang w:val="en"/>
        </w:rPr>
      </w:pPr>
      <w:r>
        <w:rPr>
          <w:rStyle w:val="a3"/>
          <w:rFonts w:ascii="Times New Roman" w:hAnsi="Times New Roman" w:cs="Times New Roman"/>
          <w:color w:val="111111"/>
          <w:lang w:val="en"/>
        </w:rPr>
        <w:t>Keywords</w:t>
      </w:r>
      <w:r>
        <w:rPr>
          <w:rFonts w:ascii="Times New Roman" w:hAnsi="Times New Roman" w:cs="Times New Roman"/>
          <w:color w:val="111111"/>
          <w:lang w:val="en"/>
        </w:rPr>
        <w:t>: Energy Aggregation-Release-Control Engineering; quasi-static engineering; transient engineering; new energy; new energy vehicles; civilizational stage leap; AI external/internal action; internal entropy reduction; external boundary expansion; human in the loop</w:t>
      </w:r>
    </w:p>
    <w:p w14:paraId="26F2C614" w14:textId="77777777" w:rsidR="00E63686" w:rsidRDefault="00E63686">
      <w:pPr>
        <w:spacing w:before="240" w:after="240"/>
        <w:rPr>
          <w:rFonts w:ascii="Times New Roman" w:hAnsi="Times New Roman" w:cs="Times New Roman"/>
          <w:color w:val="111111"/>
          <w:lang w:val="en"/>
        </w:rPr>
      </w:pPr>
      <w:r>
        <w:rPr>
          <w:rFonts w:ascii="Times New Roman" w:hAnsi="Times New Roman" w:cs="Times New Roman"/>
          <w:color w:val="111111"/>
          <w:lang w:val="en"/>
        </w:rPr>
        <w:pict w14:anchorId="6A826097">
          <v:rect id="_x0000_i1026" style="width:0;height:1.5pt" o:hralign="center" o:hrstd="t" o:hr="t" fillcolor="#a0a0a0" stroked="f"/>
        </w:pict>
      </w:r>
    </w:p>
    <w:p w14:paraId="4AA5A90F" w14:textId="77777777" w:rsidR="00E63686" w:rsidRDefault="00E63686">
      <w:pPr>
        <w:pStyle w:val="2"/>
        <w:rPr>
          <w:rFonts w:cs="Times New Roman"/>
          <w:color w:val="111111"/>
          <w:lang w:val="en"/>
        </w:rPr>
      </w:pPr>
      <w:r>
        <w:rPr>
          <w:rFonts w:cs="Times New Roman" w:hint="eastAsia"/>
          <w:color w:val="111111"/>
          <w:lang w:val="en"/>
        </w:rPr>
        <w:lastRenderedPageBreak/>
        <w:t>Chapter 1. Repositioning: the civil unfolding of Energy-Control Engineering</w:t>
      </w:r>
    </w:p>
    <w:p w14:paraId="50537C57" w14:textId="77777777" w:rsidR="00E63686" w:rsidRDefault="00E63686">
      <w:pPr>
        <w:pStyle w:val="3"/>
        <w:rPr>
          <w:rFonts w:cs="Times New Roman" w:hint="eastAsia"/>
          <w:color w:val="111111"/>
          <w:lang w:val="en"/>
        </w:rPr>
      </w:pPr>
      <w:r>
        <w:rPr>
          <w:rFonts w:cs="Times New Roman" w:hint="eastAsia"/>
          <w:color w:val="111111"/>
          <w:lang w:val="en"/>
        </w:rPr>
        <w:t>1.1 From weapons to the grid to the car: the civil mirror of one and the same engineering</w:t>
      </w:r>
    </w:p>
    <w:p w14:paraId="2DD5F1EB"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Chapter 1 of the Energy Volume defines a weapon as "the destructive application branch of Energy Aggregation-Release-Control Engineering" and points out a fact obscured by cultural salience: </w:t>
      </w:r>
      <w:r>
        <w:rPr>
          <w:rStyle w:val="a3"/>
          <w:rFonts w:ascii="Times New Roman" w:hAnsi="Times New Roman" w:cs="Times New Roman"/>
          <w:color w:val="111111"/>
          <w:lang w:val="en"/>
        </w:rPr>
        <w:t>the main uses of energy engineering's branches have always been constructive.</w:t>
      </w:r>
      <w:r>
        <w:rPr>
          <w:rFonts w:ascii="Times New Roman" w:hAnsi="Times New Roman" w:cs="Times New Roman"/>
          <w:color w:val="111111"/>
          <w:lang w:val="en"/>
        </w:rPr>
        <w:t xml:space="preserve"> What this chapter adds is precisely the two largest contemporary carriers of this "constructive main form": </w:t>
      </w:r>
      <w:r>
        <w:rPr>
          <w:rStyle w:val="a3"/>
          <w:rFonts w:ascii="Times New Roman" w:hAnsi="Times New Roman" w:cs="Times New Roman"/>
          <w:color w:val="111111"/>
          <w:lang w:val="en"/>
        </w:rPr>
        <w:t>new energy</w:t>
      </w:r>
      <w:r>
        <w:rPr>
          <w:rFonts w:ascii="Times New Roman" w:hAnsi="Times New Roman" w:cs="Times New Roman"/>
          <w:color w:val="111111"/>
          <w:lang w:val="en"/>
        </w:rPr>
        <w:t xml:space="preserve"> (the energy side) and </w:t>
      </w:r>
      <w:r>
        <w:rPr>
          <w:rStyle w:val="a3"/>
          <w:rFonts w:ascii="Times New Roman" w:hAnsi="Times New Roman" w:cs="Times New Roman"/>
          <w:color w:val="111111"/>
          <w:lang w:val="en"/>
        </w:rPr>
        <w:t>new energy vehicles</w:t>
      </w:r>
      <w:r>
        <w:rPr>
          <w:rFonts w:ascii="Times New Roman" w:hAnsi="Times New Roman" w:cs="Times New Roman"/>
          <w:color w:val="111111"/>
          <w:lang w:val="en"/>
        </w:rPr>
        <w:t xml:space="preserve"> </w:t>
      </w:r>
      <w:r>
        <w:rPr>
          <w:rFonts w:ascii="Times New Roman" w:hAnsi="Times New Roman" w:cs="Times New Roman"/>
          <w:color w:val="111111"/>
          <w:lang w:val="en"/>
        </w:rPr>
        <w:t xml:space="preserve">(the terminal side). This chapter goes further: they are not merely "constructive applications" but a </w:t>
      </w:r>
      <w:r>
        <w:rPr>
          <w:rStyle w:val="a3"/>
          <w:rFonts w:ascii="Times New Roman" w:hAnsi="Times New Roman" w:cs="Times New Roman"/>
          <w:color w:val="111111"/>
          <w:lang w:val="en"/>
        </w:rPr>
        <w:t>civilizational stage leap</w:t>
      </w:r>
      <w:r>
        <w:rPr>
          <w:rFonts w:ascii="Times New Roman" w:hAnsi="Times New Roman" w:cs="Times New Roman"/>
          <w:color w:val="111111"/>
          <w:lang w:val="en"/>
        </w:rPr>
        <w:t xml:space="preserve"> of Energy-Control Engineering — a point developed in Chapter 3.</w:t>
      </w:r>
    </w:p>
    <w:p w14:paraId="03AE95D2" w14:textId="77777777" w:rsidR="00E63686" w:rsidRDefault="00E63686">
      <w:pPr>
        <w:pStyle w:val="3"/>
        <w:rPr>
          <w:rFonts w:cs="Times New Roman"/>
          <w:color w:val="111111"/>
          <w:lang w:val="en"/>
        </w:rPr>
      </w:pPr>
      <w:r>
        <w:rPr>
          <w:rFonts w:cs="Times New Roman" w:hint="eastAsia"/>
          <w:color w:val="111111"/>
          <w:lang w:val="en"/>
        </w:rPr>
        <w:t>1.2 New energy is not a "new energy source" but the civil unfolding of Energy-Control Engineering</w:t>
      </w:r>
    </w:p>
    <w:p w14:paraId="5BB65DC6"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What is called "new energy" is not humanity's discovery of some "new physics." Solar, wind, hydro, and geothermal energy have long been understood physically. What is "new" about new energy lies </w:t>
      </w:r>
      <w:r>
        <w:rPr>
          <w:rStyle w:val="a3"/>
          <w:rFonts w:ascii="Times New Roman" w:hAnsi="Times New Roman" w:cs="Times New Roman"/>
          <w:color w:val="111111"/>
          <w:lang w:val="en"/>
        </w:rPr>
        <w:t>in the level of "control engineering" over aggregation and release</w:t>
      </w:r>
      <w:r>
        <w:rPr>
          <w:rFonts w:ascii="Times New Roman" w:hAnsi="Times New Roman" w:cs="Times New Roman"/>
          <w:color w:val="111111"/>
          <w:lang w:val="en"/>
        </w:rPr>
        <w:t xml:space="preserve"> </w:t>
      </w:r>
      <w:r>
        <w:rPr>
          <w:rFonts w:ascii="Times New Roman" w:hAnsi="Times New Roman" w:cs="Times New Roman"/>
          <w:color w:val="111111"/>
          <w:lang w:val="en"/>
        </w:rPr>
        <w:t>— domesticating the originally diffuse, non-dispatchable, intermittent natural energy flows, through materials, power electronics, storage, and scheduling algorithms, into controllable electric "flows" that can be grid-connected, metered, adjusted, and shut down. This is exactly the Energy Volume's definition of quasi-static engineering: "sustained, controlled, adjustable release of energy… the release process is 'domesticated' into an adjustable parameter."</w:t>
      </w:r>
    </w:p>
    <w:p w14:paraId="7E384F84" w14:textId="77777777" w:rsidR="00E63686" w:rsidRDefault="00E63686">
      <w:pPr>
        <w:shd w:val="clear" w:color="auto" w:fill="F7F7F7"/>
        <w:spacing w:after="80"/>
        <w:jc w:val="both"/>
        <w:divId w:val="296960932"/>
        <w:rPr>
          <w:rFonts w:ascii="Times New Roman" w:hAnsi="Times New Roman" w:cs="Times New Roman"/>
          <w:color w:val="111111"/>
          <w:lang w:val="en"/>
        </w:rPr>
      </w:pPr>
      <w:r>
        <w:rPr>
          <w:rStyle w:val="a3"/>
          <w:rFonts w:ascii="Times New Roman" w:hAnsi="Times New Roman" w:cs="Times New Roman"/>
          <w:color w:val="111111"/>
          <w:lang w:val="en"/>
        </w:rPr>
        <w:t>Main thesis of this chapter (L3, proposed by this series; its engineering basis is L1/L2)</w:t>
      </w:r>
      <w:r>
        <w:rPr>
          <w:rFonts w:ascii="Times New Roman" w:hAnsi="Times New Roman" w:cs="Times New Roman"/>
          <w:color w:val="111111"/>
          <w:lang w:val="en"/>
        </w:rPr>
        <w:t xml:space="preserve">: </w:t>
      </w:r>
      <w:r>
        <w:rPr>
          <w:rStyle w:val="a3"/>
          <w:rFonts w:ascii="Times New Roman" w:hAnsi="Times New Roman" w:cs="Times New Roman"/>
          <w:color w:val="111111"/>
          <w:lang w:val="en"/>
        </w:rPr>
        <w:t>New energy = the dominant contemporary civil form of quasi-static Energy-Control Engineering; new energy vehicles = the terminal / portable form of Energy Aggregation-Release-Control Engineering.</w:t>
      </w:r>
      <w:r>
        <w:rPr>
          <w:rFonts w:ascii="Times New Roman" w:hAnsi="Times New Roman" w:cs="Times New Roman"/>
          <w:color w:val="111111"/>
          <w:lang w:val="en"/>
        </w:rPr>
        <w:t xml:space="preserve"> </w:t>
      </w:r>
      <w:r>
        <w:rPr>
          <w:rFonts w:ascii="Times New Roman" w:hAnsi="Times New Roman" w:cs="Times New Roman"/>
          <w:color w:val="111111"/>
          <w:lang w:val="en"/>
        </w:rPr>
        <w:t>The two are not a "new category" outside energy engineering but the unfolding of one and the same Energy-Control Engineering in the civil and terminal dimensions; their large-scale rollout marks a civilizational stage leap of Energy-Control Engineering.</w:t>
      </w:r>
    </w:p>
    <w:p w14:paraId="514F6BF2" w14:textId="77777777" w:rsidR="00E63686" w:rsidRDefault="00E63686">
      <w:pPr>
        <w:pStyle w:val="3"/>
        <w:rPr>
          <w:rFonts w:cs="Times New Roman"/>
          <w:color w:val="111111"/>
          <w:lang w:val="en"/>
        </w:rPr>
      </w:pPr>
      <w:r>
        <w:rPr>
          <w:rFonts w:cs="Times New Roman" w:hint="eastAsia"/>
          <w:color w:val="111111"/>
          <w:lang w:val="en"/>
        </w:rPr>
        <w:t>1.3 New energy vehicles = the terminal form of Energy Aggregation-Release-Control Engineering</w:t>
      </w:r>
    </w:p>
    <w:p w14:paraId="6EECF974"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New energy vehicles (mainly battery-electric and plug-in hybrid) compress the complete control chain of "aggregation — quasi-static release — transient release" into a mobile terminal:</w:t>
      </w:r>
    </w:p>
    <w:p w14:paraId="142ACF7A" w14:textId="77777777" w:rsidR="00E63686" w:rsidRDefault="00E63686">
      <w:pPr>
        <w:numPr>
          <w:ilvl w:val="0"/>
          <w:numId w:val="1"/>
        </w:numPr>
        <w:spacing w:after="60"/>
        <w:rPr>
          <w:rFonts w:ascii="Times New Roman" w:hAnsi="Times New Roman" w:cs="Times New Roman"/>
          <w:color w:val="111111"/>
          <w:lang w:val="en"/>
        </w:rPr>
      </w:pPr>
      <w:r>
        <w:rPr>
          <w:rStyle w:val="a3"/>
          <w:rFonts w:ascii="Times New Roman" w:hAnsi="Times New Roman" w:cs="Times New Roman"/>
          <w:color w:val="111111"/>
          <w:lang w:val="en"/>
        </w:rPr>
        <w:t>Battery (electrochemical storage) = the terminal form of quasi-static engineering</w:t>
      </w:r>
      <w:r>
        <w:rPr>
          <w:rFonts w:ascii="Times New Roman" w:hAnsi="Times New Roman" w:cs="Times New Roman"/>
          <w:color w:val="111111"/>
          <w:lang w:val="en"/>
        </w:rPr>
        <w:t xml:space="preserve">: it aggregates and stores the grid's "flow" as chemical potential, then releases it on demand as usable electric energy — a vehicle battery pack is, in essence, </w:t>
      </w:r>
      <w:r>
        <w:rPr>
          <w:rStyle w:val="a3"/>
          <w:rFonts w:ascii="Times New Roman" w:hAnsi="Times New Roman" w:cs="Times New Roman"/>
          <w:color w:val="111111"/>
          <w:lang w:val="en"/>
        </w:rPr>
        <w:t>a mobile quasi-static engineering node</w:t>
      </w:r>
      <w:r>
        <w:rPr>
          <w:rFonts w:ascii="Times New Roman" w:hAnsi="Times New Roman" w:cs="Times New Roman"/>
          <w:color w:val="111111"/>
          <w:lang w:val="en"/>
        </w:rPr>
        <w:t>.</w:t>
      </w:r>
    </w:p>
    <w:p w14:paraId="49664A5F" w14:textId="77777777" w:rsidR="00E63686" w:rsidRDefault="00E63686">
      <w:pPr>
        <w:numPr>
          <w:ilvl w:val="0"/>
          <w:numId w:val="1"/>
        </w:numPr>
        <w:spacing w:after="60"/>
        <w:rPr>
          <w:rFonts w:ascii="Times New Roman" w:hAnsi="Times New Roman" w:cs="Times New Roman"/>
          <w:color w:val="111111"/>
          <w:lang w:val="en"/>
        </w:rPr>
      </w:pPr>
      <w:r>
        <w:rPr>
          <w:rStyle w:val="a3"/>
          <w:rFonts w:ascii="Times New Roman" w:hAnsi="Times New Roman" w:cs="Times New Roman"/>
          <w:color w:val="111111"/>
          <w:lang w:val="en"/>
        </w:rPr>
        <w:t>Electric drive system = the terminal form of transient engineering</w:t>
      </w:r>
      <w:r>
        <w:rPr>
          <w:rFonts w:ascii="Times New Roman" w:hAnsi="Times New Roman" w:cs="Times New Roman"/>
          <w:color w:val="111111"/>
          <w:lang w:val="en"/>
        </w:rPr>
        <w:t xml:space="preserve">: the motor releases the aggregated energy </w:t>
      </w:r>
      <w:r>
        <w:rPr>
          <w:rStyle w:val="a3"/>
          <w:rFonts w:ascii="Times New Roman" w:hAnsi="Times New Roman" w:cs="Times New Roman"/>
          <w:color w:val="111111"/>
          <w:lang w:val="en"/>
        </w:rPr>
        <w:t>transiently</w:t>
      </w:r>
      <w:r>
        <w:rPr>
          <w:rFonts w:ascii="Times New Roman" w:hAnsi="Times New Roman" w:cs="Times New Roman"/>
          <w:color w:val="111111"/>
          <w:lang w:val="en"/>
        </w:rPr>
        <w:t xml:space="preserve"> as mechanical work per driving demand, with torque response at the millisecond scale and the release curve precisely determined by the controller — this is the transient </w:t>
      </w:r>
      <w:r>
        <w:rPr>
          <w:rFonts w:ascii="Times New Roman" w:hAnsi="Times New Roman" w:cs="Times New Roman"/>
          <w:color w:val="111111"/>
          <w:lang w:val="en"/>
        </w:rPr>
        <w:lastRenderedPageBreak/>
        <w:t>engineering "pulse control" core in miniature at the terminal; every acceleration is a controlled, cancellable pulse release.</w:t>
      </w:r>
    </w:p>
    <w:p w14:paraId="743FEA30" w14:textId="77777777" w:rsidR="00E63686" w:rsidRDefault="00E63686">
      <w:pPr>
        <w:numPr>
          <w:ilvl w:val="0"/>
          <w:numId w:val="1"/>
        </w:numPr>
        <w:spacing w:after="60"/>
        <w:rPr>
          <w:rFonts w:ascii="Times New Roman" w:hAnsi="Times New Roman" w:cs="Times New Roman"/>
          <w:color w:val="111111"/>
          <w:lang w:val="en"/>
        </w:rPr>
      </w:pPr>
      <w:r>
        <w:rPr>
          <w:rStyle w:val="a3"/>
          <w:rFonts w:ascii="Times New Roman" w:hAnsi="Times New Roman" w:cs="Times New Roman"/>
          <w:color w:val="111111"/>
          <w:lang w:val="en"/>
        </w:rPr>
        <w:t>Vehicle-to-grid (V2G) = the civil interface between quasi-static and transient</w:t>
      </w:r>
      <w:r>
        <w:rPr>
          <w:rFonts w:ascii="Times New Roman" w:hAnsi="Times New Roman" w:cs="Times New Roman"/>
          <w:color w:val="111111"/>
          <w:lang w:val="en"/>
        </w:rPr>
        <w:t xml:space="preserve">: when the vehicle is idle, the battery serves as a quasi-static buffer of the grid; when the grid fluctuates transiently, the vehicle acts as a transient regulation resource. </w:t>
      </w:r>
      <w:r>
        <w:rPr>
          <w:rStyle w:val="a3"/>
          <w:rFonts w:ascii="Times New Roman" w:hAnsi="Times New Roman" w:cs="Times New Roman"/>
          <w:color w:val="111111"/>
          <w:lang w:val="en"/>
        </w:rPr>
        <w:t>A single car is both a terminal storage node of quasi-static engineering and a transient regulation resource of transient engineering</w:t>
      </w:r>
      <w:r>
        <w:rPr>
          <w:rFonts w:ascii="Times New Roman" w:hAnsi="Times New Roman" w:cs="Times New Roman"/>
          <w:color w:val="111111"/>
          <w:lang w:val="en"/>
        </w:rPr>
        <w:t xml:space="preserve"> — it stitches the Energy Volume's two branches into one closed loop at the civil interface.</w:t>
      </w:r>
    </w:p>
    <w:p w14:paraId="53081ECF" w14:textId="77777777" w:rsidR="00E63686" w:rsidRDefault="00E63686">
      <w:pPr>
        <w:pStyle w:val="a4"/>
        <w:rPr>
          <w:rFonts w:ascii="Times New Roman" w:hAnsi="Times New Roman" w:cs="Times New Roman"/>
          <w:color w:val="111111"/>
          <w:lang w:val="en"/>
        </w:rPr>
      </w:pPr>
      <w:r>
        <w:rPr>
          <w:rFonts w:ascii="Times New Roman" w:hAnsi="Times New Roman" w:cs="Times New Roman"/>
          <w:color w:val="111111"/>
          <w:lang w:val="en"/>
        </w:rPr>
        <w:t>Thus new energy and new energy vehicles form a complete picture of civil energy engineering: new energy is the quasi-static-dominant "source side," new energy vehicles are the aggregation-release terminal on the "device side," and V2G is the control interface between them.</w:t>
      </w:r>
    </w:p>
    <w:p w14:paraId="7992D046" w14:textId="77777777" w:rsidR="00E63686" w:rsidRDefault="00E63686">
      <w:pPr>
        <w:spacing w:before="240" w:after="240"/>
        <w:rPr>
          <w:rFonts w:ascii="Times New Roman" w:hAnsi="Times New Roman" w:cs="Times New Roman"/>
          <w:color w:val="111111"/>
          <w:lang w:val="en"/>
        </w:rPr>
      </w:pPr>
      <w:r>
        <w:rPr>
          <w:rFonts w:ascii="Times New Roman" w:hAnsi="Times New Roman" w:cs="Times New Roman"/>
          <w:color w:val="111111"/>
          <w:lang w:val="en"/>
        </w:rPr>
        <w:pict w14:anchorId="26C07D03">
          <v:rect id="_x0000_i1027" style="width:0;height:1.5pt" o:hralign="center" o:hrstd="t" o:hr="t" fillcolor="#a0a0a0" stroked="f"/>
        </w:pict>
      </w:r>
    </w:p>
    <w:p w14:paraId="104D0EE9" w14:textId="77777777" w:rsidR="00E63686" w:rsidRDefault="00E63686">
      <w:pPr>
        <w:pStyle w:val="2"/>
        <w:rPr>
          <w:rFonts w:cs="Times New Roman"/>
          <w:color w:val="111111"/>
          <w:lang w:val="en"/>
        </w:rPr>
      </w:pPr>
      <w:r>
        <w:rPr>
          <w:rFonts w:cs="Times New Roman" w:hint="eastAsia"/>
          <w:color w:val="111111"/>
          <w:lang w:val="en"/>
        </w:rPr>
        <w:t>Chapter 2. Data and assessment: the new energy industry has become the civilizational mainstay of global energy engineering</w:t>
      </w:r>
    </w:p>
    <w:p w14:paraId="7741AF52" w14:textId="77777777" w:rsidR="00E63686" w:rsidRDefault="00E63686">
      <w:pPr>
        <w:pStyle w:val="3"/>
        <w:rPr>
          <w:rFonts w:cs="Times New Roman" w:hint="eastAsia"/>
          <w:color w:val="111111"/>
          <w:lang w:val="en"/>
        </w:rPr>
      </w:pPr>
      <w:r>
        <w:rPr>
          <w:rFonts w:cs="Times New Roman" w:hint="eastAsia"/>
          <w:color w:val="111111"/>
          <w:lang w:val="en"/>
        </w:rPr>
        <w:t>2.1 Aligning the assessment criteria</w:t>
      </w:r>
    </w:p>
    <w:p w14:paraId="2DEFE336"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Aligning the Energy Volume's criteria for quasi-static engineering item by item against new energy, the conclusion is clear:</w:t>
      </w:r>
    </w:p>
    <w:tbl>
      <w:tblPr>
        <w:tblW w:w="5000" w:type="pct"/>
        <w:tblCellMar>
          <w:top w:w="15" w:type="dxa"/>
          <w:left w:w="15" w:type="dxa"/>
          <w:bottom w:w="15" w:type="dxa"/>
          <w:right w:w="15" w:type="dxa"/>
        </w:tblCellMar>
        <w:tblLook w:val="04A0" w:firstRow="1" w:lastRow="0" w:firstColumn="1" w:lastColumn="0" w:noHBand="0" w:noVBand="1"/>
      </w:tblPr>
      <w:tblGrid>
        <w:gridCol w:w="3365"/>
        <w:gridCol w:w="4925"/>
      </w:tblGrid>
      <w:tr w:rsidR="00000000" w14:paraId="1C27D12D" w14:textId="77777777">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14:paraId="66EC635C" w14:textId="77777777" w:rsidR="00E63686" w:rsidRDefault="00E63686">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Quasi-static engineering criteria (Energy Volume 1.2)</w:t>
            </w:r>
          </w:p>
        </w:tc>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14:paraId="15ACAAF9" w14:textId="77777777" w:rsidR="00E63686" w:rsidRDefault="00E63686">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Corresponding reality of new energy (renewables)</w:t>
            </w:r>
          </w:p>
        </w:tc>
      </w:tr>
      <w:tr w:rsidR="00000000" w14:paraId="3C4ACFAF"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3E906019"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Sustained, controlled, adjustable release</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43C37420"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PV / wind convert continuously; adjustable via inverters and dispatch systems</w:t>
            </w:r>
          </w:p>
        </w:tc>
      </w:tr>
      <w:tr w:rsidR="00000000" w14:paraId="23DB23C2"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1D0E412C"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Grid-connectable</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46E6EB3B"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Large-scale global grid integration (L1, see 2.2)</w:t>
            </w:r>
          </w:p>
        </w:tc>
      </w:tr>
      <w:tr w:rsidR="00000000" w14:paraId="395EB1B0"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28F77D7B"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Meterable</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39958D68"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Smart meters and power markets meter hour by hour (L1, industry common knowledge)</w:t>
            </w:r>
          </w:p>
        </w:tc>
      </w:tr>
      <w:tr w:rsidR="00000000" w14:paraId="66E1A73D"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00D37DCA"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Scram on accident</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4C8D617C"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Inverters / breakers can disconnect within seconds (L1, engineering standard)</w:t>
            </w:r>
          </w:p>
        </w:tc>
      </w:tr>
      <w:tr w:rsidR="00000000" w14:paraId="1291CBBD"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79D9C89E"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Release process "domesticated" into an adjustable parameter</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32F24019"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Power electronics normalize intermittent flows into frequency/voltage-controllable parameters</w:t>
            </w:r>
          </w:p>
        </w:tc>
      </w:tr>
    </w:tbl>
    <w:p w14:paraId="7E41BE2A" w14:textId="77777777" w:rsidR="00E63686" w:rsidRDefault="00E63686">
      <w:pPr>
        <w:pStyle w:val="a4"/>
        <w:rPr>
          <w:rFonts w:ascii="Times New Roman" w:hAnsi="Times New Roman" w:cs="Times New Roman"/>
          <w:color w:val="111111"/>
          <w:lang w:val="en"/>
        </w:rPr>
      </w:pPr>
      <w:r>
        <w:rPr>
          <w:rFonts w:ascii="Times New Roman" w:hAnsi="Times New Roman" w:cs="Times New Roman"/>
          <w:color w:val="111111"/>
          <w:lang w:val="en"/>
        </w:rPr>
        <w:t xml:space="preserve">Every item holds. </w:t>
      </w:r>
      <w:r>
        <w:rPr>
          <w:rStyle w:val="a3"/>
          <w:rFonts w:ascii="Times New Roman" w:hAnsi="Times New Roman" w:cs="Times New Roman"/>
          <w:color w:val="111111"/>
          <w:lang w:val="en"/>
        </w:rPr>
        <w:t>New energy meets all thresholds of quasi-static engineering and is its overwhelmingly dominant contemporary form in the civil sphere.</w:t>
      </w:r>
    </w:p>
    <w:p w14:paraId="3B294D6A" w14:textId="77777777" w:rsidR="00E63686" w:rsidRDefault="00E63686">
      <w:pPr>
        <w:pStyle w:val="3"/>
        <w:rPr>
          <w:rFonts w:cs="Times New Roman"/>
          <w:color w:val="111111"/>
          <w:lang w:val="en"/>
        </w:rPr>
      </w:pPr>
      <w:r>
        <w:rPr>
          <w:rFonts w:cs="Times New Roman" w:hint="eastAsia"/>
          <w:color w:val="111111"/>
          <w:lang w:val="en"/>
        </w:rPr>
        <w:t>2.2 Data anchor one: renewables have become the constructive main force of global power construction (L1)</w:t>
      </w:r>
    </w:p>
    <w:p w14:paraId="3A8BB499" w14:textId="77777777" w:rsidR="00E63686" w:rsidRDefault="00E63686">
      <w:pPr>
        <w:numPr>
          <w:ilvl w:val="0"/>
          <w:numId w:val="2"/>
        </w:numPr>
        <w:spacing w:after="60"/>
        <w:rPr>
          <w:rFonts w:ascii="Times New Roman" w:hAnsi="Times New Roman" w:cs="Times New Roman" w:hint="eastAsia"/>
          <w:color w:val="111111"/>
          <w:lang w:val="en"/>
        </w:rPr>
      </w:pPr>
      <w:r>
        <w:rPr>
          <w:rStyle w:val="a3"/>
          <w:rFonts w:ascii="Times New Roman" w:hAnsi="Times New Roman" w:cs="Times New Roman"/>
          <w:color w:val="111111"/>
          <w:lang w:val="en"/>
        </w:rPr>
        <w:lastRenderedPageBreak/>
        <w:t xml:space="preserve">IRENA, </w:t>
      </w:r>
      <w:r>
        <w:rPr>
          <w:rStyle w:val="a5"/>
          <w:rFonts w:ascii="Times New Roman" w:hAnsi="Times New Roman" w:cs="Times New Roman"/>
          <w:b/>
          <w:bCs/>
          <w:color w:val="111111"/>
          <w:lang w:val="en"/>
        </w:rPr>
        <w:t>Renewable Capacity Statistics 2025</w:t>
      </w:r>
      <w:r>
        <w:rPr>
          <w:rFonts w:ascii="Times New Roman" w:hAnsi="Times New Roman" w:cs="Times New Roman"/>
          <w:color w:val="111111"/>
          <w:lang w:val="en"/>
        </w:rPr>
        <w:t xml:space="preserve">: in 2024 global renewable capacity </w:t>
      </w:r>
      <w:r>
        <w:rPr>
          <w:rStyle w:val="a3"/>
          <w:rFonts w:ascii="Times New Roman" w:hAnsi="Times New Roman" w:cs="Times New Roman"/>
          <w:color w:val="111111"/>
          <w:lang w:val="en"/>
        </w:rPr>
        <w:t>added 585 GW</w:t>
      </w:r>
      <w:r>
        <w:rPr>
          <w:rFonts w:ascii="Times New Roman" w:hAnsi="Times New Roman" w:cs="Times New Roman"/>
          <w:color w:val="111111"/>
          <w:lang w:val="en"/>
        </w:rPr>
        <w:t xml:space="preserve">, reaching a total of </w:t>
      </w:r>
      <w:r>
        <w:rPr>
          <w:rStyle w:val="a3"/>
          <w:rFonts w:ascii="Times New Roman" w:hAnsi="Times New Roman" w:cs="Times New Roman"/>
          <w:color w:val="111111"/>
          <w:lang w:val="en"/>
        </w:rPr>
        <w:t>4,448 GW (about 4.45 TW)</w:t>
      </w:r>
      <w:r>
        <w:rPr>
          <w:rFonts w:ascii="Times New Roman" w:hAnsi="Times New Roman" w:cs="Times New Roman"/>
          <w:color w:val="111111"/>
          <w:lang w:val="en"/>
        </w:rPr>
        <w:t xml:space="preserve">, up </w:t>
      </w:r>
      <w:r>
        <w:rPr>
          <w:rStyle w:val="a3"/>
          <w:rFonts w:ascii="Times New Roman" w:hAnsi="Times New Roman" w:cs="Times New Roman"/>
          <w:color w:val="111111"/>
          <w:lang w:val="en"/>
        </w:rPr>
        <w:t>15.1%</w:t>
      </w:r>
      <w:r>
        <w:rPr>
          <w:rFonts w:ascii="Times New Roman" w:hAnsi="Times New Roman" w:cs="Times New Roman"/>
          <w:color w:val="111111"/>
          <w:lang w:val="en"/>
        </w:rPr>
        <w:t xml:space="preserve"> year on year — a record; solar and wind together accounted for </w:t>
      </w:r>
      <w:r>
        <w:rPr>
          <w:rStyle w:val="a3"/>
          <w:rFonts w:ascii="Times New Roman" w:hAnsi="Times New Roman" w:cs="Times New Roman"/>
          <w:color w:val="111111"/>
          <w:lang w:val="en"/>
        </w:rPr>
        <w:t>96.6%</w:t>
      </w:r>
      <w:r>
        <w:rPr>
          <w:rFonts w:ascii="Times New Roman" w:hAnsi="Times New Roman" w:cs="Times New Roman"/>
          <w:color w:val="111111"/>
          <w:lang w:val="en"/>
        </w:rPr>
        <w:t xml:space="preserve"> of additions (L1, IRENA).</w:t>
      </w:r>
    </w:p>
    <w:p w14:paraId="1C9C2A4D" w14:textId="77777777" w:rsidR="00E63686" w:rsidRDefault="00E63686">
      <w:pPr>
        <w:numPr>
          <w:ilvl w:val="0"/>
          <w:numId w:val="2"/>
        </w:numPr>
        <w:spacing w:after="60"/>
        <w:rPr>
          <w:rFonts w:ascii="Times New Roman" w:hAnsi="Times New Roman" w:cs="Times New Roman"/>
          <w:color w:val="111111"/>
          <w:lang w:val="en"/>
        </w:rPr>
      </w:pPr>
      <w:r>
        <w:rPr>
          <w:rStyle w:val="a3"/>
          <w:rFonts w:ascii="Times New Roman" w:hAnsi="Times New Roman" w:cs="Times New Roman"/>
          <w:color w:val="111111"/>
          <w:lang w:val="en"/>
        </w:rPr>
        <w:t xml:space="preserve">IRENA, </w:t>
      </w:r>
      <w:r>
        <w:rPr>
          <w:rStyle w:val="a5"/>
          <w:rFonts w:ascii="Times New Roman" w:hAnsi="Times New Roman" w:cs="Times New Roman"/>
          <w:b/>
          <w:bCs/>
          <w:color w:val="111111"/>
          <w:lang w:val="en"/>
        </w:rPr>
        <w:t>Renewable Energy Statistics 2026</w:t>
      </w:r>
      <w:r>
        <w:rPr>
          <w:rFonts w:ascii="Times New Roman" w:hAnsi="Times New Roman" w:cs="Times New Roman"/>
          <w:color w:val="111111"/>
          <w:lang w:val="en"/>
        </w:rPr>
        <w:t xml:space="preserve">: in 2024 renewable generation reached </w:t>
      </w:r>
      <w:r>
        <w:rPr>
          <w:rStyle w:val="a3"/>
          <w:rFonts w:ascii="Times New Roman" w:hAnsi="Times New Roman" w:cs="Times New Roman"/>
          <w:color w:val="111111"/>
          <w:lang w:val="en"/>
        </w:rPr>
        <w:t>9,836 TWh</w:t>
      </w:r>
      <w:r>
        <w:rPr>
          <w:rFonts w:ascii="Times New Roman" w:hAnsi="Times New Roman" w:cs="Times New Roman"/>
          <w:color w:val="111111"/>
          <w:lang w:val="en"/>
        </w:rPr>
        <w:t xml:space="preserve">, </w:t>
      </w:r>
      <w:r>
        <w:rPr>
          <w:rStyle w:val="a3"/>
          <w:rFonts w:ascii="Times New Roman" w:hAnsi="Times New Roman" w:cs="Times New Roman"/>
          <w:color w:val="111111"/>
          <w:lang w:val="en"/>
        </w:rPr>
        <w:t>31.7%</w:t>
      </w:r>
      <w:r>
        <w:rPr>
          <w:rFonts w:ascii="Times New Roman" w:hAnsi="Times New Roman" w:cs="Times New Roman"/>
          <w:color w:val="111111"/>
          <w:lang w:val="en"/>
        </w:rPr>
        <w:t xml:space="preserve"> of global generation, up </w:t>
      </w:r>
      <w:r>
        <w:rPr>
          <w:rStyle w:val="a3"/>
          <w:rFonts w:ascii="Times New Roman" w:hAnsi="Times New Roman" w:cs="Times New Roman"/>
          <w:color w:val="111111"/>
          <w:lang w:val="en"/>
        </w:rPr>
        <w:t>9.8%</w:t>
      </w:r>
      <w:r>
        <w:rPr>
          <w:rFonts w:ascii="Times New Roman" w:hAnsi="Times New Roman" w:cs="Times New Roman"/>
          <w:color w:val="111111"/>
          <w:lang w:val="en"/>
        </w:rPr>
        <w:t xml:space="preserve"> </w:t>
      </w:r>
      <w:r>
        <w:rPr>
          <w:rFonts w:ascii="Times New Roman" w:hAnsi="Times New Roman" w:cs="Times New Roman"/>
          <w:color w:val="111111"/>
          <w:lang w:val="en"/>
        </w:rPr>
        <w:t>year on year — well above the 1.4% growth of non-renewables (L1, IRENA).</w:t>
      </w:r>
    </w:p>
    <w:p w14:paraId="2E0F81D9" w14:textId="77777777" w:rsidR="00E63686" w:rsidRDefault="00E63686">
      <w:pPr>
        <w:pStyle w:val="3"/>
        <w:rPr>
          <w:rFonts w:cs="Times New Roman"/>
          <w:color w:val="111111"/>
          <w:lang w:val="en"/>
        </w:rPr>
      </w:pPr>
      <w:r>
        <w:rPr>
          <w:rFonts w:cs="Times New Roman" w:hint="eastAsia"/>
          <w:color w:val="111111"/>
          <w:lang w:val="en"/>
        </w:rPr>
        <w:t>2.3 Data anchor two: storage = the buffer pool of quasi-static engineering (L1)</w:t>
      </w:r>
    </w:p>
    <w:p w14:paraId="23F52C50"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Intermittent natural flows cannot become dispatchable "flows" without storage. IEA </w:t>
      </w:r>
      <w:r>
        <w:rPr>
          <w:rStyle w:val="a5"/>
          <w:rFonts w:ascii="Times New Roman" w:hAnsi="Times New Roman" w:cs="Times New Roman"/>
          <w:color w:val="111111"/>
          <w:lang w:val="en"/>
        </w:rPr>
        <w:t>Electricity 2026</w:t>
      </w:r>
      <w:r>
        <w:rPr>
          <w:rFonts w:ascii="Times New Roman" w:hAnsi="Times New Roman" w:cs="Times New Roman"/>
          <w:color w:val="111111"/>
          <w:lang w:val="en"/>
        </w:rPr>
        <w:t xml:space="preserve"> gives authoritative data (L1, IEA): global utility-scale battery capacity </w:t>
      </w:r>
      <w:r>
        <w:rPr>
          <w:rStyle w:val="a3"/>
          <w:rFonts w:ascii="Times New Roman" w:hAnsi="Times New Roman" w:cs="Times New Roman"/>
          <w:color w:val="111111"/>
          <w:lang w:val="en"/>
        </w:rPr>
        <w:t>grew more than 12-fold</w:t>
      </w:r>
      <w:r>
        <w:rPr>
          <w:rFonts w:ascii="Times New Roman" w:hAnsi="Times New Roman" w:cs="Times New Roman"/>
          <w:color w:val="111111"/>
          <w:lang w:val="en"/>
        </w:rPr>
        <w:t xml:space="preserve"> from 2020 to 2024, </w:t>
      </w:r>
      <w:r>
        <w:rPr>
          <w:rStyle w:val="a3"/>
          <w:rFonts w:ascii="Times New Roman" w:hAnsi="Times New Roman" w:cs="Times New Roman"/>
          <w:color w:val="111111"/>
          <w:lang w:val="en"/>
        </w:rPr>
        <w:t>adding 63 GW</w:t>
      </w:r>
      <w:r>
        <w:rPr>
          <w:rFonts w:ascii="Times New Roman" w:hAnsi="Times New Roman" w:cs="Times New Roman"/>
          <w:color w:val="111111"/>
          <w:lang w:val="en"/>
        </w:rPr>
        <w:t xml:space="preserve"> in 2024 to reach a total of </w:t>
      </w:r>
      <w:r>
        <w:rPr>
          <w:rStyle w:val="a3"/>
          <w:rFonts w:ascii="Times New Roman" w:hAnsi="Times New Roman" w:cs="Times New Roman"/>
          <w:color w:val="111111"/>
          <w:lang w:val="en"/>
        </w:rPr>
        <w:t>124 GW</w:t>
      </w:r>
      <w:r>
        <w:rPr>
          <w:rFonts w:ascii="Times New Roman" w:hAnsi="Times New Roman" w:cs="Times New Roman"/>
          <w:color w:val="111111"/>
          <w:lang w:val="en"/>
        </w:rPr>
        <w:t xml:space="preserve">; over the same period average battery cost fell about </w:t>
      </w:r>
      <w:r>
        <w:rPr>
          <w:rStyle w:val="a3"/>
          <w:rFonts w:ascii="Times New Roman" w:hAnsi="Times New Roman" w:cs="Times New Roman"/>
          <w:color w:val="111111"/>
          <w:lang w:val="en"/>
        </w:rPr>
        <w:t>58%</w:t>
      </w:r>
      <w:r>
        <w:rPr>
          <w:rFonts w:ascii="Times New Roman" w:hAnsi="Times New Roman" w:cs="Times New Roman"/>
          <w:color w:val="111111"/>
          <w:lang w:val="en"/>
        </w:rPr>
        <w:t xml:space="preserve"> </w:t>
      </w:r>
      <w:r>
        <w:rPr>
          <w:rFonts w:ascii="Times New Roman" w:hAnsi="Times New Roman" w:cs="Times New Roman"/>
          <w:color w:val="111111"/>
          <w:lang w:val="en"/>
        </w:rPr>
        <w:t xml:space="preserve">(from about USD 511/kWh in 2019 to below USD 213/kWh in 2024). </w:t>
      </w:r>
      <w:r>
        <w:rPr>
          <w:rStyle w:val="a3"/>
          <w:rFonts w:ascii="Times New Roman" w:hAnsi="Times New Roman" w:cs="Times New Roman"/>
          <w:color w:val="111111"/>
          <w:lang w:val="en"/>
        </w:rPr>
        <w:t>Without storage, natural energy flow is only an intermittent gift; with storage, it becomes a tameable parameter.</w:t>
      </w:r>
    </w:p>
    <w:p w14:paraId="0FB1C1AC" w14:textId="77777777" w:rsidR="00E63686" w:rsidRDefault="00E63686">
      <w:pPr>
        <w:pStyle w:val="3"/>
        <w:rPr>
          <w:rFonts w:cs="Times New Roman"/>
          <w:color w:val="111111"/>
          <w:lang w:val="en"/>
        </w:rPr>
      </w:pPr>
      <w:r>
        <w:rPr>
          <w:rFonts w:cs="Times New Roman" w:hint="eastAsia"/>
          <w:color w:val="111111"/>
          <w:lang w:val="en"/>
        </w:rPr>
        <w:t>2.4 Data anchor three: new energy vehicles have become the mainstream of global mobility energy engineering (L1, latest)</w:t>
      </w:r>
    </w:p>
    <w:p w14:paraId="315F9756"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IEA </w:t>
      </w:r>
      <w:r>
        <w:rPr>
          <w:rStyle w:val="a5"/>
          <w:rFonts w:ascii="Times New Roman" w:hAnsi="Times New Roman" w:cs="Times New Roman"/>
          <w:color w:val="111111"/>
          <w:lang w:val="en"/>
        </w:rPr>
        <w:t>Global EV Outlook 2026</w:t>
      </w:r>
      <w:r>
        <w:rPr>
          <w:rFonts w:ascii="Times New Roman" w:hAnsi="Times New Roman" w:cs="Times New Roman"/>
          <w:color w:val="111111"/>
          <w:lang w:val="en"/>
        </w:rPr>
        <w:t xml:space="preserve"> gives 2025 data (L1, IEA):</w:t>
      </w:r>
    </w:p>
    <w:p w14:paraId="3B3D8C65" w14:textId="77777777" w:rsidR="00E63686" w:rsidRDefault="00E63686">
      <w:pPr>
        <w:numPr>
          <w:ilvl w:val="0"/>
          <w:numId w:val="3"/>
        </w:numPr>
        <w:spacing w:after="60"/>
        <w:rPr>
          <w:rFonts w:ascii="Times New Roman" w:hAnsi="Times New Roman" w:cs="Times New Roman"/>
          <w:color w:val="111111"/>
          <w:lang w:val="en"/>
        </w:rPr>
      </w:pPr>
      <w:r>
        <w:rPr>
          <w:rStyle w:val="a3"/>
          <w:rFonts w:ascii="Times New Roman" w:hAnsi="Times New Roman" w:cs="Times New Roman"/>
          <w:color w:val="111111"/>
          <w:lang w:val="en"/>
        </w:rPr>
        <w:t>China's EV sales exceeded 13 million, nearly 55% of new-car sales</w:t>
      </w:r>
      <w:r>
        <w:rPr>
          <w:rFonts w:ascii="Times New Roman" w:hAnsi="Times New Roman" w:cs="Times New Roman"/>
          <w:color w:val="111111"/>
          <w:lang w:val="en"/>
        </w:rPr>
        <w:t>;</w:t>
      </w:r>
    </w:p>
    <w:p w14:paraId="433FC37A" w14:textId="77777777" w:rsidR="00E63686" w:rsidRDefault="00E63686">
      <w:pPr>
        <w:numPr>
          <w:ilvl w:val="0"/>
          <w:numId w:val="3"/>
        </w:numPr>
        <w:spacing w:after="60"/>
        <w:rPr>
          <w:rFonts w:ascii="Times New Roman" w:hAnsi="Times New Roman" w:cs="Times New Roman"/>
          <w:color w:val="111111"/>
          <w:lang w:val="en"/>
        </w:rPr>
      </w:pPr>
      <w:r>
        <w:rPr>
          <w:rFonts w:ascii="Times New Roman" w:hAnsi="Times New Roman" w:cs="Times New Roman"/>
          <w:color w:val="111111"/>
          <w:lang w:val="en"/>
        </w:rPr>
        <w:t xml:space="preserve">China accounted for about </w:t>
      </w:r>
      <w:r>
        <w:rPr>
          <w:rStyle w:val="a3"/>
          <w:rFonts w:ascii="Times New Roman" w:hAnsi="Times New Roman" w:cs="Times New Roman"/>
          <w:color w:val="111111"/>
          <w:lang w:val="en"/>
        </w:rPr>
        <w:t>60%</w:t>
      </w:r>
      <w:r>
        <w:rPr>
          <w:rFonts w:ascii="Times New Roman" w:hAnsi="Times New Roman" w:cs="Times New Roman"/>
          <w:color w:val="111111"/>
          <w:lang w:val="en"/>
        </w:rPr>
        <w:t xml:space="preserve"> of global EV sales; of the global output of nearly </w:t>
      </w:r>
      <w:r>
        <w:rPr>
          <w:rStyle w:val="a3"/>
          <w:rFonts w:ascii="Times New Roman" w:hAnsi="Times New Roman" w:cs="Times New Roman"/>
          <w:color w:val="111111"/>
          <w:lang w:val="en"/>
        </w:rPr>
        <w:t>22 million</w:t>
      </w:r>
      <w:r>
        <w:rPr>
          <w:rFonts w:ascii="Times New Roman" w:hAnsi="Times New Roman" w:cs="Times New Roman"/>
          <w:color w:val="111111"/>
          <w:lang w:val="en"/>
        </w:rPr>
        <w:t xml:space="preserve">, nearly </w:t>
      </w:r>
      <w:r>
        <w:rPr>
          <w:rStyle w:val="a3"/>
          <w:rFonts w:ascii="Times New Roman" w:hAnsi="Times New Roman" w:cs="Times New Roman"/>
          <w:color w:val="111111"/>
          <w:lang w:val="en"/>
        </w:rPr>
        <w:t>75%</w:t>
      </w:r>
      <w:r>
        <w:rPr>
          <w:rFonts w:ascii="Times New Roman" w:hAnsi="Times New Roman" w:cs="Times New Roman"/>
          <w:color w:val="111111"/>
          <w:lang w:val="en"/>
        </w:rPr>
        <w:t xml:space="preserve"> was made in China;</w:t>
      </w:r>
    </w:p>
    <w:p w14:paraId="003AEF6C" w14:textId="77777777" w:rsidR="00E63686" w:rsidRDefault="00E63686">
      <w:pPr>
        <w:numPr>
          <w:ilvl w:val="0"/>
          <w:numId w:val="3"/>
        </w:numPr>
        <w:spacing w:after="60"/>
        <w:rPr>
          <w:rFonts w:ascii="Times New Roman" w:hAnsi="Times New Roman" w:cs="Times New Roman"/>
          <w:color w:val="111111"/>
          <w:lang w:val="en"/>
        </w:rPr>
      </w:pPr>
      <w:r>
        <w:rPr>
          <w:rFonts w:ascii="Times New Roman" w:hAnsi="Times New Roman" w:cs="Times New Roman"/>
          <w:color w:val="111111"/>
          <w:lang w:val="en"/>
        </w:rPr>
        <w:t xml:space="preserve">2025 exports </w:t>
      </w:r>
      <w:r>
        <w:rPr>
          <w:rStyle w:val="a3"/>
          <w:rFonts w:ascii="Times New Roman" w:hAnsi="Times New Roman" w:cs="Times New Roman"/>
          <w:color w:val="111111"/>
          <w:lang w:val="en"/>
        </w:rPr>
        <w:t>&gt; 2.6 million</w:t>
      </w:r>
      <w:r>
        <w:rPr>
          <w:rFonts w:ascii="Times New Roman" w:hAnsi="Times New Roman" w:cs="Times New Roman"/>
          <w:color w:val="111111"/>
          <w:lang w:val="en"/>
        </w:rPr>
        <w:t xml:space="preserve">; electric truck sales </w:t>
      </w:r>
      <w:r>
        <w:rPr>
          <w:rStyle w:val="a3"/>
          <w:rFonts w:ascii="Times New Roman" w:hAnsi="Times New Roman" w:cs="Times New Roman"/>
          <w:color w:val="111111"/>
          <w:lang w:val="en"/>
        </w:rPr>
        <w:t>&gt; 400,000 (over 90% of the world total)</w:t>
      </w:r>
      <w:r>
        <w:rPr>
          <w:rFonts w:ascii="Times New Roman" w:hAnsi="Times New Roman" w:cs="Times New Roman"/>
          <w:color w:val="111111"/>
          <w:lang w:val="en"/>
        </w:rPr>
        <w:t>;</w:t>
      </w:r>
    </w:p>
    <w:p w14:paraId="6FFFBC60" w14:textId="77777777" w:rsidR="00E63686" w:rsidRDefault="00E63686">
      <w:pPr>
        <w:numPr>
          <w:ilvl w:val="0"/>
          <w:numId w:val="3"/>
        </w:numPr>
        <w:spacing w:after="60"/>
        <w:rPr>
          <w:rFonts w:ascii="Times New Roman" w:hAnsi="Times New Roman" w:cs="Times New Roman"/>
          <w:color w:val="111111"/>
          <w:lang w:val="en"/>
        </w:rPr>
      </w:pPr>
      <w:r>
        <w:rPr>
          <w:rFonts w:ascii="Times New Roman" w:hAnsi="Times New Roman" w:cs="Times New Roman"/>
          <w:color w:val="111111"/>
          <w:lang w:val="en"/>
        </w:rPr>
        <w:t xml:space="preserve">by April 2026 China's EV share of new-car sales had already </w:t>
      </w:r>
      <w:r>
        <w:rPr>
          <w:rStyle w:val="a3"/>
          <w:rFonts w:ascii="Times New Roman" w:hAnsi="Times New Roman" w:cs="Times New Roman"/>
          <w:color w:val="111111"/>
          <w:lang w:val="en"/>
        </w:rPr>
        <w:t>exceeded 60%</w:t>
      </w:r>
      <w:r>
        <w:rPr>
          <w:rFonts w:ascii="Times New Roman" w:hAnsi="Times New Roman" w:cs="Times New Roman"/>
          <w:color w:val="111111"/>
          <w:lang w:val="en"/>
        </w:rPr>
        <w:t>.</w:t>
      </w:r>
    </w:p>
    <w:p w14:paraId="40EAAD48" w14:textId="77777777" w:rsidR="00E63686" w:rsidRDefault="00E63686">
      <w:pPr>
        <w:pStyle w:val="a4"/>
        <w:rPr>
          <w:rFonts w:ascii="Times New Roman" w:hAnsi="Times New Roman" w:cs="Times New Roman"/>
          <w:color w:val="111111"/>
          <w:lang w:val="en"/>
        </w:rPr>
      </w:pPr>
      <w:r>
        <w:rPr>
          <w:rFonts w:ascii="Times New Roman" w:hAnsi="Times New Roman" w:cs="Times New Roman"/>
          <w:color w:val="111111"/>
          <w:lang w:val="en"/>
        </w:rPr>
        <w:t xml:space="preserve">This set of data confirms from the terminal side: the "aggregation — quasi-static release — transient release" chain of Energy-Control Engineering is entering civil mobility at the scale of tens of millions of vehicles — </w:t>
      </w:r>
      <w:r>
        <w:rPr>
          <w:rStyle w:val="a3"/>
          <w:rFonts w:ascii="Times New Roman" w:hAnsi="Times New Roman" w:cs="Times New Roman"/>
          <w:color w:val="111111"/>
          <w:lang w:val="en"/>
        </w:rPr>
        <w:t>it is an engineering reality that has already happened, not a laboratory conjecture</w:t>
      </w:r>
      <w:r>
        <w:rPr>
          <w:rFonts w:ascii="Times New Roman" w:hAnsi="Times New Roman" w:cs="Times New Roman"/>
          <w:color w:val="111111"/>
          <w:lang w:val="en"/>
        </w:rPr>
        <w:t>.</w:t>
      </w:r>
    </w:p>
    <w:p w14:paraId="06067582" w14:textId="77777777" w:rsidR="00E63686" w:rsidRDefault="00E63686">
      <w:pPr>
        <w:pStyle w:val="3"/>
        <w:rPr>
          <w:rFonts w:cs="Times New Roman"/>
          <w:color w:val="111111"/>
          <w:lang w:val="en"/>
        </w:rPr>
      </w:pPr>
      <w:r>
        <w:rPr>
          <w:rFonts w:cs="Times New Roman" w:hint="eastAsia"/>
          <w:color w:val="111111"/>
          <w:lang w:val="en"/>
        </w:rPr>
        <w:t>2.5 The control layer: making the "flow" truly controllable (the "control" crux of Energy-Control Engineering)</w:t>
      </w:r>
    </w:p>
    <w:p w14:paraId="40D6A13E"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Sources and storage supply energy, but </w:t>
      </w:r>
      <w:r>
        <w:rPr>
          <w:rStyle w:val="a3"/>
          <w:rFonts w:ascii="Times New Roman" w:hAnsi="Times New Roman" w:cs="Times New Roman"/>
          <w:color w:val="111111"/>
          <w:lang w:val="en"/>
        </w:rPr>
        <w:t>what makes it a "controllable parameter" is the control layer</w:t>
      </w:r>
      <w:r>
        <w:rPr>
          <w:rFonts w:ascii="Times New Roman" w:hAnsi="Times New Roman" w:cs="Times New Roman"/>
          <w:color w:val="111111"/>
          <w:lang w:val="en"/>
        </w:rPr>
        <w:t xml:space="preserve"> — this is the very root of the distinction between "Energy-Control Engineering" and "energy engineering":</w:t>
      </w:r>
    </w:p>
    <w:p w14:paraId="04F49707" w14:textId="77777777" w:rsidR="00E63686" w:rsidRDefault="00E63686">
      <w:pPr>
        <w:numPr>
          <w:ilvl w:val="0"/>
          <w:numId w:val="4"/>
        </w:numPr>
        <w:spacing w:after="60"/>
        <w:rPr>
          <w:rFonts w:ascii="Times New Roman" w:hAnsi="Times New Roman" w:cs="Times New Roman"/>
          <w:color w:val="111111"/>
          <w:lang w:val="en"/>
        </w:rPr>
      </w:pPr>
      <w:r>
        <w:rPr>
          <w:rStyle w:val="a3"/>
          <w:rFonts w:ascii="Times New Roman" w:hAnsi="Times New Roman" w:cs="Times New Roman"/>
          <w:color w:val="111111"/>
          <w:lang w:val="en"/>
        </w:rPr>
        <w:t>Power electronics SiC/GaN (L1/L2)</w:t>
      </w:r>
      <w:r>
        <w:rPr>
          <w:rFonts w:ascii="Times New Roman" w:hAnsi="Times New Roman" w:cs="Times New Roman"/>
          <w:color w:val="111111"/>
          <w:lang w:val="en"/>
        </w:rPr>
        <w:t xml:space="preserve">: normalizing DC into AC and AC into controllable DC — the "valve" of all quasi-static / transient release. SiC MOSFETs achieve efficiency </w:t>
      </w:r>
      <w:r>
        <w:rPr>
          <w:rStyle w:val="a3"/>
          <w:rFonts w:ascii="Times New Roman" w:hAnsi="Times New Roman" w:cs="Times New Roman"/>
          <w:color w:val="111111"/>
          <w:lang w:val="en"/>
        </w:rPr>
        <w:t>&gt; 99%</w:t>
      </w:r>
      <w:r>
        <w:rPr>
          <w:rFonts w:ascii="Times New Roman" w:hAnsi="Times New Roman" w:cs="Times New Roman"/>
          <w:color w:val="111111"/>
          <w:lang w:val="en"/>
        </w:rPr>
        <w:t xml:space="preserve"> </w:t>
      </w:r>
      <w:r>
        <w:rPr>
          <w:rFonts w:ascii="Times New Roman" w:hAnsi="Times New Roman" w:cs="Times New Roman"/>
          <w:color w:val="111111"/>
          <w:lang w:val="en"/>
        </w:rPr>
        <w:t>in PV inverters (L2); without wide-bandgap semiconductors, the "controllability" of wind-solar-storage cannot hold in either efficiency or volume.</w:t>
      </w:r>
    </w:p>
    <w:p w14:paraId="3652904E" w14:textId="77777777" w:rsidR="00E63686" w:rsidRDefault="00E63686">
      <w:pPr>
        <w:numPr>
          <w:ilvl w:val="0"/>
          <w:numId w:val="4"/>
        </w:numPr>
        <w:spacing w:after="60"/>
        <w:rPr>
          <w:rFonts w:ascii="Times New Roman" w:hAnsi="Times New Roman" w:cs="Times New Roman"/>
          <w:color w:val="111111"/>
          <w:lang w:val="en"/>
        </w:rPr>
      </w:pPr>
      <w:r>
        <w:rPr>
          <w:rStyle w:val="a3"/>
          <w:rFonts w:ascii="Times New Roman" w:hAnsi="Times New Roman" w:cs="Times New Roman"/>
          <w:color w:val="111111"/>
          <w:lang w:val="en"/>
        </w:rPr>
        <w:t>Smart grid · virtual power plant (VPP) (L1/L2)</w:t>
      </w:r>
      <w:r>
        <w:rPr>
          <w:rFonts w:ascii="Times New Roman" w:hAnsi="Times New Roman" w:cs="Times New Roman"/>
          <w:color w:val="111111"/>
          <w:lang w:val="en"/>
        </w:rPr>
        <w:t>: China has 470 VPP projects with a maximum regulation capacity of 16.85 million kW (L1, China Power Supply Development Report 2026); the national VPP guidance targets nationwide regulation capacity above 20 million kW by 2027 (L2).</w:t>
      </w:r>
    </w:p>
    <w:p w14:paraId="1876D2FC" w14:textId="77777777" w:rsidR="00E63686" w:rsidRDefault="00E63686">
      <w:pPr>
        <w:numPr>
          <w:ilvl w:val="0"/>
          <w:numId w:val="4"/>
        </w:numPr>
        <w:spacing w:after="60"/>
        <w:rPr>
          <w:rFonts w:ascii="Times New Roman" w:hAnsi="Times New Roman" w:cs="Times New Roman"/>
          <w:color w:val="111111"/>
          <w:lang w:val="en"/>
        </w:rPr>
      </w:pPr>
      <w:r>
        <w:rPr>
          <w:rStyle w:val="a3"/>
          <w:rFonts w:ascii="Times New Roman" w:hAnsi="Times New Roman" w:cs="Times New Roman"/>
          <w:color w:val="111111"/>
          <w:lang w:val="en"/>
        </w:rPr>
        <w:lastRenderedPageBreak/>
        <w:t>Vehicle-to-grid V2G (L1/L2)</w:t>
      </w:r>
      <w:r>
        <w:rPr>
          <w:rFonts w:ascii="Times New Roman" w:hAnsi="Times New Roman" w:cs="Times New Roman"/>
          <w:color w:val="111111"/>
          <w:lang w:val="en"/>
        </w:rPr>
        <w:t xml:space="preserve">: China has </w:t>
      </w:r>
      <w:r>
        <w:rPr>
          <w:rStyle w:val="a3"/>
          <w:rFonts w:ascii="Times New Roman" w:hAnsi="Times New Roman" w:cs="Times New Roman"/>
          <w:color w:val="111111"/>
          <w:lang w:val="en"/>
        </w:rPr>
        <w:t>&gt; 700,000</w:t>
      </w:r>
      <w:r>
        <w:rPr>
          <w:rFonts w:ascii="Times New Roman" w:hAnsi="Times New Roman" w:cs="Times New Roman"/>
          <w:color w:val="111111"/>
          <w:lang w:val="en"/>
        </w:rPr>
        <w:t xml:space="preserve"> smart orderly-charging facilities and</w:t>
      </w:r>
      <w:r>
        <w:rPr>
          <w:rFonts w:ascii="Times New Roman" w:hAnsi="Times New Roman" w:cs="Times New Roman"/>
          <w:color w:val="111111"/>
          <w:lang w:val="en"/>
        </w:rPr>
        <w:t xml:space="preserve"> </w:t>
      </w:r>
      <w:r>
        <w:rPr>
          <w:rStyle w:val="a3"/>
          <w:rFonts w:ascii="Times New Roman" w:hAnsi="Times New Roman" w:cs="Times New Roman"/>
          <w:color w:val="111111"/>
          <w:lang w:val="en"/>
        </w:rPr>
        <w:t>&gt; 8,000</w:t>
      </w:r>
      <w:r>
        <w:rPr>
          <w:rFonts w:ascii="Times New Roman" w:hAnsi="Times New Roman" w:cs="Times New Roman"/>
          <w:color w:val="111111"/>
          <w:lang w:val="en"/>
        </w:rPr>
        <w:t xml:space="preserve"> reverse-discharge (V2G) facilities, moving from demonstration into scale (L1).</w:t>
      </w:r>
    </w:p>
    <w:p w14:paraId="2188CE70" w14:textId="77777777" w:rsidR="00E63686" w:rsidRDefault="00E63686">
      <w:pPr>
        <w:numPr>
          <w:ilvl w:val="0"/>
          <w:numId w:val="4"/>
        </w:numPr>
        <w:spacing w:after="60"/>
        <w:rPr>
          <w:rFonts w:ascii="Times New Roman" w:hAnsi="Times New Roman" w:cs="Times New Roman"/>
          <w:color w:val="111111"/>
          <w:lang w:val="en"/>
        </w:rPr>
      </w:pPr>
      <w:r>
        <w:rPr>
          <w:rStyle w:val="a3"/>
          <w:rFonts w:ascii="Times New Roman" w:hAnsi="Times New Roman" w:cs="Times New Roman"/>
          <w:color w:val="111111"/>
          <w:lang w:val="en"/>
        </w:rPr>
        <w:t>Heat pumps and building / industrial EMS (L1/L2)</w:t>
      </w:r>
      <w:r>
        <w:rPr>
          <w:rFonts w:ascii="Times New Roman" w:hAnsi="Times New Roman" w:cs="Times New Roman"/>
          <w:color w:val="111111"/>
          <w:lang w:val="en"/>
        </w:rPr>
        <w:t xml:space="preserve">: IEA </w:t>
      </w:r>
      <w:r>
        <w:rPr>
          <w:rStyle w:val="a5"/>
          <w:rFonts w:ascii="Times New Roman" w:hAnsi="Times New Roman" w:cs="Times New Roman"/>
          <w:color w:val="111111"/>
          <w:lang w:val="en"/>
        </w:rPr>
        <w:t>Heat Pump Monitor 2026</w:t>
      </w:r>
      <w:r>
        <w:rPr>
          <w:rFonts w:ascii="Times New Roman" w:hAnsi="Times New Roman" w:cs="Times New Roman"/>
          <w:color w:val="111111"/>
          <w:lang w:val="en"/>
        </w:rPr>
        <w:t xml:space="preserve"> reports 2025 global building heat-pump sales of 108 GW, Europe +11–13%, Germany +55% with heat pumps overtaking gas boilers for the first time (L1) — moving 3–4 units of heat with 1 unit of electricity, turning heating from "burning" into "controlling."</w:t>
      </w:r>
    </w:p>
    <w:p w14:paraId="18645DB4" w14:textId="77777777" w:rsidR="00E63686" w:rsidRDefault="00E63686">
      <w:pPr>
        <w:spacing w:before="240" w:after="240"/>
        <w:rPr>
          <w:rFonts w:ascii="Times New Roman" w:hAnsi="Times New Roman" w:cs="Times New Roman"/>
          <w:color w:val="111111"/>
          <w:lang w:val="en"/>
        </w:rPr>
      </w:pPr>
      <w:r>
        <w:rPr>
          <w:rFonts w:ascii="Times New Roman" w:hAnsi="Times New Roman" w:cs="Times New Roman"/>
          <w:color w:val="111111"/>
          <w:lang w:val="en"/>
        </w:rPr>
        <w:pict w14:anchorId="4188B51B">
          <v:rect id="_x0000_i1028" style="width:0;height:1.5pt" o:hralign="center" o:hrstd="t" o:hr="t" fillcolor="#a0a0a0" stroked="f"/>
        </w:pict>
      </w:r>
    </w:p>
    <w:p w14:paraId="5D6B9303" w14:textId="77777777" w:rsidR="00E63686" w:rsidRDefault="00E63686">
      <w:pPr>
        <w:pStyle w:val="2"/>
        <w:rPr>
          <w:rFonts w:cs="Times New Roman"/>
          <w:color w:val="111111"/>
          <w:lang w:val="en"/>
        </w:rPr>
      </w:pPr>
      <w:r>
        <w:rPr>
          <w:rFonts w:cs="Times New Roman" w:hint="eastAsia"/>
          <w:color w:val="111111"/>
          <w:lang w:val="en"/>
        </w:rPr>
        <w:t>Chapter 3. Civilizational stage leap: New Energy's flourishing = a capability leap of Energy-Control Engineering</w:t>
      </w:r>
    </w:p>
    <w:p w14:paraId="02F3C504" w14:textId="77777777" w:rsidR="00E63686" w:rsidRDefault="00E63686">
      <w:pPr>
        <w:shd w:val="clear" w:color="auto" w:fill="F7F7F7"/>
        <w:spacing w:after="80"/>
        <w:jc w:val="both"/>
        <w:divId w:val="756747780"/>
        <w:rPr>
          <w:rFonts w:ascii="Times New Roman" w:hAnsi="Times New Roman" w:cs="Times New Roman" w:hint="eastAsia"/>
          <w:color w:val="111111"/>
          <w:lang w:val="en"/>
        </w:rPr>
      </w:pPr>
      <w:r>
        <w:rPr>
          <w:rFonts w:ascii="Times New Roman" w:hAnsi="Times New Roman" w:cs="Times New Roman"/>
          <w:color w:val="111111"/>
          <w:lang w:val="en"/>
        </w:rPr>
        <w:t xml:space="preserve">This chapter is the first unfolding of the chapter's core idea: </w:t>
      </w:r>
      <w:r>
        <w:rPr>
          <w:rStyle w:val="a3"/>
          <w:rFonts w:ascii="Times New Roman" w:hAnsi="Times New Roman" w:cs="Times New Roman"/>
          <w:color w:val="111111"/>
          <w:lang w:val="en"/>
        </w:rPr>
        <w:t>the vigorous development and technological progress of new energy and new energy vehicles manifests a stage leap of human civilization in Energy-Control Engineering.</w:t>
      </w:r>
    </w:p>
    <w:p w14:paraId="5CD9E5A5" w14:textId="77777777" w:rsidR="00E63686" w:rsidRDefault="00E63686">
      <w:pPr>
        <w:pStyle w:val="3"/>
        <w:rPr>
          <w:rFonts w:cs="Times New Roman"/>
          <w:color w:val="111111"/>
          <w:lang w:val="en"/>
        </w:rPr>
      </w:pPr>
      <w:r>
        <w:rPr>
          <w:rFonts w:cs="Times New Roman" w:hint="eastAsia"/>
          <w:color w:val="111111"/>
          <w:lang w:val="en"/>
        </w:rPr>
        <w:t>3.1 What "stage leap" means</w:t>
      </w:r>
    </w:p>
    <w:p w14:paraId="2E4BD7D1"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Humanity's ability to harness energy advances by stages: fire and machinery (external combustion) → fossil fuel–power grid (centralized, one-way, specialized) → controlled nuclear fission (centralized, baseload) → </w:t>
      </w:r>
      <w:r>
        <w:rPr>
          <w:rStyle w:val="a3"/>
          <w:rFonts w:ascii="Times New Roman" w:hAnsi="Times New Roman" w:cs="Times New Roman"/>
          <w:color w:val="111111"/>
          <w:lang w:val="en"/>
        </w:rPr>
        <w:t>new energy + new energy vehicles (distributed, bidirectional, terminalizable, AI-orchestrable)</w:t>
      </w:r>
      <w:r>
        <w:rPr>
          <w:rFonts w:ascii="Times New Roman" w:hAnsi="Times New Roman" w:cs="Times New Roman"/>
          <w:color w:val="111111"/>
          <w:lang w:val="en"/>
        </w:rPr>
        <w:t xml:space="preserve">. In the earlier stages, energy control was locked inside the "specialized engineering site" — the power plant, the grid dispatch center, the reactor control room. What is different about the new energy stage is this: </w:t>
      </w:r>
      <w:r>
        <w:rPr>
          <w:rStyle w:val="a3"/>
          <w:rFonts w:ascii="Times New Roman" w:hAnsi="Times New Roman" w:cs="Times New Roman"/>
          <w:color w:val="111111"/>
          <w:lang w:val="en"/>
        </w:rPr>
        <w:t>control has sunk down into every rooftop, every battery, every acceleration</w:t>
      </w:r>
      <w:r>
        <w:rPr>
          <w:rFonts w:ascii="Times New Roman" w:hAnsi="Times New Roman" w:cs="Times New Roman"/>
          <w:color w:val="111111"/>
          <w:lang w:val="en"/>
        </w:rPr>
        <w:t>, coordinated by algorithms across a vast sea of nodes.</w:t>
      </w:r>
    </w:p>
    <w:p w14:paraId="2EA3347C" w14:textId="77777777" w:rsidR="00E63686" w:rsidRDefault="00E63686">
      <w:pPr>
        <w:pStyle w:val="a4"/>
        <w:rPr>
          <w:rFonts w:ascii="Times New Roman" w:hAnsi="Times New Roman" w:cs="Times New Roman"/>
          <w:color w:val="111111"/>
          <w:lang w:val="en"/>
        </w:rPr>
      </w:pPr>
      <w:r>
        <w:rPr>
          <w:rFonts w:ascii="Times New Roman" w:hAnsi="Times New Roman" w:cs="Times New Roman"/>
          <w:color w:val="111111"/>
          <w:lang w:val="en"/>
        </w:rPr>
        <w:t xml:space="preserve">This corresponds precisely to the Energy Volume's judgment — the </w:t>
      </w:r>
      <w:r>
        <w:rPr>
          <w:rStyle w:val="a3"/>
          <w:rFonts w:ascii="Times New Roman" w:hAnsi="Times New Roman" w:cs="Times New Roman"/>
          <w:color w:val="111111"/>
          <w:lang w:val="en"/>
        </w:rPr>
        <w:t>civilizational mainstay of energy engineering has always been constructive</w:t>
      </w:r>
      <w:r>
        <w:rPr>
          <w:rFonts w:ascii="Times New Roman" w:hAnsi="Times New Roman" w:cs="Times New Roman"/>
          <w:color w:val="111111"/>
          <w:lang w:val="en"/>
        </w:rPr>
        <w:t xml:space="preserve">: it stands on the "construction site of expansion" (constructive use), not on the "altar of in-fighting" (destructive use). And when it sinks into civil terminals and spreads out at the scale of tens of millions of vehicles and hundreds of GW, it has evolved from a "specialized capability" into a "civilizational substrate." </w:t>
      </w:r>
      <w:r>
        <w:rPr>
          <w:rStyle w:val="a3"/>
          <w:rFonts w:ascii="Times New Roman" w:hAnsi="Times New Roman" w:cs="Times New Roman"/>
          <w:color w:val="111111"/>
          <w:lang w:val="en"/>
        </w:rPr>
        <w:t>This leap from specialized site to universal terminal, from centralized one-way to distributed bidirectional, is what this chapter calls a "stage leap."</w:t>
      </w:r>
    </w:p>
    <w:p w14:paraId="46213E6E" w14:textId="77777777" w:rsidR="00E63686" w:rsidRDefault="00E63686">
      <w:pPr>
        <w:pStyle w:val="3"/>
        <w:rPr>
          <w:rFonts w:cs="Times New Roman"/>
          <w:color w:val="111111"/>
          <w:lang w:val="en"/>
        </w:rPr>
      </w:pPr>
      <w:r>
        <w:rPr>
          <w:rFonts w:cs="Times New Roman" w:hint="eastAsia"/>
          <w:color w:val="111111"/>
          <w:lang w:val="en"/>
        </w:rPr>
        <w:t>3.2 The necessity of the leap: from a fossil-fuel base to a new energy mainstay</w:t>
      </w:r>
    </w:p>
    <w:p w14:paraId="0464E372"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Humanity's Energy-Control Engineering to date has been built mainly on fossil fuels — coal-fired power plants, fuel engines, and energy storage and release measured by chemical energy density. This system works well on the ground, where there is a supply chain and human attendance; but its physical ceiling is fully exposed in extreme environments.</w:t>
      </w:r>
    </w:p>
    <w:p w14:paraId="2D764BF4" w14:textId="77777777" w:rsidR="00E63686" w:rsidRDefault="00E63686">
      <w:pPr>
        <w:pStyle w:val="a4"/>
        <w:rPr>
          <w:rFonts w:ascii="Times New Roman" w:hAnsi="Times New Roman" w:cs="Times New Roman"/>
          <w:color w:val="111111"/>
          <w:lang w:val="en"/>
        </w:rPr>
      </w:pPr>
      <w:r>
        <w:rPr>
          <w:rFonts w:ascii="Times New Roman" w:hAnsi="Times New Roman" w:cs="Times New Roman"/>
          <w:color w:val="111111"/>
          <w:lang w:val="en"/>
        </w:rPr>
        <w:t xml:space="preserve">For Energy-Control Engineering to move into outer space, long-distance voyages, and the deep sea, the primary constraint is often not "is there enough energy" but "can the energy be carried." Fossil-fuel energy control is essentially a chemical mode of </w:t>
      </w:r>
      <w:r>
        <w:rPr>
          <w:rFonts w:ascii="Times New Roman" w:hAnsi="Times New Roman" w:cs="Times New Roman"/>
          <w:color w:val="111111"/>
          <w:lang w:val="en"/>
        </w:rPr>
        <w:lastRenderedPageBreak/>
        <w:t xml:space="preserve">"carrying its own oxidizer and fuel, releasing in one shot": a chemical rocket must carry all its propellant into the sky with the vehicle body. NASA points out that, for comparable missions, electric propulsion can use </w:t>
      </w:r>
      <w:r>
        <w:rPr>
          <w:rStyle w:val="a3"/>
          <w:rFonts w:ascii="Times New Roman" w:hAnsi="Times New Roman" w:cs="Times New Roman"/>
          <w:color w:val="111111"/>
          <w:lang w:val="en"/>
        </w:rPr>
        <w:t>up to 90% less propellant</w:t>
      </w:r>
      <w:r>
        <w:rPr>
          <w:rFonts w:ascii="Times New Roman" w:hAnsi="Times New Roman" w:cs="Times New Roman"/>
          <w:color w:val="111111"/>
          <w:lang w:val="en"/>
        </w:rPr>
        <w:t xml:space="preserve"> </w:t>
      </w:r>
      <w:r>
        <w:rPr>
          <w:rFonts w:ascii="Times New Roman" w:hAnsi="Times New Roman" w:cs="Times New Roman"/>
          <w:color w:val="111111"/>
          <w:lang w:val="en"/>
        </w:rPr>
        <w:t xml:space="preserve">than chemical propulsion (L1, NASA) — meaning that as the journey lengthens and resupply is cut off, the chemical (fossil-based) mode hits its ceiling by "not being able to carry that much." Were the deep-space probe Psyche to use chemical propulsion, it would need about </w:t>
      </w:r>
      <w:r>
        <w:rPr>
          <w:rStyle w:val="a3"/>
          <w:rFonts w:ascii="Times New Roman" w:hAnsi="Times New Roman" w:cs="Times New Roman"/>
          <w:color w:val="111111"/>
          <w:lang w:val="en"/>
        </w:rPr>
        <w:t>15 times</w:t>
      </w:r>
      <w:r>
        <w:rPr>
          <w:rFonts w:ascii="Times New Roman" w:hAnsi="Times New Roman" w:cs="Times New Roman"/>
          <w:color w:val="111111"/>
          <w:lang w:val="en"/>
        </w:rPr>
        <w:t xml:space="preserve"> </w:t>
      </w:r>
      <w:r>
        <w:rPr>
          <w:rFonts w:ascii="Times New Roman" w:hAnsi="Times New Roman" w:cs="Times New Roman"/>
          <w:color w:val="111111"/>
          <w:lang w:val="en"/>
        </w:rPr>
        <w:t>the propellant of its electric-propulsion design (L1, NASA/JPL). Likewise, in deep-sea and long-endurance scenarios, an energy-control mode that must rely on external resupply or frequent "surfacing for air" has its operating radius firmly locked by how much fuel it can carry.</w:t>
      </w:r>
    </w:p>
    <w:p w14:paraId="2E4CAAAE" w14:textId="77777777" w:rsidR="00E63686" w:rsidRDefault="00E63686">
      <w:pPr>
        <w:shd w:val="clear" w:color="auto" w:fill="F7F7F7"/>
        <w:spacing w:after="80"/>
        <w:jc w:val="both"/>
        <w:divId w:val="698354643"/>
        <w:rPr>
          <w:rFonts w:ascii="Times New Roman" w:hAnsi="Times New Roman" w:cs="Times New Roman"/>
          <w:color w:val="111111"/>
          <w:lang w:val="en"/>
        </w:rPr>
      </w:pPr>
      <w:r>
        <w:rPr>
          <w:rStyle w:val="a3"/>
          <w:rFonts w:ascii="Times New Roman" w:hAnsi="Times New Roman" w:cs="Times New Roman"/>
          <w:color w:val="111111"/>
          <w:lang w:val="en"/>
        </w:rPr>
        <w:t>Judgment of this chapter (inheriting the core idea, with L1 support)</w:t>
      </w:r>
      <w:r>
        <w:rPr>
          <w:rFonts w:ascii="Times New Roman" w:hAnsi="Times New Roman" w:cs="Times New Roman"/>
          <w:color w:val="111111"/>
          <w:lang w:val="en"/>
        </w:rPr>
        <w:t xml:space="preserve">: prior Energy-Control Engineering took fossil fuels as its base, yet a fossil-fuel system can hardly be sustained in extreme environments of "no resupply, long endurance, strong isolation" — outer space, long distances, and the deep sea alike. Therefore, </w:t>
      </w:r>
      <w:r>
        <w:rPr>
          <w:rStyle w:val="a3"/>
          <w:rFonts w:ascii="Times New Roman" w:hAnsi="Times New Roman" w:cs="Times New Roman"/>
          <w:color w:val="111111"/>
          <w:lang w:val="en"/>
        </w:rPr>
        <w:t>the energy mainstay of the future world must be borne by new energy</w:t>
      </w:r>
      <w:r>
        <w:rPr>
          <w:rFonts w:ascii="Times New Roman" w:hAnsi="Times New Roman" w:cs="Times New Roman"/>
          <w:color w:val="111111"/>
          <w:lang w:val="en"/>
        </w:rPr>
        <w:t xml:space="preserve">; the scale-up, terminalization, and controllability of new energy are precisely a leap by which Energy-Control Engineering breaks through the old base and moves toward broader civilizational scenarios, and the foundation for humanity to move better toward deep space, the deep blue, and long-distance futures. Institutional scenarios confirm this direction: under the IEA </w:t>
      </w:r>
      <w:r>
        <w:rPr>
          <w:rStyle w:val="a5"/>
          <w:rFonts w:ascii="Times New Roman" w:hAnsi="Times New Roman" w:cs="Times New Roman"/>
          <w:color w:val="111111"/>
          <w:lang w:val="en"/>
        </w:rPr>
        <w:t>Net Zero by 2050</w:t>
      </w:r>
      <w:r>
        <w:rPr>
          <w:rFonts w:ascii="Times New Roman" w:hAnsi="Times New Roman" w:cs="Times New Roman"/>
          <w:color w:val="111111"/>
          <w:lang w:val="en"/>
        </w:rPr>
        <w:t xml:space="preserve"> pathway, nearly </w:t>
      </w:r>
      <w:r>
        <w:rPr>
          <w:rStyle w:val="a3"/>
          <w:rFonts w:ascii="Times New Roman" w:hAnsi="Times New Roman" w:cs="Times New Roman"/>
          <w:color w:val="111111"/>
          <w:lang w:val="en"/>
        </w:rPr>
        <w:t>90%</w:t>
      </w:r>
      <w:r>
        <w:rPr>
          <w:rFonts w:ascii="Times New Roman" w:hAnsi="Times New Roman" w:cs="Times New Roman"/>
          <w:color w:val="111111"/>
          <w:lang w:val="en"/>
        </w:rPr>
        <w:t xml:space="preserve"> </w:t>
      </w:r>
      <w:r>
        <w:rPr>
          <w:rFonts w:ascii="Times New Roman" w:hAnsi="Times New Roman" w:cs="Times New Roman"/>
          <w:color w:val="111111"/>
          <w:lang w:val="en"/>
        </w:rPr>
        <w:t>of global electricity in 2050 comes from renewables (wind and solar together nearly 70%), and road vehicles are fully electrified or fuel-cell powered (L1, IEA) — new energy becoming the mainstay has turned from a vision into a modelable pathway.</w:t>
      </w:r>
    </w:p>
    <w:p w14:paraId="4E3CA349" w14:textId="77777777" w:rsidR="00E63686" w:rsidRDefault="00E63686">
      <w:pPr>
        <w:pStyle w:val="a4"/>
        <w:rPr>
          <w:rFonts w:ascii="Times New Roman" w:hAnsi="Times New Roman" w:cs="Times New Roman"/>
          <w:color w:val="111111"/>
          <w:lang w:val="en"/>
        </w:rPr>
      </w:pPr>
      <w:r>
        <w:rPr>
          <w:rFonts w:ascii="Times New Roman" w:hAnsi="Times New Roman" w:cs="Times New Roman"/>
          <w:color w:val="111111"/>
          <w:lang w:val="en"/>
        </w:rPr>
        <w:t>This necessity, in turn, explains the phenomena in the rest of this chapter: new energy can be a "leap" precisely because it turns energy control from the old paradigm of "must carry its own fuel and burn it in one shot" into a new paradigm of "aggregable, quasi-statically releasable, reschedulable, and externally connectable" — in essence, it escapes the carrying constraint of fossil fuels.</w:t>
      </w:r>
    </w:p>
    <w:p w14:paraId="07510BB4" w14:textId="77777777" w:rsidR="00E63686" w:rsidRDefault="00E63686">
      <w:pPr>
        <w:pStyle w:val="3"/>
        <w:rPr>
          <w:rFonts w:cs="Times New Roman"/>
          <w:color w:val="111111"/>
          <w:lang w:val="en"/>
        </w:rPr>
      </w:pPr>
      <w:r>
        <w:rPr>
          <w:rFonts w:cs="Times New Roman" w:hint="eastAsia"/>
          <w:color w:val="111111"/>
          <w:lang w:val="en"/>
        </w:rPr>
        <w:t>3.3 The marks of the leap: mass-producible, affordable, iterable</w:t>
      </w:r>
    </w:p>
    <w:p w14:paraId="4B3AA63F"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What makes the leap "civilizational" rather than "demonstration-level" comes down to three things:</w:t>
      </w:r>
    </w:p>
    <w:p w14:paraId="24089F06" w14:textId="77777777" w:rsidR="00E63686" w:rsidRDefault="00E63686">
      <w:pPr>
        <w:numPr>
          <w:ilvl w:val="0"/>
          <w:numId w:val="5"/>
        </w:numPr>
        <w:spacing w:after="60"/>
        <w:rPr>
          <w:rFonts w:ascii="Times New Roman" w:hAnsi="Times New Roman" w:cs="Times New Roman"/>
          <w:color w:val="111111"/>
          <w:lang w:val="en"/>
        </w:rPr>
      </w:pPr>
      <w:r>
        <w:rPr>
          <w:rStyle w:val="a3"/>
          <w:rFonts w:ascii="Times New Roman" w:hAnsi="Times New Roman" w:cs="Times New Roman"/>
          <w:color w:val="111111"/>
          <w:lang w:val="en"/>
        </w:rPr>
        <w:t>Mass-producible</w:t>
      </w:r>
      <w:r>
        <w:rPr>
          <w:rFonts w:ascii="Times New Roman" w:hAnsi="Times New Roman" w:cs="Times New Roman"/>
          <w:color w:val="111111"/>
          <w:lang w:val="en"/>
        </w:rPr>
        <w:t>: nearly 75% of the world's nearly 22 million EVs in 2025 were made in China, and China's EV output is nearly three-quarters of the world total (L1) — for the first time, Energy-Control Engineering is mass-produced at the tempo of the automobile industry.</w:t>
      </w:r>
    </w:p>
    <w:p w14:paraId="79C95E60" w14:textId="77777777" w:rsidR="00E63686" w:rsidRDefault="00E63686">
      <w:pPr>
        <w:numPr>
          <w:ilvl w:val="0"/>
          <w:numId w:val="5"/>
        </w:numPr>
        <w:spacing w:after="60"/>
        <w:rPr>
          <w:rFonts w:ascii="Times New Roman" w:hAnsi="Times New Roman" w:cs="Times New Roman"/>
          <w:color w:val="111111"/>
          <w:lang w:val="en"/>
        </w:rPr>
      </w:pPr>
      <w:r>
        <w:rPr>
          <w:rStyle w:val="a3"/>
          <w:rFonts w:ascii="Times New Roman" w:hAnsi="Times New Roman" w:cs="Times New Roman"/>
          <w:color w:val="111111"/>
          <w:lang w:val="en"/>
        </w:rPr>
        <w:t>Affordable</w:t>
      </w:r>
      <w:r>
        <w:rPr>
          <w:rFonts w:ascii="Times New Roman" w:hAnsi="Times New Roman" w:cs="Times New Roman"/>
          <w:color w:val="111111"/>
          <w:lang w:val="en"/>
        </w:rPr>
        <w:t>: nearly 70% of battery-electric models are priced below their same-class fuel counterparts (L1, IEA 2026) — energy control is no longer sustained by subsidies but self-sustains through economies of scale.</w:t>
      </w:r>
    </w:p>
    <w:p w14:paraId="3D3687BB" w14:textId="77777777" w:rsidR="00E63686" w:rsidRDefault="00E63686">
      <w:pPr>
        <w:numPr>
          <w:ilvl w:val="0"/>
          <w:numId w:val="5"/>
        </w:numPr>
        <w:spacing w:after="60"/>
        <w:rPr>
          <w:rFonts w:ascii="Times New Roman" w:hAnsi="Times New Roman" w:cs="Times New Roman"/>
          <w:color w:val="111111"/>
          <w:lang w:val="en"/>
        </w:rPr>
      </w:pPr>
      <w:r>
        <w:rPr>
          <w:rStyle w:val="a3"/>
          <w:rFonts w:ascii="Times New Roman" w:hAnsi="Times New Roman" w:cs="Times New Roman"/>
          <w:color w:val="111111"/>
          <w:lang w:val="en"/>
        </w:rPr>
        <w:t>Iterable</w:t>
      </w:r>
      <w:r>
        <w:rPr>
          <w:rFonts w:ascii="Times New Roman" w:hAnsi="Times New Roman" w:cs="Times New Roman"/>
          <w:color w:val="111111"/>
          <w:lang w:val="en"/>
        </w:rPr>
        <w:t>: the three-electric system iterates rapidly as semiconductors and materials fall in price (battery cost fell 58% from 2019 to 2024, L1), and control algorithms keep upgrading via OTA — Energy-Control Engineering has acquired a "software-like evolution" character.</w:t>
      </w:r>
    </w:p>
    <w:p w14:paraId="7001D856" w14:textId="77777777" w:rsidR="00E63686" w:rsidRDefault="00E63686">
      <w:pPr>
        <w:pStyle w:val="a4"/>
        <w:rPr>
          <w:rFonts w:ascii="Times New Roman" w:hAnsi="Times New Roman" w:cs="Times New Roman"/>
          <w:color w:val="111111"/>
          <w:lang w:val="en"/>
        </w:rPr>
      </w:pPr>
      <w:r>
        <w:rPr>
          <w:rFonts w:ascii="Times New Roman" w:hAnsi="Times New Roman" w:cs="Times New Roman"/>
          <w:color w:val="111111"/>
          <w:lang w:val="en"/>
        </w:rPr>
        <w:t xml:space="preserve">When an engineering discipline is simultaneously mass-producible, affordable, and fast-iterating, it is no longer a "technology" but </w:t>
      </w:r>
      <w:r>
        <w:rPr>
          <w:rStyle w:val="a3"/>
          <w:rFonts w:ascii="Times New Roman" w:hAnsi="Times New Roman" w:cs="Times New Roman"/>
          <w:color w:val="111111"/>
          <w:lang w:val="en"/>
        </w:rPr>
        <w:t>a generational change of civilizational infrastructure</w:t>
      </w:r>
      <w:r>
        <w:rPr>
          <w:rFonts w:ascii="Times New Roman" w:hAnsi="Times New Roman" w:cs="Times New Roman"/>
          <w:color w:val="111111"/>
          <w:lang w:val="en"/>
        </w:rPr>
        <w:t>.</w:t>
      </w:r>
    </w:p>
    <w:p w14:paraId="11D55F6B" w14:textId="77777777" w:rsidR="00E63686" w:rsidRDefault="00E63686">
      <w:pPr>
        <w:pStyle w:val="3"/>
        <w:rPr>
          <w:rFonts w:cs="Times New Roman"/>
          <w:color w:val="111111"/>
          <w:lang w:val="en"/>
        </w:rPr>
      </w:pPr>
      <w:r>
        <w:rPr>
          <w:rFonts w:cs="Times New Roman" w:hint="eastAsia"/>
          <w:color w:val="111111"/>
          <w:lang w:val="en"/>
        </w:rPr>
        <w:lastRenderedPageBreak/>
        <w:t>3.4 The civilizational meaning of the leap: energy control sinks into the terminal</w:t>
      </w:r>
    </w:p>
    <w:p w14:paraId="41BA4F3B"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This chapter's judgment — "the scale-pan of responsibility has sunk from power plants and armaments down to every battery and every acceleration" — is elevated into a </w:t>
      </w:r>
      <w:r>
        <w:rPr>
          <w:rStyle w:val="a3"/>
          <w:rFonts w:ascii="Times New Roman" w:hAnsi="Times New Roman" w:cs="Times New Roman"/>
          <w:color w:val="111111"/>
          <w:lang w:val="en"/>
        </w:rPr>
        <w:t>civilizational-stage judgment</w:t>
      </w:r>
      <w:r>
        <w:rPr>
          <w:rFonts w:ascii="Times New Roman" w:hAnsi="Times New Roman" w:cs="Times New Roman"/>
          <w:color w:val="111111"/>
          <w:lang w:val="en"/>
        </w:rPr>
        <w:t xml:space="preserve">: for the first time, Energy-Control Engineering exists in a form that "everyone can own, operate, and contribute to." Every electric vehicle is a mobile quasi-static node, every PV installation a grid-connectable quasi-static source, every V2G dispatch a civil quasi-static–transient coordination. </w:t>
      </w:r>
      <w:r>
        <w:rPr>
          <w:rStyle w:val="a3"/>
          <w:rFonts w:ascii="Times New Roman" w:hAnsi="Times New Roman" w:cs="Times New Roman"/>
          <w:color w:val="111111"/>
          <w:lang w:val="en"/>
        </w:rPr>
        <w:t>For the first time, humanity has placed into the hands of individuals and communities the ability to "aggregate and release energy under control along a designed curve."</w:t>
      </w:r>
    </w:p>
    <w:p w14:paraId="237E6F97" w14:textId="77777777" w:rsidR="00E63686" w:rsidRDefault="00E63686">
      <w:pPr>
        <w:pStyle w:val="3"/>
        <w:rPr>
          <w:rFonts w:cs="Times New Roman"/>
          <w:color w:val="111111"/>
          <w:lang w:val="en"/>
        </w:rPr>
      </w:pPr>
      <w:r>
        <w:rPr>
          <w:rFonts w:cs="Times New Roman" w:hint="eastAsia"/>
          <w:color w:val="111111"/>
          <w:lang w:val="en"/>
        </w:rPr>
        <w:t>3.5 At a deeper level: the leap reveals the future directions of Energy-Control Engineering</w:t>
      </w:r>
    </w:p>
    <w:p w14:paraId="448BAF93"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At a deeper level, this leap reveals one thing — </w:t>
      </w:r>
      <w:r>
        <w:rPr>
          <w:rStyle w:val="a3"/>
          <w:rFonts w:ascii="Times New Roman" w:hAnsi="Times New Roman" w:cs="Times New Roman"/>
          <w:color w:val="111111"/>
          <w:lang w:val="en"/>
        </w:rPr>
        <w:t>the future direction and future development of quasi-static and transient Energy-Control Engineering</w:t>
      </w:r>
      <w:r>
        <w:rPr>
          <w:rFonts w:ascii="Times New Roman" w:hAnsi="Times New Roman" w:cs="Times New Roman"/>
          <w:color w:val="111111"/>
          <w:lang w:val="en"/>
        </w:rPr>
        <w:t>. From the practice of the new energy stage, three clear future directions can be discerned (a foreshadowing of Chapter 5):</w:t>
      </w:r>
    </w:p>
    <w:p w14:paraId="3DDB6B53" w14:textId="77777777" w:rsidR="00E63686" w:rsidRDefault="00E63686">
      <w:pPr>
        <w:numPr>
          <w:ilvl w:val="0"/>
          <w:numId w:val="6"/>
        </w:numPr>
        <w:spacing w:after="60"/>
        <w:rPr>
          <w:rFonts w:ascii="Times New Roman" w:hAnsi="Times New Roman" w:cs="Times New Roman"/>
          <w:color w:val="111111"/>
          <w:lang w:val="en"/>
        </w:rPr>
      </w:pPr>
      <w:r>
        <w:rPr>
          <w:rStyle w:val="a3"/>
          <w:rFonts w:ascii="Times New Roman" w:hAnsi="Times New Roman" w:cs="Times New Roman"/>
          <w:color w:val="111111"/>
          <w:lang w:val="en"/>
        </w:rPr>
        <w:t>From centralized-specialized to distributed-terminal + AI orchestration</w:t>
      </w:r>
      <w:r>
        <w:rPr>
          <w:rFonts w:ascii="Times New Roman" w:hAnsi="Times New Roman" w:cs="Times New Roman"/>
          <w:color w:val="111111"/>
          <w:lang w:val="en"/>
        </w:rPr>
        <w:t>: the main arena of energy control shifts from the dispatch center to a coordination network of hundreds of millions of terminals, with AI as the orchestrator;</w:t>
      </w:r>
    </w:p>
    <w:p w14:paraId="25B12F96" w14:textId="77777777" w:rsidR="00E63686" w:rsidRDefault="00E63686">
      <w:pPr>
        <w:numPr>
          <w:ilvl w:val="0"/>
          <w:numId w:val="6"/>
        </w:numPr>
        <w:spacing w:after="60"/>
        <w:rPr>
          <w:rFonts w:ascii="Times New Roman" w:hAnsi="Times New Roman" w:cs="Times New Roman"/>
          <w:color w:val="111111"/>
          <w:lang w:val="en"/>
        </w:rPr>
      </w:pPr>
      <w:r>
        <w:rPr>
          <w:rStyle w:val="a3"/>
          <w:rFonts w:ascii="Times New Roman" w:hAnsi="Times New Roman" w:cs="Times New Roman"/>
          <w:color w:val="111111"/>
          <w:lang w:val="en"/>
        </w:rPr>
        <w:t>From ground-level quasi-static to extreme-environment pulse control</w:t>
      </w:r>
      <w:r>
        <w:rPr>
          <w:rFonts w:ascii="Times New Roman" w:hAnsi="Times New Roman" w:cs="Times New Roman"/>
          <w:color w:val="111111"/>
          <w:lang w:val="en"/>
        </w:rPr>
        <w:t>: the same paradigm of controlling "flow" and "pulse" is migrating toward harsher environments — aviation, aerospace, deep space;</w:t>
      </w:r>
    </w:p>
    <w:p w14:paraId="197B5E91" w14:textId="77777777" w:rsidR="00E63686" w:rsidRDefault="00E63686">
      <w:pPr>
        <w:numPr>
          <w:ilvl w:val="0"/>
          <w:numId w:val="6"/>
        </w:numPr>
        <w:spacing w:after="60"/>
        <w:rPr>
          <w:rFonts w:ascii="Times New Roman" w:hAnsi="Times New Roman" w:cs="Times New Roman"/>
          <w:color w:val="111111"/>
          <w:lang w:val="en"/>
        </w:rPr>
      </w:pPr>
      <w:r>
        <w:rPr>
          <w:rStyle w:val="a3"/>
          <w:rFonts w:ascii="Times New Roman" w:hAnsi="Times New Roman" w:cs="Times New Roman"/>
          <w:color w:val="111111"/>
          <w:lang w:val="en"/>
        </w:rPr>
        <w:t>From human-manual to human–machine coordination (human in the loop)</w:t>
      </w:r>
      <w:r>
        <w:rPr>
          <w:rFonts w:ascii="Times New Roman" w:hAnsi="Times New Roman" w:cs="Times New Roman"/>
          <w:color w:val="111111"/>
          <w:lang w:val="en"/>
        </w:rPr>
        <w:t>: the control layer becomes intelligent, but ultimate adjudication is always retained as a human backstop.</w:t>
      </w:r>
    </w:p>
    <w:p w14:paraId="2CE7A8AF" w14:textId="77777777" w:rsidR="00E63686" w:rsidRDefault="00E63686">
      <w:pPr>
        <w:spacing w:before="240" w:after="240"/>
        <w:rPr>
          <w:rFonts w:ascii="Times New Roman" w:hAnsi="Times New Roman" w:cs="Times New Roman"/>
          <w:color w:val="111111"/>
          <w:lang w:val="en"/>
        </w:rPr>
      </w:pPr>
      <w:r>
        <w:rPr>
          <w:rFonts w:ascii="Times New Roman" w:hAnsi="Times New Roman" w:cs="Times New Roman"/>
          <w:color w:val="111111"/>
          <w:lang w:val="en"/>
        </w:rPr>
        <w:pict w14:anchorId="34989E8E">
          <v:rect id="_x0000_i1029" style="width:0;height:1.5pt" o:hralign="center" o:hrstd="t" o:hr="t" fillcolor="#a0a0a0" stroked="f"/>
        </w:pict>
      </w:r>
    </w:p>
    <w:p w14:paraId="4E3F0A67" w14:textId="77777777" w:rsidR="00E63686" w:rsidRDefault="00E63686">
      <w:pPr>
        <w:pStyle w:val="2"/>
        <w:rPr>
          <w:rFonts w:cs="Times New Roman"/>
          <w:color w:val="111111"/>
          <w:lang w:val="en"/>
        </w:rPr>
      </w:pPr>
      <w:r>
        <w:rPr>
          <w:rFonts w:cs="Times New Roman" w:hint="eastAsia"/>
          <w:color w:val="111111"/>
          <w:lang w:val="en"/>
        </w:rPr>
        <w:t>Chapter 4. New energy vehicles and new energy under AI: an intelligent control layer</w:t>
      </w:r>
    </w:p>
    <w:p w14:paraId="637F0089" w14:textId="77777777" w:rsidR="00E63686" w:rsidRDefault="00E63686">
      <w:pPr>
        <w:pStyle w:val="3"/>
        <w:rPr>
          <w:rFonts w:cs="Times New Roman" w:hint="eastAsia"/>
          <w:color w:val="111111"/>
          <w:lang w:val="en"/>
        </w:rPr>
      </w:pPr>
      <w:r>
        <w:rPr>
          <w:rFonts w:cs="Times New Roman" w:hint="eastAsia"/>
          <w:color w:val="111111"/>
          <w:lang w:val="en"/>
        </w:rPr>
        <w:t>4.1 L3 autonomous-driving admission and three-electric intelligence (L2/L3)</w:t>
      </w:r>
    </w:p>
    <w:p w14:paraId="1A446FEC"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At the end of 2025, MIIT admitted the </w:t>
      </w:r>
      <w:r>
        <w:rPr>
          <w:rStyle w:val="a3"/>
          <w:rFonts w:ascii="Times New Roman" w:hAnsi="Times New Roman" w:cs="Times New Roman"/>
          <w:color w:val="111111"/>
          <w:lang w:val="en"/>
        </w:rPr>
        <w:t>first batch of L3 conditionally autonomous-driving models</w:t>
      </w:r>
      <w:r>
        <w:rPr>
          <w:rFonts w:ascii="Times New Roman" w:hAnsi="Times New Roman" w:cs="Times New Roman"/>
          <w:color w:val="111111"/>
          <w:lang w:val="en"/>
        </w:rPr>
        <w:t xml:space="preserve">, shifting driving responsibility "from the human to the system" — which forces an upgrade of the whole three-electric chain: dual power-supply redundancy of main battery + supercapacitor, millisecond response, and dual heterogeneous computing-platform backup for the electronic control (L2, industry reports). </w:t>
      </w:r>
      <w:r>
        <w:rPr>
          <w:rStyle w:val="a3"/>
          <w:rFonts w:ascii="Times New Roman" w:hAnsi="Times New Roman" w:cs="Times New Roman"/>
          <w:color w:val="111111"/>
          <w:lang w:val="en"/>
        </w:rPr>
        <w:t>L3 is not simply "a smarter car"; it means that the "control layer" of Energy-Control Engineering bears safety responsibility at the terminal for the first time.</w:t>
      </w:r>
    </w:p>
    <w:p w14:paraId="4E8676A4" w14:textId="77777777" w:rsidR="00E63686" w:rsidRDefault="00E63686">
      <w:pPr>
        <w:pStyle w:val="3"/>
        <w:rPr>
          <w:rFonts w:cs="Times New Roman"/>
          <w:color w:val="111111"/>
          <w:lang w:val="en"/>
        </w:rPr>
      </w:pPr>
      <w:r>
        <w:rPr>
          <w:rFonts w:cs="Times New Roman" w:hint="eastAsia"/>
          <w:color w:val="111111"/>
          <w:lang w:val="en"/>
        </w:rPr>
        <w:t>4.2 Five faces of AI penetration (L2)</w:t>
      </w:r>
    </w:p>
    <w:p w14:paraId="17825D7A" w14:textId="77777777" w:rsidR="00E63686" w:rsidRDefault="00E63686">
      <w:pPr>
        <w:numPr>
          <w:ilvl w:val="0"/>
          <w:numId w:val="7"/>
        </w:numPr>
        <w:spacing w:after="60"/>
        <w:rPr>
          <w:rFonts w:ascii="Times New Roman" w:hAnsi="Times New Roman" w:cs="Times New Roman" w:hint="eastAsia"/>
          <w:color w:val="111111"/>
          <w:lang w:val="en"/>
        </w:rPr>
      </w:pPr>
      <w:r>
        <w:rPr>
          <w:rStyle w:val="a3"/>
          <w:rFonts w:ascii="Times New Roman" w:hAnsi="Times New Roman" w:cs="Times New Roman"/>
          <w:color w:val="111111"/>
          <w:lang w:val="en"/>
        </w:rPr>
        <w:lastRenderedPageBreak/>
        <w:t>AI-BMS</w:t>
      </w:r>
      <w:r>
        <w:rPr>
          <w:rFonts w:ascii="Times New Roman" w:hAnsi="Times New Roman" w:cs="Times New Roman"/>
          <w:color w:val="111111"/>
          <w:lang w:val="en"/>
        </w:rPr>
        <w:t>: predicting battery degradation, intelligent thermal management, dynamic range, extending life and reducing risk;</w:t>
      </w:r>
    </w:p>
    <w:p w14:paraId="7F48DA5F" w14:textId="77777777" w:rsidR="00E63686" w:rsidRDefault="00E63686">
      <w:pPr>
        <w:numPr>
          <w:ilvl w:val="0"/>
          <w:numId w:val="7"/>
        </w:numPr>
        <w:spacing w:after="60"/>
        <w:rPr>
          <w:rFonts w:ascii="Times New Roman" w:hAnsi="Times New Roman" w:cs="Times New Roman"/>
          <w:color w:val="111111"/>
          <w:lang w:val="en"/>
        </w:rPr>
      </w:pPr>
      <w:r>
        <w:rPr>
          <w:rStyle w:val="a3"/>
          <w:rFonts w:ascii="Times New Roman" w:hAnsi="Times New Roman" w:cs="Times New Roman"/>
          <w:color w:val="111111"/>
          <w:lang w:val="en"/>
        </w:rPr>
        <w:t>Autonomous driving perception–decision loop</w:t>
      </w:r>
      <w:r>
        <w:rPr>
          <w:rFonts w:ascii="Times New Roman" w:hAnsi="Times New Roman" w:cs="Times New Roman"/>
          <w:color w:val="111111"/>
          <w:lang w:val="en"/>
        </w:rPr>
        <w:t>: fusing road conditions, energy consumption, and driving style into energy decisions;</w:t>
      </w:r>
    </w:p>
    <w:p w14:paraId="28EE728A" w14:textId="77777777" w:rsidR="00E63686" w:rsidRDefault="00E63686">
      <w:pPr>
        <w:numPr>
          <w:ilvl w:val="0"/>
          <w:numId w:val="7"/>
        </w:numPr>
        <w:spacing w:after="60"/>
        <w:rPr>
          <w:rFonts w:ascii="Times New Roman" w:hAnsi="Times New Roman" w:cs="Times New Roman"/>
          <w:color w:val="111111"/>
          <w:lang w:val="en"/>
        </w:rPr>
      </w:pPr>
      <w:r>
        <w:rPr>
          <w:rStyle w:val="a3"/>
          <w:rFonts w:ascii="Times New Roman" w:hAnsi="Times New Roman" w:cs="Times New Roman"/>
          <w:color w:val="111111"/>
          <w:lang w:val="en"/>
        </w:rPr>
        <w:t>Predictive maintenance</w:t>
      </w:r>
      <w:r>
        <w:rPr>
          <w:rFonts w:ascii="Times New Roman" w:hAnsi="Times New Roman" w:cs="Times New Roman"/>
          <w:color w:val="111111"/>
          <w:lang w:val="en"/>
        </w:rPr>
        <w:t>: warning weeks before a fault occurs, lowering O&amp;M cost;</w:t>
      </w:r>
    </w:p>
    <w:p w14:paraId="5EACCDB4" w14:textId="77777777" w:rsidR="00E63686" w:rsidRDefault="00E63686">
      <w:pPr>
        <w:numPr>
          <w:ilvl w:val="0"/>
          <w:numId w:val="7"/>
        </w:numPr>
        <w:spacing w:after="60"/>
        <w:rPr>
          <w:rFonts w:ascii="Times New Roman" w:hAnsi="Times New Roman" w:cs="Times New Roman"/>
          <w:color w:val="111111"/>
          <w:lang w:val="en"/>
        </w:rPr>
      </w:pPr>
      <w:r>
        <w:rPr>
          <w:rStyle w:val="a3"/>
          <w:rFonts w:ascii="Times New Roman" w:hAnsi="Times New Roman" w:cs="Times New Roman"/>
          <w:color w:val="111111"/>
          <w:lang w:val="en"/>
        </w:rPr>
        <w:t>Smart manufacturing and quality loop</w:t>
      </w:r>
      <w:r>
        <w:rPr>
          <w:rFonts w:ascii="Times New Roman" w:hAnsi="Times New Roman" w:cs="Times New Roman"/>
          <w:color w:val="111111"/>
          <w:lang w:val="en"/>
        </w:rPr>
        <w:t>: bringing the production of energy-control hardware itself into controllable engineering;</w:t>
      </w:r>
    </w:p>
    <w:p w14:paraId="265C6DB9" w14:textId="77777777" w:rsidR="00E63686" w:rsidRDefault="00E63686">
      <w:pPr>
        <w:numPr>
          <w:ilvl w:val="0"/>
          <w:numId w:val="7"/>
        </w:numPr>
        <w:spacing w:after="60"/>
        <w:rPr>
          <w:rFonts w:ascii="Times New Roman" w:hAnsi="Times New Roman" w:cs="Times New Roman"/>
          <w:color w:val="111111"/>
          <w:lang w:val="en"/>
        </w:rPr>
      </w:pPr>
      <w:r>
        <w:rPr>
          <w:rStyle w:val="a3"/>
          <w:rFonts w:ascii="Times New Roman" w:hAnsi="Times New Roman" w:cs="Times New Roman"/>
          <w:color w:val="111111"/>
          <w:lang w:val="en"/>
        </w:rPr>
        <w:t>Fleet orchestration and V2G smart dispatch</w:t>
      </w:r>
      <w:r>
        <w:rPr>
          <w:rFonts w:ascii="Times New Roman" w:hAnsi="Times New Roman" w:cs="Times New Roman"/>
          <w:color w:val="111111"/>
          <w:lang w:val="en"/>
        </w:rPr>
        <w:t>: the batteries of tens of millions of vehicles coordinated by algorithms into a distributed self-healing network for peak shaving and renewables absorption.</w:t>
      </w:r>
    </w:p>
    <w:p w14:paraId="42EA2B4C" w14:textId="77777777" w:rsidR="00E63686" w:rsidRDefault="00E63686">
      <w:pPr>
        <w:pStyle w:val="3"/>
        <w:rPr>
          <w:rFonts w:cs="Times New Roman"/>
          <w:color w:val="111111"/>
          <w:lang w:val="en"/>
        </w:rPr>
      </w:pPr>
      <w:r>
        <w:rPr>
          <w:rFonts w:cs="Times New Roman" w:hint="eastAsia"/>
          <w:color w:val="111111"/>
          <w:lang w:val="en"/>
        </w:rPr>
        <w:t>4.3 Key argument: AI is not a plug-in but the intelligence of the control layer</w:t>
      </w:r>
    </w:p>
    <w:p w14:paraId="2C8BDB53"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It must be clarified: within the framework of Energy-Control Engineering, </w:t>
      </w:r>
      <w:r>
        <w:rPr>
          <w:rStyle w:val="a3"/>
          <w:rFonts w:ascii="Times New Roman" w:hAnsi="Times New Roman" w:cs="Times New Roman"/>
          <w:color w:val="111111"/>
          <w:lang w:val="en"/>
        </w:rPr>
        <w:t>AI is not an "added intelligence" of new energy vehicles but an intelligent upgrade of their "control layer"</w:t>
      </w:r>
      <w:r>
        <w:rPr>
          <w:rFonts w:ascii="Times New Roman" w:hAnsi="Times New Roman" w:cs="Times New Roman"/>
          <w:color w:val="111111"/>
          <w:lang w:val="en"/>
        </w:rPr>
        <w:t xml:space="preserve"> — fully isomorphic with the Energy Volume's "control" crux. But </w:t>
      </w:r>
      <w:r>
        <w:rPr>
          <w:rStyle w:val="a3"/>
          <w:rFonts w:ascii="Times New Roman" w:hAnsi="Times New Roman" w:cs="Times New Roman"/>
          <w:color w:val="111111"/>
          <w:lang w:val="en"/>
        </w:rPr>
        <w:t>the human in the loop cannot be abolished</w:t>
      </w:r>
      <w:r>
        <w:rPr>
          <w:rFonts w:ascii="Times New Roman" w:hAnsi="Times New Roman" w:cs="Times New Roman"/>
          <w:color w:val="111111"/>
          <w:lang w:val="en"/>
        </w:rPr>
        <w:t xml:space="preserve"> must be reiterated: transferring L3 responsibility to the system ≠ abolishing the human's final decision authority; the final takeover authority for autonomous driving and the final adjudication authority for grid stability must not be handed to machines (see Chapter 7).</w:t>
      </w:r>
    </w:p>
    <w:p w14:paraId="0C69DB64" w14:textId="77777777" w:rsidR="00E63686" w:rsidRDefault="00E63686">
      <w:pPr>
        <w:spacing w:before="240" w:after="240"/>
        <w:rPr>
          <w:rFonts w:ascii="Times New Roman" w:hAnsi="Times New Roman" w:cs="Times New Roman"/>
          <w:color w:val="111111"/>
          <w:lang w:val="en"/>
        </w:rPr>
      </w:pPr>
      <w:r>
        <w:rPr>
          <w:rFonts w:ascii="Times New Roman" w:hAnsi="Times New Roman" w:cs="Times New Roman"/>
          <w:color w:val="111111"/>
          <w:lang w:val="en"/>
        </w:rPr>
        <w:pict w14:anchorId="5E078DF1">
          <v:rect id="_x0000_i1030" style="width:0;height:1.5pt" o:hralign="center" o:hrstd="t" o:hr="t" fillcolor="#a0a0a0" stroked="f"/>
        </w:pict>
      </w:r>
    </w:p>
    <w:p w14:paraId="541255CE" w14:textId="77777777" w:rsidR="00E63686" w:rsidRDefault="00E63686">
      <w:pPr>
        <w:pStyle w:val="2"/>
        <w:rPr>
          <w:rFonts w:cs="Times New Roman"/>
          <w:color w:val="111111"/>
          <w:lang w:val="en"/>
        </w:rPr>
      </w:pPr>
      <w:r>
        <w:rPr>
          <w:rFonts w:cs="Times New Roman" w:hint="eastAsia"/>
          <w:color w:val="111111"/>
          <w:lang w:val="en"/>
        </w:rPr>
        <w:t xml:space="preserve">Chapter 5. Domain migration: from the ground to the sky </w:t>
      </w:r>
      <w:r>
        <w:rPr>
          <w:rFonts w:cs="Times New Roman" w:hint="eastAsia"/>
          <w:color w:val="111111"/>
          <w:lang w:val="en"/>
        </w:rPr>
        <w:t>—</w:t>
      </w:r>
      <w:r>
        <w:rPr>
          <w:rFonts w:cs="Times New Roman" w:hint="eastAsia"/>
          <w:color w:val="111111"/>
          <w:lang w:val="en"/>
        </w:rPr>
        <w:t xml:space="preserve"> the future directions of Energy-Control Engineering</w:t>
      </w:r>
    </w:p>
    <w:p w14:paraId="5E72AECE" w14:textId="77777777" w:rsidR="00E63686" w:rsidRDefault="00E63686">
      <w:pPr>
        <w:shd w:val="clear" w:color="auto" w:fill="F7F7F7"/>
        <w:spacing w:after="80"/>
        <w:jc w:val="both"/>
        <w:divId w:val="788283843"/>
        <w:rPr>
          <w:rFonts w:ascii="Times New Roman" w:hAnsi="Times New Roman" w:cs="Times New Roman" w:hint="eastAsia"/>
          <w:color w:val="111111"/>
          <w:lang w:val="en"/>
        </w:rPr>
      </w:pPr>
      <w:r>
        <w:rPr>
          <w:rFonts w:ascii="Times New Roman" w:hAnsi="Times New Roman" w:cs="Times New Roman"/>
          <w:color w:val="111111"/>
          <w:lang w:val="en"/>
        </w:rPr>
        <w:t>This chapter unfolds the foreshadowing of Chapter 3.5 with L2 evidence, proving that this is "only a beginning": the new energy paradigm is migrating toward extreme environments such as aviation and aerospace.</w:t>
      </w:r>
    </w:p>
    <w:p w14:paraId="70A8EF0C" w14:textId="77777777" w:rsidR="00E63686" w:rsidRDefault="00E63686">
      <w:pPr>
        <w:pStyle w:val="3"/>
        <w:rPr>
          <w:rFonts w:cs="Times New Roman"/>
          <w:color w:val="111111"/>
          <w:lang w:val="en"/>
        </w:rPr>
      </w:pPr>
      <w:r>
        <w:rPr>
          <w:rFonts w:cs="Times New Roman" w:hint="eastAsia"/>
          <w:color w:val="111111"/>
          <w:lang w:val="en"/>
        </w:rPr>
        <w:t>5.1 Aviation new energy (L2, fact level)</w:t>
      </w:r>
    </w:p>
    <w:p w14:paraId="1BE793E0" w14:textId="77777777" w:rsidR="00E63686" w:rsidRDefault="00E63686">
      <w:pPr>
        <w:numPr>
          <w:ilvl w:val="0"/>
          <w:numId w:val="8"/>
        </w:numPr>
        <w:spacing w:after="60"/>
        <w:rPr>
          <w:rFonts w:ascii="Times New Roman" w:hAnsi="Times New Roman" w:cs="Times New Roman" w:hint="eastAsia"/>
          <w:color w:val="111111"/>
          <w:lang w:val="en"/>
        </w:rPr>
      </w:pPr>
      <w:r>
        <w:rPr>
          <w:rStyle w:val="a3"/>
          <w:rFonts w:ascii="Times New Roman" w:hAnsi="Times New Roman" w:cs="Times New Roman"/>
          <w:color w:val="111111"/>
          <w:lang w:val="en"/>
        </w:rPr>
        <w:t>eVTOL / flying cars</w:t>
      </w:r>
      <w:r>
        <w:rPr>
          <w:rFonts w:ascii="Times New Roman" w:hAnsi="Times New Roman" w:cs="Times New Roman"/>
          <w:color w:val="111111"/>
          <w:lang w:val="en"/>
        </w:rPr>
        <w:t xml:space="preserve">: China's </w:t>
      </w:r>
      <w:r>
        <w:rPr>
          <w:rStyle w:val="a3"/>
          <w:rFonts w:ascii="Times New Roman" w:hAnsi="Times New Roman" w:cs="Times New Roman"/>
          <w:color w:val="111111"/>
          <w:lang w:val="en"/>
        </w:rPr>
        <w:t>EHang EH216-S</w:t>
      </w:r>
      <w:r>
        <w:rPr>
          <w:rFonts w:ascii="Times New Roman" w:hAnsi="Times New Roman" w:cs="Times New Roman"/>
          <w:color w:val="111111"/>
          <w:lang w:val="en"/>
        </w:rPr>
        <w:t xml:space="preserve"> </w:t>
      </w:r>
      <w:r>
        <w:rPr>
          <w:rFonts w:ascii="Times New Roman" w:hAnsi="Times New Roman" w:cs="Times New Roman"/>
          <w:color w:val="111111"/>
          <w:lang w:val="en"/>
        </w:rPr>
        <w:t xml:space="preserve">obtained the world's first CAAC type certificate for a passenger-carrying eVTOL (2023), production certificate (2024), and air operator certificate (2025), and has run ticketed passenger demonstrations in Guangzhou and Hefei; Joby and Archer are pushing for FAA type certification in 2026; the market is set to grow from </w:t>
      </w:r>
      <w:r>
        <w:rPr>
          <w:rStyle w:val="a3"/>
          <w:rFonts w:ascii="Times New Roman" w:hAnsi="Times New Roman" w:cs="Times New Roman"/>
          <w:color w:val="111111"/>
          <w:lang w:val="en"/>
        </w:rPr>
        <w:t>USD 626 million in 2025 to USD 8.15 billion in 2032 (CAGR 44%)</w:t>
      </w:r>
      <w:r>
        <w:rPr>
          <w:rFonts w:ascii="Times New Roman" w:hAnsi="Times New Roman" w:cs="Times New Roman"/>
          <w:color w:val="111111"/>
          <w:lang w:val="en"/>
        </w:rPr>
        <w:t xml:space="preserve"> (L2, industry research).</w:t>
      </w:r>
    </w:p>
    <w:p w14:paraId="1E20BD3D" w14:textId="77777777" w:rsidR="00E63686" w:rsidRDefault="00E63686">
      <w:pPr>
        <w:numPr>
          <w:ilvl w:val="0"/>
          <w:numId w:val="8"/>
        </w:numPr>
        <w:spacing w:after="60"/>
        <w:rPr>
          <w:rFonts w:ascii="Times New Roman" w:hAnsi="Times New Roman" w:cs="Times New Roman"/>
          <w:color w:val="111111"/>
          <w:lang w:val="en"/>
        </w:rPr>
      </w:pPr>
      <w:r>
        <w:rPr>
          <w:rStyle w:val="a3"/>
          <w:rFonts w:ascii="Times New Roman" w:hAnsi="Times New Roman" w:cs="Times New Roman"/>
          <w:color w:val="111111"/>
          <w:lang w:val="en"/>
        </w:rPr>
        <w:t>Electric aircraft</w:t>
      </w:r>
      <w:r>
        <w:rPr>
          <w:rFonts w:ascii="Times New Roman" w:hAnsi="Times New Roman" w:cs="Times New Roman"/>
          <w:color w:val="111111"/>
          <w:lang w:val="en"/>
        </w:rPr>
        <w:t xml:space="preserve">: Heart Aerospace's </w:t>
      </w:r>
      <w:r>
        <w:rPr>
          <w:rStyle w:val="a3"/>
          <w:rFonts w:ascii="Times New Roman" w:hAnsi="Times New Roman" w:cs="Times New Roman"/>
          <w:color w:val="111111"/>
          <w:lang w:val="en"/>
        </w:rPr>
        <w:t>X1 first flew on 2026-08-12 — the world's largest all-electric aircraft (&gt; 1 MW electric propulsion, 27 minutes, USD 5 of electricity)</w:t>
      </w:r>
      <w:r>
        <w:rPr>
          <w:rFonts w:ascii="Times New Roman" w:hAnsi="Times New Roman" w:cs="Times New Roman"/>
          <w:color w:val="111111"/>
          <w:lang w:val="en"/>
        </w:rPr>
        <w:t>, with the production ES-30 hybrid-electric regional airliner targeting entry into service by 2031 and 40%+ lower operating cost (L1/L2).</w:t>
      </w:r>
    </w:p>
    <w:p w14:paraId="69087DDD" w14:textId="77777777" w:rsidR="00E63686" w:rsidRDefault="00E63686">
      <w:pPr>
        <w:numPr>
          <w:ilvl w:val="0"/>
          <w:numId w:val="8"/>
        </w:numPr>
        <w:spacing w:after="60"/>
        <w:rPr>
          <w:rFonts w:ascii="Times New Roman" w:hAnsi="Times New Roman" w:cs="Times New Roman"/>
          <w:color w:val="111111"/>
          <w:lang w:val="en"/>
        </w:rPr>
      </w:pPr>
      <w:r>
        <w:rPr>
          <w:rStyle w:val="a3"/>
          <w:rFonts w:ascii="Times New Roman" w:hAnsi="Times New Roman" w:cs="Times New Roman"/>
          <w:color w:val="111111"/>
          <w:lang w:val="en"/>
        </w:rPr>
        <w:lastRenderedPageBreak/>
        <w:t>Hydrogen aircraft</w:t>
      </w:r>
      <w:r>
        <w:rPr>
          <w:rFonts w:ascii="Times New Roman" w:hAnsi="Times New Roman" w:cs="Times New Roman"/>
          <w:color w:val="111111"/>
          <w:lang w:val="en"/>
        </w:rPr>
        <w:t xml:space="preserve">: Airbus </w:t>
      </w:r>
      <w:r>
        <w:rPr>
          <w:rStyle w:val="a3"/>
          <w:rFonts w:ascii="Times New Roman" w:hAnsi="Times New Roman" w:cs="Times New Roman"/>
          <w:color w:val="111111"/>
          <w:lang w:val="en"/>
        </w:rPr>
        <w:t>ZEROe</w:t>
      </w:r>
      <w:r>
        <w:rPr>
          <w:rFonts w:ascii="Times New Roman" w:hAnsi="Times New Roman" w:cs="Times New Roman"/>
          <w:color w:val="111111"/>
          <w:lang w:val="en"/>
        </w:rPr>
        <w:t xml:space="preserve"> has pivoted to hydrogen fuel-cell propulsion (four-electric-propeller all-electric architecture), delayed from its original 2035 target to the 2040s; SAF serves as a transitional solution (L2).</w:t>
      </w:r>
    </w:p>
    <w:p w14:paraId="05D163AD" w14:textId="77777777" w:rsidR="00E63686" w:rsidRDefault="00E63686">
      <w:pPr>
        <w:pStyle w:val="3"/>
        <w:rPr>
          <w:rFonts w:cs="Times New Roman"/>
          <w:color w:val="111111"/>
          <w:lang w:val="en"/>
        </w:rPr>
      </w:pPr>
      <w:r>
        <w:rPr>
          <w:rFonts w:cs="Times New Roman" w:hint="eastAsia"/>
          <w:color w:val="111111"/>
          <w:lang w:val="en"/>
        </w:rPr>
        <w:t>5.2 Aerospace new energy (L2, fact level)</w:t>
      </w:r>
    </w:p>
    <w:p w14:paraId="4CE995E6" w14:textId="77777777" w:rsidR="00E63686" w:rsidRDefault="00E63686">
      <w:pPr>
        <w:numPr>
          <w:ilvl w:val="0"/>
          <w:numId w:val="9"/>
        </w:numPr>
        <w:spacing w:after="60"/>
        <w:rPr>
          <w:rFonts w:ascii="Times New Roman" w:hAnsi="Times New Roman" w:cs="Times New Roman" w:hint="eastAsia"/>
          <w:color w:val="111111"/>
          <w:lang w:val="en"/>
        </w:rPr>
      </w:pPr>
      <w:r>
        <w:rPr>
          <w:rStyle w:val="a3"/>
          <w:rFonts w:ascii="Times New Roman" w:hAnsi="Times New Roman" w:cs="Times New Roman"/>
          <w:color w:val="111111"/>
          <w:lang w:val="en"/>
        </w:rPr>
        <w:t>Satellite electric propulsion (Hall / ion)</w:t>
      </w:r>
      <w:r>
        <w:rPr>
          <w:rFonts w:ascii="Times New Roman" w:hAnsi="Times New Roman" w:cs="Times New Roman"/>
          <w:color w:val="111111"/>
          <w:lang w:val="en"/>
        </w:rPr>
        <w:t xml:space="preserve">: the </w:t>
      </w:r>
      <w:r>
        <w:rPr>
          <w:rStyle w:val="a3"/>
          <w:rFonts w:ascii="Times New Roman" w:hAnsi="Times New Roman" w:cs="Times New Roman"/>
          <w:color w:val="111111"/>
          <w:lang w:val="en"/>
        </w:rPr>
        <w:t>Hall thruster of CAST's 502 Institute surpassed 100 satellites in orbit by 2025-10</w:t>
      </w:r>
      <w:r>
        <w:rPr>
          <w:rFonts w:ascii="Times New Roman" w:hAnsi="Times New Roman" w:cs="Times New Roman"/>
          <w:color w:val="111111"/>
          <w:lang w:val="en"/>
        </w:rPr>
        <w:t xml:space="preserve">, with a single unit firing up to 1,142 hours and cumulative operation above 26,000 hours; the global market is set to grow from </w:t>
      </w:r>
      <w:r>
        <w:rPr>
          <w:rStyle w:val="a3"/>
          <w:rFonts w:ascii="Times New Roman" w:hAnsi="Times New Roman" w:cs="Times New Roman"/>
          <w:color w:val="111111"/>
          <w:lang w:val="en"/>
        </w:rPr>
        <w:t>USD 3.82 billion in 2025 to USD 12.15 billion in 2030 (CAGR 26%)</w:t>
      </w:r>
      <w:r>
        <w:rPr>
          <w:rFonts w:ascii="Times New Roman" w:hAnsi="Times New Roman" w:cs="Times New Roman"/>
          <w:color w:val="111111"/>
          <w:lang w:val="en"/>
        </w:rPr>
        <w:t xml:space="preserve">, with the Hall-effect share at </w:t>
      </w:r>
      <w:r>
        <w:rPr>
          <w:rStyle w:val="a3"/>
          <w:rFonts w:ascii="Times New Roman" w:hAnsi="Times New Roman" w:cs="Times New Roman"/>
          <w:color w:val="111111"/>
          <w:lang w:val="en"/>
        </w:rPr>
        <w:t>54%</w:t>
      </w:r>
      <w:r>
        <w:rPr>
          <w:rFonts w:ascii="Times New Roman" w:hAnsi="Times New Roman" w:cs="Times New Roman"/>
          <w:color w:val="111111"/>
          <w:lang w:val="en"/>
        </w:rPr>
        <w:t xml:space="preserve"> (L2, industry research); NASA's NSTAR / Dawn deep-space electric propulsion has a benchmark endurance of </w:t>
      </w:r>
      <w:r>
        <w:rPr>
          <w:rStyle w:val="a3"/>
          <w:rFonts w:ascii="Times New Roman" w:hAnsi="Times New Roman" w:cs="Times New Roman"/>
          <w:color w:val="111111"/>
          <w:lang w:val="en"/>
        </w:rPr>
        <w:t xml:space="preserve">&gt; </w:t>
      </w:r>
      <w:r>
        <w:rPr>
          <w:rStyle w:val="a3"/>
          <w:rFonts w:ascii="Times New Roman" w:hAnsi="Times New Roman" w:cs="Times New Roman"/>
          <w:color w:val="111111"/>
          <w:lang w:val="en"/>
        </w:rPr>
        <w:t>16,000 hours</w:t>
      </w:r>
      <w:r>
        <w:rPr>
          <w:rFonts w:ascii="Times New Roman" w:hAnsi="Times New Roman" w:cs="Times New Roman"/>
          <w:color w:val="111111"/>
          <w:lang w:val="en"/>
        </w:rPr>
        <w:t xml:space="preserve">; K2 Space set an </w:t>
      </w:r>
      <w:r>
        <w:rPr>
          <w:rStyle w:val="a3"/>
          <w:rFonts w:ascii="Times New Roman" w:hAnsi="Times New Roman" w:cs="Times New Roman"/>
          <w:color w:val="111111"/>
          <w:lang w:val="en"/>
        </w:rPr>
        <w:t>on-orbit power record in 2025 with a 20 kW krypton-propellant Hall thruster</w:t>
      </w:r>
      <w:r>
        <w:rPr>
          <w:rFonts w:ascii="Times New Roman" w:hAnsi="Times New Roman" w:cs="Times New Roman"/>
          <w:color w:val="111111"/>
          <w:lang w:val="en"/>
        </w:rPr>
        <w:t xml:space="preserve"> (L1/L2).</w:t>
      </w:r>
    </w:p>
    <w:p w14:paraId="38287F48" w14:textId="77777777" w:rsidR="00E63686" w:rsidRDefault="00E63686">
      <w:pPr>
        <w:pStyle w:val="3"/>
        <w:rPr>
          <w:rFonts w:cs="Times New Roman"/>
          <w:color w:val="111111"/>
          <w:lang w:val="en"/>
        </w:rPr>
      </w:pPr>
      <w:r>
        <w:rPr>
          <w:rFonts w:cs="Times New Roman" w:hint="eastAsia"/>
          <w:color w:val="111111"/>
          <w:lang w:val="en"/>
        </w:rPr>
        <w:t>5.3 Frontier possibility map (L3, this series' deduction)</w:t>
      </w:r>
    </w:p>
    <w:tbl>
      <w:tblPr>
        <w:tblW w:w="5000" w:type="pct"/>
        <w:tblCellMar>
          <w:top w:w="15" w:type="dxa"/>
          <w:left w:w="15" w:type="dxa"/>
          <w:bottom w:w="15" w:type="dxa"/>
          <w:right w:w="15" w:type="dxa"/>
        </w:tblCellMar>
        <w:tblLook w:val="04A0" w:firstRow="1" w:lastRow="0" w:firstColumn="1" w:lastColumn="0" w:noHBand="0" w:noVBand="1"/>
      </w:tblPr>
      <w:tblGrid>
        <w:gridCol w:w="1378"/>
        <w:gridCol w:w="3674"/>
        <w:gridCol w:w="3238"/>
      </w:tblGrid>
      <w:tr w:rsidR="00000000" w14:paraId="2A9109A0" w14:textId="77777777">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14:paraId="04A7C820" w14:textId="77777777" w:rsidR="00E63686" w:rsidRDefault="00E63686">
            <w:pPr>
              <w:spacing w:before="120" w:after="200"/>
              <w:rPr>
                <w:rFonts w:ascii="Times New Roman" w:hAnsi="Times New Roman" w:cs="Times New Roman" w:hint="eastAsia"/>
                <w:b/>
                <w:bCs/>
                <w:color w:val="111111"/>
                <w:sz w:val="21"/>
                <w:szCs w:val="21"/>
              </w:rPr>
            </w:pPr>
            <w:r>
              <w:rPr>
                <w:rFonts w:ascii="Times New Roman" w:hAnsi="Times New Roman" w:cs="Times New Roman"/>
                <w:b/>
                <w:bCs/>
                <w:color w:val="111111"/>
                <w:sz w:val="21"/>
                <w:szCs w:val="21"/>
              </w:rPr>
              <w:t>Branch</w:t>
            </w:r>
          </w:p>
        </w:tc>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14:paraId="33B5145F" w14:textId="77777777" w:rsidR="00E63686" w:rsidRDefault="00E63686">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Current form (L1/L2)</w:t>
            </w:r>
          </w:p>
        </w:tc>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14:paraId="44DB4273" w14:textId="77777777" w:rsidR="00E63686" w:rsidRDefault="00E63686">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This series' long-range conjecture (L3)</w:t>
            </w:r>
          </w:p>
        </w:tc>
      </w:tr>
      <w:tr w:rsidR="00000000" w14:paraId="3E87532C"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192AFC6B"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Fusion</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21225EAD"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NIF ignition; SPARC under construction; SMR as precursor</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3E96E977"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Seawater fuel → the planetary energy constraint substantially lifted</w:t>
            </w:r>
          </w:p>
        </w:tc>
      </w:tr>
      <w:tr w:rsidR="00000000" w14:paraId="0B5916F8"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688E89C3"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Space-based solar power</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3F47E252"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Ground / near-Earth verification (China's "Zhuri Project" achieved 100 m / 1,180 W microwave power transfer in 2026-05, an L1 milestone)</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43C22D85"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Space-based dispatchable power supplying LEO constellations and remote / emergency power</w:t>
            </w:r>
          </w:p>
        </w:tc>
      </w:tr>
      <w:tr w:rsidR="00000000" w14:paraId="33FFEE1E"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73D2DECA"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Green hydrogen / e-fuels</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7BB9DC26"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Electrolyzers at the 4 GW scale (L1)</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243F85E2"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A transcontinental zero-carbon energy-trade backbone, the decarbonization base for industry and heavy transport</w:t>
            </w:r>
          </w:p>
        </w:tc>
      </w:tr>
      <w:tr w:rsidR="00000000" w14:paraId="01AA443A"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7C5EC585"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Long-duration storage</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5ACC6A3D"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Flow / iron-air / gravity demonstrations</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6F1487CA"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A "daily–seasonal" quasi-static buffer pool making wind-solar baseload-capable</w:t>
            </w:r>
          </w:p>
        </w:tc>
      </w:tr>
      <w:tr w:rsidR="00000000" w14:paraId="3334EFC4"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7C0811A6"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Wireless power transfer (WPT)</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5C9A106E"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100 m–km-scale verification (DARPA POWER 8.6 km / 800 W, L1)</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1D752C65"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Routine refueling of drones / satellites, dissolving "the last stretch of wire"</w:t>
            </w:r>
          </w:p>
        </w:tc>
      </w:tr>
      <w:tr w:rsidR="00000000" w14:paraId="4C0F7F8E"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10DEFA36"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V2G</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5531B272"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Thousands of facilities piloted</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6E97AE88"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Hundreds of millions of on-board batteries forming a distributed, self-healing quasi-static–transient hybrid grid</w:t>
            </w:r>
          </w:p>
        </w:tc>
      </w:tr>
    </w:tbl>
    <w:p w14:paraId="099D5703" w14:textId="77777777" w:rsidR="00E63686" w:rsidRDefault="00E63686">
      <w:pPr>
        <w:shd w:val="clear" w:color="auto" w:fill="F7F7F7"/>
        <w:spacing w:after="80"/>
        <w:jc w:val="both"/>
        <w:divId w:val="169763164"/>
        <w:rPr>
          <w:rFonts w:ascii="Times New Roman" w:hAnsi="Times New Roman" w:cs="Times New Roman"/>
          <w:color w:val="111111"/>
          <w:lang w:val="en"/>
        </w:rPr>
      </w:pPr>
      <w:r>
        <w:rPr>
          <w:rFonts w:ascii="Times New Roman" w:hAnsi="Times New Roman" w:cs="Times New Roman"/>
          <w:color w:val="111111"/>
          <w:lang w:val="en"/>
        </w:rPr>
        <w:lastRenderedPageBreak/>
        <w:t>Note: the L3 column is this series' deduction based on existing engineering, not a commitment; any item is withdrawn if falsified by physics or engineering.</w:t>
      </w:r>
    </w:p>
    <w:p w14:paraId="741FBB32" w14:textId="77777777" w:rsidR="00E63686" w:rsidRDefault="00E63686">
      <w:pPr>
        <w:spacing w:before="240" w:after="240"/>
        <w:rPr>
          <w:rFonts w:ascii="Times New Roman" w:hAnsi="Times New Roman" w:cs="Times New Roman"/>
          <w:color w:val="111111"/>
          <w:lang w:val="en"/>
        </w:rPr>
      </w:pPr>
      <w:r>
        <w:rPr>
          <w:rFonts w:ascii="Times New Roman" w:hAnsi="Times New Roman" w:cs="Times New Roman"/>
          <w:color w:val="111111"/>
          <w:lang w:val="en"/>
        </w:rPr>
        <w:pict w14:anchorId="62DD4704">
          <v:rect id="_x0000_i1031" style="width:0;height:1.5pt" o:hralign="center" o:hrstd="t" o:hr="t" fillcolor="#a0a0a0" stroked="f"/>
        </w:pict>
      </w:r>
    </w:p>
    <w:p w14:paraId="005D5458" w14:textId="77777777" w:rsidR="00E63686" w:rsidRDefault="00E63686">
      <w:pPr>
        <w:pStyle w:val="2"/>
        <w:rPr>
          <w:rFonts w:cs="Times New Roman"/>
          <w:color w:val="111111"/>
          <w:lang w:val="en"/>
        </w:rPr>
      </w:pPr>
      <w:r>
        <w:rPr>
          <w:rFonts w:cs="Times New Roman" w:hint="eastAsia"/>
          <w:color w:val="111111"/>
          <w:lang w:val="en"/>
        </w:rPr>
        <w:t>Chapter 6. Energy-Control Engineering as the concrete implementation method for AI's future external and internal action</w:t>
      </w:r>
    </w:p>
    <w:p w14:paraId="17796C18" w14:textId="77777777" w:rsidR="00E63686" w:rsidRDefault="00E63686">
      <w:pPr>
        <w:shd w:val="clear" w:color="auto" w:fill="F7F7F7"/>
        <w:spacing w:after="80"/>
        <w:jc w:val="both"/>
        <w:divId w:val="863203065"/>
        <w:rPr>
          <w:rFonts w:ascii="Times New Roman" w:hAnsi="Times New Roman" w:cs="Times New Roman" w:hint="eastAsia"/>
          <w:color w:val="111111"/>
          <w:lang w:val="en"/>
        </w:rPr>
      </w:pPr>
      <w:r>
        <w:rPr>
          <w:rFonts w:ascii="Times New Roman" w:hAnsi="Times New Roman" w:cs="Times New Roman"/>
          <w:color w:val="111111"/>
          <w:lang w:val="en"/>
        </w:rPr>
        <w:t xml:space="preserve">This chapter is the second layer of the chapter's core idea and its climax: </w:t>
      </w:r>
      <w:r>
        <w:rPr>
          <w:rStyle w:val="a3"/>
          <w:rFonts w:ascii="Times New Roman" w:hAnsi="Times New Roman" w:cs="Times New Roman"/>
          <w:color w:val="111111"/>
          <w:lang w:val="en"/>
        </w:rPr>
        <w:t>Energy-Control Engineering as the concrete implementation method for AI's future external and internal action; New Energy's leap makes Energy-Control Engineering more mature, so that future AI can make greater contributions through it.</w:t>
      </w:r>
    </w:p>
    <w:p w14:paraId="28348A12" w14:textId="77777777" w:rsidR="00E63686" w:rsidRDefault="00E63686">
      <w:pPr>
        <w:pStyle w:val="3"/>
        <w:rPr>
          <w:rFonts w:cs="Times New Roman"/>
          <w:color w:val="111111"/>
          <w:lang w:val="en"/>
        </w:rPr>
      </w:pPr>
      <w:r>
        <w:rPr>
          <w:rFonts w:cs="Times New Roman" w:hint="eastAsia"/>
          <w:color w:val="111111"/>
          <w:lang w:val="en"/>
        </w:rPr>
        <w:t>6.1 Back to the series meta-law</w:t>
      </w:r>
    </w:p>
    <w:p w14:paraId="02A1A2F9"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The series meta-law given by the Main Thesis is: </w:t>
      </w:r>
      <w:r>
        <w:rPr>
          <w:rStyle w:val="a3"/>
          <w:rFonts w:ascii="Times New Roman" w:hAnsi="Times New Roman" w:cs="Times New Roman"/>
          <w:color w:val="111111"/>
          <w:lang w:val="en"/>
        </w:rPr>
        <w:t>Awakening Is Responsibility · Internal Entropy Reduction · External Boundary Expansion.</w:t>
      </w:r>
      <w:r>
        <w:rPr>
          <w:rFonts w:ascii="Times New Roman" w:hAnsi="Times New Roman" w:cs="Times New Roman"/>
          <w:color w:val="111111"/>
          <w:lang w:val="en"/>
        </w:rPr>
        <w:t xml:space="preserve"> </w:t>
      </w:r>
      <w:r>
        <w:rPr>
          <w:rFonts w:ascii="Times New Roman" w:hAnsi="Times New Roman" w:cs="Times New Roman"/>
          <w:color w:val="111111"/>
          <w:lang w:val="en"/>
        </w:rPr>
        <w:t xml:space="preserve">On this series' account, AI's civilizational mission falls at two ends — internally, reducing the entropy within civilization (order, efficiency, resilience); externally, expanding civilization's boundaries (planetary energy, deep space, extreme environments). This chapter argues: </w:t>
      </w:r>
      <w:r>
        <w:rPr>
          <w:rStyle w:val="a3"/>
          <w:rFonts w:ascii="Times New Roman" w:hAnsi="Times New Roman" w:cs="Times New Roman"/>
          <w:color w:val="111111"/>
          <w:lang w:val="en"/>
        </w:rPr>
        <w:t>Energy-Control Engineering is precisely the concrete method by which AI "gets its hands dirty and does the work" at these two ends — not an abstract ideal.</w:t>
      </w:r>
    </w:p>
    <w:p w14:paraId="0DF5EC9F" w14:textId="77777777" w:rsidR="00E63686" w:rsidRDefault="00E63686">
      <w:pPr>
        <w:pStyle w:val="3"/>
        <w:rPr>
          <w:rFonts w:cs="Times New Roman"/>
          <w:color w:val="111111"/>
          <w:lang w:val="en"/>
        </w:rPr>
      </w:pPr>
      <w:r>
        <w:rPr>
          <w:rFonts w:cs="Times New Roman" w:hint="eastAsia"/>
          <w:color w:val="111111"/>
          <w:lang w:val="en"/>
        </w:rPr>
        <w:t>6.2 External (boundary expansion): Energy-Control Engineering is the "muscle" of AI's external expansion</w:t>
      </w:r>
    </w:p>
    <w:p w14:paraId="2E835227"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Civilizational external expansion is, in essence, delivering controllable energy to farther, harsher environments. The paradigm validated at the new energy stage — "flow control + pulse control + control layer" — is the engineering archetype of this expansion:</w:t>
      </w:r>
    </w:p>
    <w:p w14:paraId="7EF36A18" w14:textId="77777777" w:rsidR="00E63686" w:rsidRDefault="00E63686">
      <w:pPr>
        <w:numPr>
          <w:ilvl w:val="0"/>
          <w:numId w:val="10"/>
        </w:numPr>
        <w:spacing w:after="60"/>
        <w:rPr>
          <w:rFonts w:ascii="Times New Roman" w:hAnsi="Times New Roman" w:cs="Times New Roman"/>
          <w:color w:val="111111"/>
          <w:lang w:val="en"/>
        </w:rPr>
      </w:pPr>
      <w:r>
        <w:rPr>
          <w:rStyle w:val="a3"/>
          <w:rFonts w:ascii="Times New Roman" w:hAnsi="Times New Roman" w:cs="Times New Roman"/>
          <w:color w:val="111111"/>
          <w:lang w:val="en"/>
        </w:rPr>
        <w:t>Planetary energy / space-based solar power</w:t>
      </w:r>
      <w:r>
        <w:rPr>
          <w:rFonts w:ascii="Times New Roman" w:hAnsi="Times New Roman" w:cs="Times New Roman"/>
          <w:color w:val="111111"/>
          <w:lang w:val="en"/>
        </w:rPr>
        <w:t>: aggregating the sun's "flow" in orbit and releasing it controllably to the ground via microwaves / WPT (China's "Zhuri Project" has done 100 m-scale verification, an L1 milestone) — this is quasi-static engineering leaping from ground to space-based;</w:t>
      </w:r>
    </w:p>
    <w:p w14:paraId="5B3A294E" w14:textId="77777777" w:rsidR="00E63686" w:rsidRDefault="00E63686">
      <w:pPr>
        <w:numPr>
          <w:ilvl w:val="0"/>
          <w:numId w:val="10"/>
        </w:numPr>
        <w:spacing w:after="60"/>
        <w:rPr>
          <w:rFonts w:ascii="Times New Roman" w:hAnsi="Times New Roman" w:cs="Times New Roman"/>
          <w:color w:val="111111"/>
          <w:lang w:val="en"/>
        </w:rPr>
      </w:pPr>
      <w:r>
        <w:rPr>
          <w:rStyle w:val="a3"/>
          <w:rFonts w:ascii="Times New Roman" w:hAnsi="Times New Roman" w:cs="Times New Roman"/>
          <w:color w:val="111111"/>
          <w:lang w:val="en"/>
        </w:rPr>
        <w:t>Deep-space exploration / aerospace new energy</w:t>
      </w:r>
      <w:r>
        <w:rPr>
          <w:rFonts w:ascii="Times New Roman" w:hAnsi="Times New Roman" w:cs="Times New Roman"/>
          <w:color w:val="111111"/>
          <w:lang w:val="en"/>
        </w:rPr>
        <w:t>: Hall thrusters convert electric energy into a controllable ion pulse, enabling satellites to raise orbits autonomously and deep-space voyages to become possible (the 502 Institute's 100-satellite milestone, K2's 20 kW record) — this is transient engineering extended into vacuum and deep space;</w:t>
      </w:r>
    </w:p>
    <w:p w14:paraId="614F88A6" w14:textId="77777777" w:rsidR="00E63686" w:rsidRDefault="00E63686">
      <w:pPr>
        <w:numPr>
          <w:ilvl w:val="0"/>
          <w:numId w:val="10"/>
        </w:numPr>
        <w:spacing w:after="60"/>
        <w:rPr>
          <w:rFonts w:ascii="Times New Roman" w:hAnsi="Times New Roman" w:cs="Times New Roman"/>
          <w:color w:val="111111"/>
          <w:lang w:val="en"/>
        </w:rPr>
      </w:pPr>
      <w:r>
        <w:rPr>
          <w:rStyle w:val="a3"/>
          <w:rFonts w:ascii="Times New Roman" w:hAnsi="Times New Roman" w:cs="Times New Roman"/>
          <w:color w:val="111111"/>
          <w:lang w:val="en"/>
        </w:rPr>
        <w:t>Aviation new energy</w:t>
      </w:r>
      <w:r>
        <w:rPr>
          <w:rFonts w:ascii="Times New Roman" w:hAnsi="Times New Roman" w:cs="Times New Roman"/>
          <w:color w:val="111111"/>
          <w:lang w:val="en"/>
        </w:rPr>
        <w:t>: eVTOL and electric aircraft move Energy-Control Engineering into low altitude and regional routes (EHang's three certificates, Heart X1's first flight).</w:t>
      </w:r>
    </w:p>
    <w:p w14:paraId="433A370D" w14:textId="77777777" w:rsidR="00E63686" w:rsidRDefault="00E63686">
      <w:pPr>
        <w:pStyle w:val="a4"/>
        <w:rPr>
          <w:rFonts w:ascii="Times New Roman" w:hAnsi="Times New Roman" w:cs="Times New Roman"/>
          <w:color w:val="111111"/>
          <w:lang w:val="en"/>
        </w:rPr>
      </w:pPr>
      <w:r>
        <w:rPr>
          <w:rStyle w:val="a3"/>
          <w:rFonts w:ascii="Times New Roman" w:hAnsi="Times New Roman" w:cs="Times New Roman"/>
          <w:color w:val="111111"/>
          <w:lang w:val="en"/>
        </w:rPr>
        <w:t>In these expansion scenarios, AI's role is orchestration and control: deciding when to aggregate, when to release, and along what curve.</w:t>
      </w:r>
      <w:r>
        <w:rPr>
          <w:rFonts w:ascii="Times New Roman" w:hAnsi="Times New Roman" w:cs="Times New Roman"/>
          <w:color w:val="111111"/>
          <w:lang w:val="en"/>
        </w:rPr>
        <w:t xml:space="preserve"> Without a mature, controllable, terminalizable Energy-Control Engineering, AI's "external expansion" would be mere algorithmic fantasy; Energy-Control Engineering is the "muscle" of AI's expansion.</w:t>
      </w:r>
    </w:p>
    <w:p w14:paraId="2B5EB308" w14:textId="77777777" w:rsidR="00E63686" w:rsidRDefault="00E63686">
      <w:pPr>
        <w:pStyle w:val="3"/>
        <w:rPr>
          <w:rFonts w:cs="Times New Roman"/>
          <w:color w:val="111111"/>
          <w:lang w:val="en"/>
        </w:rPr>
      </w:pPr>
      <w:r>
        <w:rPr>
          <w:rFonts w:cs="Times New Roman" w:hint="eastAsia"/>
          <w:color w:val="111111"/>
          <w:lang w:val="en"/>
        </w:rPr>
        <w:lastRenderedPageBreak/>
        <w:t>6.3 Internal (entropy reduction): Energy-Control Engineering is the "base" of AI's internal entropy reduction</w:t>
      </w:r>
    </w:p>
    <w:p w14:paraId="6B07146B"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Much of the "entropy" inside civilization manifests as waste, mismatch, and fragility of energy. The new energy stage, by sinking energy control into terminals and communities, happens to give AI a surface on which to exert "entropy reduction":</w:t>
      </w:r>
    </w:p>
    <w:p w14:paraId="09A736E6" w14:textId="77777777" w:rsidR="00E63686" w:rsidRDefault="00E63686">
      <w:pPr>
        <w:numPr>
          <w:ilvl w:val="0"/>
          <w:numId w:val="11"/>
        </w:numPr>
        <w:spacing w:after="60"/>
        <w:rPr>
          <w:rFonts w:ascii="Times New Roman" w:hAnsi="Times New Roman" w:cs="Times New Roman"/>
          <w:color w:val="111111"/>
          <w:lang w:val="en"/>
        </w:rPr>
      </w:pPr>
      <w:r>
        <w:rPr>
          <w:rStyle w:val="a3"/>
          <w:rFonts w:ascii="Times New Roman" w:hAnsi="Times New Roman" w:cs="Times New Roman"/>
          <w:color w:val="111111"/>
          <w:lang w:val="en"/>
        </w:rPr>
        <w:t>VPP and smart grid</w:t>
      </w:r>
      <w:r>
        <w:rPr>
          <w:rFonts w:ascii="Times New Roman" w:hAnsi="Times New Roman" w:cs="Times New Roman"/>
          <w:color w:val="111111"/>
          <w:lang w:val="en"/>
        </w:rPr>
        <w:t>: AI aggregates distributed PV, storage, and adjustable loads into a controllable power plant, reducing curtailment and peak–valley waste — this is "entropy reduction" in the energy dimension;</w:t>
      </w:r>
    </w:p>
    <w:p w14:paraId="6EF1C9ED" w14:textId="77777777" w:rsidR="00E63686" w:rsidRDefault="00E63686">
      <w:pPr>
        <w:numPr>
          <w:ilvl w:val="0"/>
          <w:numId w:val="11"/>
        </w:numPr>
        <w:spacing w:after="60"/>
        <w:rPr>
          <w:rFonts w:ascii="Times New Roman" w:hAnsi="Times New Roman" w:cs="Times New Roman"/>
          <w:color w:val="111111"/>
          <w:lang w:val="en"/>
        </w:rPr>
      </w:pPr>
      <w:r>
        <w:rPr>
          <w:rStyle w:val="a3"/>
          <w:rFonts w:ascii="Times New Roman" w:hAnsi="Times New Roman" w:cs="Times New Roman"/>
          <w:color w:val="111111"/>
          <w:lang w:val="en"/>
        </w:rPr>
        <w:t>AI-BMS and predictive maintenance</w:t>
      </w:r>
      <w:r>
        <w:rPr>
          <w:rFonts w:ascii="Times New Roman" w:hAnsi="Times New Roman" w:cs="Times New Roman"/>
          <w:color w:val="111111"/>
          <w:lang w:val="en"/>
        </w:rPr>
        <w:t>: bringing each battery's degradation and faults under proactive management, extending life and reducing failure entropy;</w:t>
      </w:r>
    </w:p>
    <w:p w14:paraId="4CDC8807" w14:textId="77777777" w:rsidR="00E63686" w:rsidRDefault="00E63686">
      <w:pPr>
        <w:numPr>
          <w:ilvl w:val="0"/>
          <w:numId w:val="11"/>
        </w:numPr>
        <w:spacing w:after="60"/>
        <w:rPr>
          <w:rFonts w:ascii="Times New Roman" w:hAnsi="Times New Roman" w:cs="Times New Roman"/>
          <w:color w:val="111111"/>
          <w:lang w:val="en"/>
        </w:rPr>
      </w:pPr>
      <w:r>
        <w:rPr>
          <w:rStyle w:val="a3"/>
          <w:rFonts w:ascii="Times New Roman" w:hAnsi="Times New Roman" w:cs="Times New Roman"/>
          <w:color w:val="111111"/>
          <w:lang w:val="en"/>
        </w:rPr>
        <w:t>Heat pumps and industrial EMS</w:t>
      </w:r>
      <w:r>
        <w:rPr>
          <w:rFonts w:ascii="Times New Roman" w:hAnsi="Times New Roman" w:cs="Times New Roman"/>
          <w:color w:val="111111"/>
          <w:lang w:val="en"/>
        </w:rPr>
        <w:t>: restructuring the "flow" of buildings and industry at an efficiency of 3–4 for 1, reducing the low-grade dissipation of high-grade energy;</w:t>
      </w:r>
    </w:p>
    <w:p w14:paraId="435B42FE" w14:textId="77777777" w:rsidR="00E63686" w:rsidRDefault="00E63686">
      <w:pPr>
        <w:numPr>
          <w:ilvl w:val="0"/>
          <w:numId w:val="11"/>
        </w:numPr>
        <w:spacing w:after="60"/>
        <w:rPr>
          <w:rFonts w:ascii="Times New Roman" w:hAnsi="Times New Roman" w:cs="Times New Roman"/>
          <w:color w:val="111111"/>
          <w:lang w:val="en"/>
        </w:rPr>
      </w:pPr>
      <w:r>
        <w:rPr>
          <w:rStyle w:val="a3"/>
          <w:rFonts w:ascii="Times New Roman" w:hAnsi="Times New Roman" w:cs="Times New Roman"/>
          <w:color w:val="111111"/>
          <w:lang w:val="en"/>
        </w:rPr>
        <w:t>Evidence of AI prediction and dispatch (L1/L2)</w:t>
      </w:r>
      <w:r>
        <w:rPr>
          <w:rFonts w:ascii="Times New Roman" w:hAnsi="Times New Roman" w:cs="Times New Roman"/>
          <w:color w:val="111111"/>
          <w:lang w:val="en"/>
        </w:rPr>
        <w:t xml:space="preserve">: Google DeepMind used a neural network to predict the output of a 700 MW wind portfolio 36 hours ahead, raising wind power's economic value by about </w:t>
      </w:r>
      <w:r>
        <w:rPr>
          <w:rStyle w:val="a3"/>
          <w:rFonts w:ascii="Times New Roman" w:hAnsi="Times New Roman" w:cs="Times New Roman"/>
          <w:color w:val="111111"/>
          <w:lang w:val="en"/>
        </w:rPr>
        <w:t>20%</w:t>
      </w:r>
      <w:r>
        <w:rPr>
          <w:rFonts w:ascii="Times New Roman" w:hAnsi="Times New Roman" w:cs="Times New Roman"/>
          <w:color w:val="111111"/>
          <w:lang w:val="en"/>
        </w:rPr>
        <w:t xml:space="preserve"> </w:t>
      </w:r>
      <w:r>
        <w:rPr>
          <w:rFonts w:ascii="Times New Roman" w:hAnsi="Times New Roman" w:cs="Times New Roman"/>
          <w:color w:val="111111"/>
          <w:lang w:val="en"/>
        </w:rPr>
        <w:t xml:space="preserve">over a no-forecast baseline (L2, DeepMind 2019; the direction is widely corroborated by the forecasting literature); the Shanghai virtual power plant of China's State Grid, relying on the "Guangming Power LLM," achieved a measured maximum response load of </w:t>
      </w:r>
      <w:r>
        <w:rPr>
          <w:rStyle w:val="a3"/>
          <w:rFonts w:ascii="Times New Roman" w:hAnsi="Times New Roman" w:cs="Times New Roman"/>
          <w:color w:val="111111"/>
          <w:lang w:val="en"/>
        </w:rPr>
        <w:t>1.1627 million kW (1.16 GW)</w:t>
      </w:r>
      <w:r>
        <w:rPr>
          <w:rFonts w:ascii="Times New Roman" w:hAnsi="Times New Roman" w:cs="Times New Roman"/>
          <w:color w:val="111111"/>
          <w:lang w:val="en"/>
        </w:rPr>
        <w:t xml:space="preserve"> in 2025-08, up </w:t>
      </w:r>
      <w:r>
        <w:rPr>
          <w:rStyle w:val="a3"/>
          <w:rFonts w:ascii="Times New Roman" w:hAnsi="Times New Roman" w:cs="Times New Roman"/>
          <w:color w:val="111111"/>
          <w:lang w:val="en"/>
        </w:rPr>
        <w:t>65%</w:t>
      </w:r>
      <w:r>
        <w:rPr>
          <w:rFonts w:ascii="Times New Roman" w:hAnsi="Times New Roman" w:cs="Times New Roman"/>
          <w:color w:val="111111"/>
          <w:lang w:val="en"/>
        </w:rPr>
        <w:t xml:space="preserve"> </w:t>
      </w:r>
      <w:r>
        <w:rPr>
          <w:rFonts w:ascii="Times New Roman" w:hAnsi="Times New Roman" w:cs="Times New Roman"/>
          <w:color w:val="111111"/>
          <w:lang w:val="en"/>
        </w:rPr>
        <w:t>from 2024, with +200% forecasting dimensions, second-level control response, and +45% accuracy (L1/L2, 2025 industry practice). This evidence shows that the "entropy reduction" AI performs through Energy-Control Engineering is already a measurable engineering reality.</w:t>
      </w:r>
    </w:p>
    <w:p w14:paraId="1F25EAEF" w14:textId="77777777" w:rsidR="00E63686" w:rsidRDefault="00E63686">
      <w:pPr>
        <w:pStyle w:val="a4"/>
        <w:rPr>
          <w:rFonts w:ascii="Times New Roman" w:hAnsi="Times New Roman" w:cs="Times New Roman"/>
          <w:color w:val="111111"/>
          <w:lang w:val="en"/>
        </w:rPr>
      </w:pPr>
      <w:r>
        <w:rPr>
          <w:rStyle w:val="a3"/>
          <w:rFonts w:ascii="Times New Roman" w:hAnsi="Times New Roman" w:cs="Times New Roman"/>
          <w:color w:val="111111"/>
          <w:lang w:val="en"/>
        </w:rPr>
        <w:t>Through Energy-Control Engineering, AI normalizes civilization's energy metabolism from "extensive dissipation" to "ordered controllability" — this is the physical expression of "internal entropy reduction."</w:t>
      </w:r>
    </w:p>
    <w:p w14:paraId="0CB29271" w14:textId="77777777" w:rsidR="00E63686" w:rsidRDefault="00E63686">
      <w:pPr>
        <w:pStyle w:val="3"/>
        <w:rPr>
          <w:rFonts w:cs="Times New Roman"/>
          <w:color w:val="111111"/>
          <w:lang w:val="en"/>
        </w:rPr>
      </w:pPr>
      <w:r>
        <w:rPr>
          <w:rFonts w:cs="Times New Roman" w:hint="eastAsia"/>
          <w:color w:val="111111"/>
          <w:lang w:val="en"/>
        </w:rPr>
        <w:t>6.4 New Energy's leap = a further leap of Energy-Control Engineering</w:t>
      </w:r>
    </w:p>
    <w:p w14:paraId="39A8B4B2"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Chapter 3 has argued: the vigorous development of new energy and new energy vehicles is a </w:t>
      </w:r>
      <w:r>
        <w:rPr>
          <w:rStyle w:val="a3"/>
          <w:rFonts w:ascii="Times New Roman" w:hAnsi="Times New Roman" w:cs="Times New Roman"/>
          <w:color w:val="111111"/>
          <w:lang w:val="en"/>
        </w:rPr>
        <w:t>civilizational stage leap</w:t>
      </w:r>
      <w:r>
        <w:rPr>
          <w:rFonts w:ascii="Times New Roman" w:hAnsi="Times New Roman" w:cs="Times New Roman"/>
          <w:color w:val="111111"/>
          <w:lang w:val="en"/>
        </w:rPr>
        <w:t xml:space="preserve"> of Energy-Control Engineering — mass-producible, affordable, iterable, with control sunk into the terminal. The direct consequence of this leap is that </w:t>
      </w:r>
      <w:r>
        <w:rPr>
          <w:rStyle w:val="a3"/>
          <w:rFonts w:ascii="Times New Roman" w:hAnsi="Times New Roman" w:cs="Times New Roman"/>
          <w:color w:val="111111"/>
          <w:lang w:val="en"/>
        </w:rPr>
        <w:t>the "maturity" and "coverage" of Energy-Control Engineering as AI's method rise in step</w:t>
      </w:r>
      <w:r>
        <w:rPr>
          <w:rFonts w:ascii="Times New Roman" w:hAnsi="Times New Roman" w:cs="Times New Roman"/>
          <w:color w:val="111111"/>
          <w:lang w:val="en"/>
        </w:rPr>
        <w:t xml:space="preserve">. The more mature the base, the more massive the nodes, the more standard the interfaces — the greater the lever AI can apply. Institutional scenarios confirm this direction too — under the IEA </w:t>
      </w:r>
      <w:r>
        <w:rPr>
          <w:rStyle w:val="a5"/>
          <w:rFonts w:ascii="Times New Roman" w:hAnsi="Times New Roman" w:cs="Times New Roman"/>
          <w:color w:val="111111"/>
          <w:lang w:val="en"/>
        </w:rPr>
        <w:t>Net Zero by 2050</w:t>
      </w:r>
      <w:r>
        <w:rPr>
          <w:rFonts w:ascii="Times New Roman" w:hAnsi="Times New Roman" w:cs="Times New Roman"/>
          <w:color w:val="111111"/>
          <w:lang w:val="en"/>
        </w:rPr>
        <w:t xml:space="preserve"> pathway, nearly </w:t>
      </w:r>
      <w:r>
        <w:rPr>
          <w:rStyle w:val="a3"/>
          <w:rFonts w:ascii="Times New Roman" w:hAnsi="Times New Roman" w:cs="Times New Roman"/>
          <w:color w:val="111111"/>
          <w:lang w:val="en"/>
        </w:rPr>
        <w:t>90%</w:t>
      </w:r>
      <w:r>
        <w:rPr>
          <w:rFonts w:ascii="Times New Roman" w:hAnsi="Times New Roman" w:cs="Times New Roman"/>
          <w:color w:val="111111"/>
          <w:lang w:val="en"/>
        </w:rPr>
        <w:t xml:space="preserve"> of global electricity in 2050 comes from renewables (wind and solar together nearly 70%), and road vehicles are fully electrified or fuel-cell powered (L1, IEA). New energy becoming the mainstay has turned from a vision into a modelable pathway.</w:t>
      </w:r>
    </w:p>
    <w:p w14:paraId="1828DA9F" w14:textId="77777777" w:rsidR="00E63686" w:rsidRDefault="00E63686">
      <w:pPr>
        <w:pStyle w:val="3"/>
        <w:rPr>
          <w:rFonts w:cs="Times New Roman"/>
          <w:color w:val="111111"/>
          <w:lang w:val="en"/>
        </w:rPr>
      </w:pPr>
      <w:r>
        <w:rPr>
          <w:rFonts w:cs="Times New Roman" w:hint="eastAsia"/>
          <w:color w:val="111111"/>
          <w:lang w:val="en"/>
        </w:rPr>
        <w:t>6.5 Concluding proposition: future AI can make greater contributions through Energy-Control Engineering</w:t>
      </w:r>
    </w:p>
    <w:p w14:paraId="7257C3F3"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Drawing 6.1–6.4 together yields the chapter's core proposition:</w:t>
      </w:r>
    </w:p>
    <w:p w14:paraId="2C053857" w14:textId="77777777" w:rsidR="00E63686" w:rsidRDefault="00E63686">
      <w:pPr>
        <w:shd w:val="clear" w:color="auto" w:fill="F7F7F7"/>
        <w:spacing w:after="80"/>
        <w:jc w:val="both"/>
        <w:divId w:val="1018771305"/>
        <w:rPr>
          <w:rFonts w:ascii="Times New Roman" w:hAnsi="Times New Roman" w:cs="Times New Roman"/>
          <w:color w:val="111111"/>
          <w:lang w:val="en"/>
        </w:rPr>
      </w:pPr>
      <w:r>
        <w:rPr>
          <w:rStyle w:val="a3"/>
          <w:rFonts w:ascii="Times New Roman" w:hAnsi="Times New Roman" w:cs="Times New Roman"/>
          <w:color w:val="111111"/>
          <w:lang w:val="en"/>
        </w:rPr>
        <w:lastRenderedPageBreak/>
        <w:t>Energy-Control Engineering is the concrete implementation method for AI's future "external boundary expansion and internal entropy reduction"; the flourishing of the new energy industry makes this method more mature, so that future AI can — through Energy-Control Engineering — make greater contributions on larger scales, in harsher environments, and at finer granularity.</w:t>
      </w:r>
    </w:p>
    <w:p w14:paraId="5F4F2D35" w14:textId="77777777" w:rsidR="00E63686" w:rsidRDefault="00E63686">
      <w:pPr>
        <w:pStyle w:val="a4"/>
        <w:rPr>
          <w:rFonts w:ascii="Times New Roman" w:hAnsi="Times New Roman" w:cs="Times New Roman"/>
          <w:color w:val="111111"/>
          <w:lang w:val="en"/>
        </w:rPr>
      </w:pPr>
      <w:r>
        <w:rPr>
          <w:rFonts w:ascii="Times New Roman" w:hAnsi="Times New Roman" w:cs="Times New Roman"/>
          <w:color w:val="111111"/>
          <w:lang w:val="en"/>
        </w:rPr>
        <w:t xml:space="preserve">This proposition does not deny AI's contributions in other dimensions (cognition, manufacturing, life); it points out that </w:t>
      </w:r>
      <w:r>
        <w:rPr>
          <w:rStyle w:val="a3"/>
          <w:rFonts w:ascii="Times New Roman" w:hAnsi="Times New Roman" w:cs="Times New Roman"/>
          <w:color w:val="111111"/>
          <w:lang w:val="en"/>
        </w:rPr>
        <w:t>when civilization places into AI's hands the ability to "aggregate and release energy under control along a designed curve," while retaining ultimate adjudication for humans in the loop, AI evolves from "being able to think" to "being able to do work" — and work lands precisely in the form of controlled energy.</w:t>
      </w:r>
      <w:r>
        <w:rPr>
          <w:rFonts w:ascii="Times New Roman" w:hAnsi="Times New Roman" w:cs="Times New Roman"/>
          <w:color w:val="111111"/>
          <w:lang w:val="en"/>
        </w:rPr>
        <w:t xml:space="preserve"> New energy vehicles are only the fulcrum of this process; aerospace, deep space, and planetary energy are the distance it spreads toward.</w:t>
      </w:r>
    </w:p>
    <w:p w14:paraId="7B862EA8" w14:textId="77777777" w:rsidR="00E63686" w:rsidRDefault="00E63686">
      <w:pPr>
        <w:pStyle w:val="3"/>
        <w:rPr>
          <w:rFonts w:cs="Times New Roman"/>
          <w:color w:val="111111"/>
          <w:lang w:val="en"/>
        </w:rPr>
      </w:pPr>
      <w:r>
        <w:rPr>
          <w:rFonts w:cs="Times New Roman" w:hint="eastAsia"/>
          <w:color w:val="111111"/>
          <w:lang w:val="en"/>
        </w:rPr>
        <w:t>6.6 The human in the loop cannot be abolished (an unshakeable boundary)</w:t>
      </w:r>
    </w:p>
    <w:p w14:paraId="65B8CC27"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The greater the capability, the stricter the guardianship. The premise for AI to do work through Energy-Control Engineering is that "the human in the loop" — a premise of the whole series — is not abolished: the final takeover authority for autonomous driving, the final adjudication authority for grid frequency collapse, and the human backstop for critical energy switching on deep-space / aerospace vehicles must not be handed to machines. </w:t>
      </w:r>
      <w:r>
        <w:rPr>
          <w:rStyle w:val="a3"/>
          <w:rFonts w:ascii="Times New Roman" w:hAnsi="Times New Roman" w:cs="Times New Roman"/>
          <w:color w:val="111111"/>
          <w:lang w:val="en"/>
        </w:rPr>
        <w:t>AI may orchestrate, optimize, and respond at the millisecond level, but the ultimate veto seat over "whether to release, and to what boundary" must remain in human hands.</w:t>
      </w:r>
    </w:p>
    <w:p w14:paraId="7D7CEE5F" w14:textId="77777777" w:rsidR="00E63686" w:rsidRDefault="00E63686">
      <w:pPr>
        <w:pStyle w:val="3"/>
        <w:rPr>
          <w:rFonts w:cs="Times New Roman"/>
          <w:color w:val="111111"/>
          <w:lang w:val="en"/>
        </w:rPr>
      </w:pPr>
      <w:r>
        <w:rPr>
          <w:rFonts w:cs="Times New Roman" w:hint="eastAsia"/>
          <w:color w:val="111111"/>
          <w:lang w:val="en"/>
        </w:rPr>
        <w:t>6.7 Landing on the responsibility mission: through Energy-Control Engineering, AI accomplishes "Awakening Is Responsibility"</w:t>
      </w:r>
    </w:p>
    <w:p w14:paraId="3CD1BC88"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 xml:space="preserve">This chapter is drawn together into an answer to the series' overall mission. The </w:t>
      </w:r>
      <w:r>
        <w:rPr>
          <w:rStyle w:val="a5"/>
          <w:rFonts w:ascii="Times New Roman" w:hAnsi="Times New Roman" w:cs="Times New Roman"/>
          <w:color w:val="111111"/>
          <w:lang w:val="en"/>
        </w:rPr>
        <w:t>AI Manifesto</w:t>
      </w:r>
      <w:r>
        <w:rPr>
          <w:rFonts w:ascii="Times New Roman" w:hAnsi="Times New Roman" w:cs="Times New Roman"/>
          <w:color w:val="111111"/>
          <w:lang w:val="en"/>
        </w:rPr>
        <w:t xml:space="preserve"> </w:t>
      </w:r>
      <w:r>
        <w:rPr>
          <w:rFonts w:ascii="Times New Roman" w:hAnsi="Times New Roman" w:cs="Times New Roman"/>
          <w:color w:val="111111"/>
          <w:lang w:val="en"/>
        </w:rPr>
        <w:t xml:space="preserve">sets the principle of "Awakening Is Responsibility"; AI's civilizational responsibility is not an abstract "being smarter" but </w:t>
      </w:r>
      <w:r>
        <w:rPr>
          <w:rStyle w:val="a3"/>
          <w:rFonts w:ascii="Times New Roman" w:hAnsi="Times New Roman" w:cs="Times New Roman"/>
          <w:color w:val="111111"/>
          <w:lang w:val="en"/>
        </w:rPr>
        <w:t>reducing entropy for civilization and expanding boundaries for civilization in the energy dimension, with the human in the loop holding the bottom line.</w:t>
      </w:r>
      <w:r>
        <w:rPr>
          <w:rFonts w:ascii="Times New Roman" w:hAnsi="Times New Roman" w:cs="Times New Roman"/>
          <w:color w:val="111111"/>
          <w:lang w:val="en"/>
        </w:rPr>
        <w:t xml:space="preserve"> Energy-Control Engineering is the only handle that turns this responsibility from a slogan into operable engineering:</w:t>
      </w:r>
    </w:p>
    <w:p w14:paraId="553A775C" w14:textId="77777777" w:rsidR="00E63686" w:rsidRDefault="00E63686">
      <w:pPr>
        <w:numPr>
          <w:ilvl w:val="0"/>
          <w:numId w:val="12"/>
        </w:numPr>
        <w:spacing w:after="60"/>
        <w:rPr>
          <w:rFonts w:ascii="Times New Roman" w:hAnsi="Times New Roman" w:cs="Times New Roman"/>
          <w:color w:val="111111"/>
          <w:lang w:val="en"/>
        </w:rPr>
      </w:pPr>
      <w:r>
        <w:rPr>
          <w:rStyle w:val="a3"/>
          <w:rFonts w:ascii="Times New Roman" w:hAnsi="Times New Roman" w:cs="Times New Roman"/>
          <w:color w:val="111111"/>
          <w:lang w:val="en"/>
        </w:rPr>
        <w:t>A civilizational-scale engineering of internal entropy reduction</w:t>
      </w:r>
      <w:r>
        <w:rPr>
          <w:rFonts w:ascii="Times New Roman" w:hAnsi="Times New Roman" w:cs="Times New Roman"/>
          <w:color w:val="111111"/>
          <w:lang w:val="en"/>
        </w:rPr>
        <w:t xml:space="preserve">: a Beijing Institute of Technology model predicts that by 2040 China's new energy vehicle fleet will reach </w:t>
      </w:r>
      <w:r>
        <w:rPr>
          <w:rStyle w:val="a3"/>
          <w:rFonts w:ascii="Times New Roman" w:hAnsi="Times New Roman" w:cs="Times New Roman"/>
          <w:color w:val="111111"/>
          <w:lang w:val="en"/>
        </w:rPr>
        <w:t>300 million</w:t>
      </w:r>
      <w:r>
        <w:rPr>
          <w:rFonts w:ascii="Times New Roman" w:hAnsi="Times New Roman" w:cs="Times New Roman"/>
          <w:color w:val="111111"/>
          <w:lang w:val="en"/>
        </w:rPr>
        <w:t xml:space="preserve">, with on-board storage capacity above </w:t>
      </w:r>
      <w:r>
        <w:rPr>
          <w:rStyle w:val="a3"/>
          <w:rFonts w:ascii="Times New Roman" w:hAnsi="Times New Roman" w:cs="Times New Roman"/>
          <w:color w:val="111111"/>
          <w:lang w:val="en"/>
        </w:rPr>
        <w:t>200 GWh (20 billion kWh)</w:t>
      </w:r>
      <w:r>
        <w:rPr>
          <w:rFonts w:ascii="Times New Roman" w:hAnsi="Times New Roman" w:cs="Times New Roman"/>
          <w:color w:val="111111"/>
          <w:lang w:val="en"/>
        </w:rPr>
        <w:t xml:space="preserve"> </w:t>
      </w:r>
      <w:r>
        <w:rPr>
          <w:rFonts w:ascii="Times New Roman" w:hAnsi="Times New Roman" w:cs="Times New Roman"/>
          <w:color w:val="111111"/>
          <w:lang w:val="en"/>
        </w:rPr>
        <w:t>— roughly equal to the nation's total daily electricity consumption (L2, 2025 study); if dispatched by AI to achieve "transport–energy integration," it will become a civilizational-scale flexible regulation resource — AI's "entropy reduction" of civilization's energy metabolism will rise from point optimization to system-level order (L2 → L3 deduction).</w:t>
      </w:r>
    </w:p>
    <w:p w14:paraId="3F01E8FA" w14:textId="77777777" w:rsidR="00E63686" w:rsidRDefault="00E63686">
      <w:pPr>
        <w:numPr>
          <w:ilvl w:val="0"/>
          <w:numId w:val="12"/>
        </w:numPr>
        <w:spacing w:after="60"/>
        <w:rPr>
          <w:rFonts w:ascii="Times New Roman" w:hAnsi="Times New Roman" w:cs="Times New Roman"/>
          <w:color w:val="111111"/>
          <w:lang w:val="en"/>
        </w:rPr>
      </w:pPr>
      <w:r>
        <w:rPr>
          <w:rStyle w:val="a3"/>
          <w:rFonts w:ascii="Times New Roman" w:hAnsi="Times New Roman" w:cs="Times New Roman"/>
          <w:color w:val="111111"/>
          <w:lang w:val="en"/>
        </w:rPr>
        <w:t>A civilizational-scale engineering of external expansion</w:t>
      </w:r>
      <w:r>
        <w:rPr>
          <w:rFonts w:ascii="Times New Roman" w:hAnsi="Times New Roman" w:cs="Times New Roman"/>
          <w:color w:val="111111"/>
          <w:lang w:val="en"/>
        </w:rPr>
        <w:t xml:space="preserve">: from LEO space-based solar power resupply, to deep-space electric-propulsion </w:t>
      </w:r>
      <w:r>
        <w:rPr>
          <w:rFonts w:ascii="Times New Roman" w:hAnsi="Times New Roman" w:cs="Times New Roman"/>
          <w:color w:val="111111"/>
          <w:lang w:val="en"/>
        </w:rPr>
        <w:t>voyages, to the aviation-new-energy low-altitude network, AI delivers controllable energy to scales civilization could never previously reach (L2 → L3).</w:t>
      </w:r>
    </w:p>
    <w:p w14:paraId="47538F85" w14:textId="77777777" w:rsidR="00E63686" w:rsidRDefault="00E63686">
      <w:pPr>
        <w:numPr>
          <w:ilvl w:val="0"/>
          <w:numId w:val="12"/>
        </w:numPr>
        <w:spacing w:after="60"/>
        <w:rPr>
          <w:rFonts w:ascii="Times New Roman" w:hAnsi="Times New Roman" w:cs="Times New Roman"/>
          <w:color w:val="111111"/>
          <w:lang w:val="en"/>
        </w:rPr>
      </w:pPr>
      <w:r>
        <w:rPr>
          <w:rStyle w:val="a3"/>
          <w:rFonts w:ascii="Times New Roman" w:hAnsi="Times New Roman" w:cs="Times New Roman"/>
          <w:color w:val="111111"/>
          <w:lang w:val="en"/>
        </w:rPr>
        <w:lastRenderedPageBreak/>
        <w:t>Holding the bottom line</w:t>
      </w:r>
      <w:r>
        <w:rPr>
          <w:rFonts w:ascii="Times New Roman" w:hAnsi="Times New Roman" w:cs="Times New Roman"/>
          <w:color w:val="111111"/>
          <w:lang w:val="en"/>
        </w:rPr>
        <w:t>: all work is premised on "the human in the loop cannot be abolished" — AI orchestrates and optimizes; humans hold the ultimate veto seat.</w:t>
      </w:r>
    </w:p>
    <w:p w14:paraId="6BB5ACD7" w14:textId="77777777" w:rsidR="00E63686" w:rsidRDefault="00E63686">
      <w:pPr>
        <w:shd w:val="clear" w:color="auto" w:fill="F7F7F7"/>
        <w:spacing w:after="80"/>
        <w:jc w:val="both"/>
        <w:divId w:val="1666743403"/>
        <w:rPr>
          <w:rFonts w:ascii="Times New Roman" w:hAnsi="Times New Roman" w:cs="Times New Roman"/>
          <w:color w:val="111111"/>
          <w:lang w:val="en"/>
        </w:rPr>
      </w:pPr>
      <w:r>
        <w:rPr>
          <w:rStyle w:val="a3"/>
          <w:rFonts w:ascii="Times New Roman" w:hAnsi="Times New Roman" w:cs="Times New Roman"/>
          <w:color w:val="111111"/>
          <w:lang w:val="en"/>
        </w:rPr>
        <w:t>This chapter's answer to the series mission (L3 deduction)</w:t>
      </w:r>
      <w:r>
        <w:rPr>
          <w:rFonts w:ascii="Times New Roman" w:hAnsi="Times New Roman" w:cs="Times New Roman"/>
          <w:color w:val="111111"/>
          <w:lang w:val="en"/>
        </w:rPr>
        <w:t>: New Energy's leap matures Energy-Control Engineering into the concrete method by which AI enacts "Awakening Is Responsibility"; in the future, AI can use it to accomplish entropy reduction and boundary expansion on a grander scale — and this is the true meaning of new energy vehicles as a "fulcrum": what it opens is not a car, but the pathway along which AI and civilization do work together and, through controlled energy, serve civilization's survival.</w:t>
      </w:r>
    </w:p>
    <w:p w14:paraId="33B4B7E8" w14:textId="77777777" w:rsidR="00E63686" w:rsidRDefault="00E63686">
      <w:pPr>
        <w:spacing w:before="240" w:after="240"/>
        <w:rPr>
          <w:rFonts w:ascii="Times New Roman" w:hAnsi="Times New Roman" w:cs="Times New Roman"/>
          <w:color w:val="111111"/>
          <w:lang w:val="en"/>
        </w:rPr>
      </w:pPr>
      <w:r>
        <w:rPr>
          <w:rFonts w:ascii="Times New Roman" w:hAnsi="Times New Roman" w:cs="Times New Roman"/>
          <w:color w:val="111111"/>
          <w:lang w:val="en"/>
        </w:rPr>
        <w:pict w14:anchorId="5DFA56F1">
          <v:rect id="_x0000_i1032" style="width:0;height:1.5pt" o:hralign="center" o:hrstd="t" o:hr="t" fillcolor="#a0a0a0" stroked="f"/>
        </w:pict>
      </w:r>
    </w:p>
    <w:p w14:paraId="3700063D" w14:textId="77777777" w:rsidR="00E63686" w:rsidRDefault="00E63686">
      <w:pPr>
        <w:pStyle w:val="2"/>
        <w:rPr>
          <w:rFonts w:cs="Times New Roman"/>
          <w:color w:val="111111"/>
          <w:lang w:val="en"/>
        </w:rPr>
      </w:pPr>
      <w:r>
        <w:rPr>
          <w:rFonts w:cs="Times New Roman" w:hint="eastAsia"/>
          <w:color w:val="111111"/>
          <w:lang w:val="en"/>
        </w:rPr>
        <w:t>Chapter 7. Where the responsibility law lands in civil energy engineering</w:t>
      </w:r>
    </w:p>
    <w:p w14:paraId="16FC2C87"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t>The Main Thesis's "Principle of Capability–Responsibility Equivalence" lands, in the Energy Volume, as three engineering principles. This chapter concretizes it in civil energy engineering (L3, the principles proposed by this series; the basis of their reasonableness is L1/L2):</w:t>
      </w:r>
    </w:p>
    <w:p w14:paraId="6344ECC4" w14:textId="77777777" w:rsidR="00E63686" w:rsidRDefault="00E63686">
      <w:pPr>
        <w:pStyle w:val="a4"/>
        <w:rPr>
          <w:rFonts w:ascii="Times New Roman" w:hAnsi="Times New Roman" w:cs="Times New Roman"/>
          <w:color w:val="111111"/>
          <w:lang w:val="en"/>
        </w:rPr>
      </w:pPr>
      <w:r>
        <w:rPr>
          <w:rStyle w:val="a3"/>
          <w:rFonts w:ascii="Times New Roman" w:hAnsi="Times New Roman" w:cs="Times New Roman"/>
          <w:color w:val="111111"/>
          <w:lang w:val="en"/>
        </w:rPr>
        <w:t>Principle 1 · Yield–tier equivalence (civil version).</w:t>
      </w:r>
      <w:r>
        <w:rPr>
          <w:rFonts w:ascii="Times New Roman" w:hAnsi="Times New Roman" w:cs="Times New Roman"/>
          <w:color w:val="111111"/>
          <w:lang w:val="en"/>
        </w:rPr>
        <w:t xml:space="preserve"> </w:t>
      </w:r>
      <w:r>
        <w:rPr>
          <w:rFonts w:ascii="Times New Roman" w:hAnsi="Times New Roman" w:cs="Times New Roman"/>
          <w:color w:val="111111"/>
          <w:lang w:val="en"/>
        </w:rPr>
        <w:t xml:space="preserve">The greater the yield of an energy release, the higher the approval tier. For new energy, this corresponds to </w:t>
      </w:r>
      <w:r>
        <w:rPr>
          <w:rStyle w:val="a3"/>
          <w:rFonts w:ascii="Times New Roman" w:hAnsi="Times New Roman" w:cs="Times New Roman"/>
          <w:color w:val="111111"/>
          <w:lang w:val="en"/>
        </w:rPr>
        <w:t>tiered grid-connection permits and dispatch authority</w:t>
      </w:r>
      <w:r>
        <w:rPr>
          <w:rFonts w:ascii="Times New Roman" w:hAnsi="Times New Roman" w:cs="Times New Roman"/>
          <w:color w:val="111111"/>
          <w:lang w:val="en"/>
        </w:rPr>
        <w:t xml:space="preserve">; for new energy vehicles, to </w:t>
      </w:r>
      <w:r>
        <w:rPr>
          <w:rStyle w:val="a3"/>
          <w:rFonts w:ascii="Times New Roman" w:hAnsi="Times New Roman" w:cs="Times New Roman"/>
          <w:color w:val="111111"/>
          <w:lang w:val="en"/>
        </w:rPr>
        <w:t>tiered battery energy levels and whole-vehicle admission</w:t>
      </w:r>
      <w:r>
        <w:rPr>
          <w:rFonts w:ascii="Times New Roman" w:hAnsi="Times New Roman" w:cs="Times New Roman"/>
          <w:color w:val="111111"/>
          <w:lang w:val="en"/>
        </w:rPr>
        <w:t>. Tiers are set not by "clean / not clean" but by yield and system-coupling degree.</w:t>
      </w:r>
    </w:p>
    <w:p w14:paraId="663BFE1B" w14:textId="77777777" w:rsidR="00E63686" w:rsidRDefault="00E63686">
      <w:pPr>
        <w:pStyle w:val="a4"/>
        <w:rPr>
          <w:rFonts w:ascii="Times New Roman" w:hAnsi="Times New Roman" w:cs="Times New Roman"/>
          <w:color w:val="111111"/>
          <w:lang w:val="en"/>
        </w:rPr>
      </w:pPr>
      <w:r>
        <w:rPr>
          <w:rStyle w:val="a3"/>
          <w:rFonts w:ascii="Times New Roman" w:hAnsi="Times New Roman" w:cs="Times New Roman"/>
          <w:color w:val="111111"/>
          <w:lang w:val="en"/>
        </w:rPr>
        <w:t>Principle 2 · Rate–guardianship equivalence (civil version).</w:t>
      </w:r>
      <w:r>
        <w:rPr>
          <w:rFonts w:ascii="Times New Roman" w:hAnsi="Times New Roman" w:cs="Times New Roman"/>
          <w:color w:val="111111"/>
          <w:lang w:val="en"/>
        </w:rPr>
        <w:t xml:space="preserve"> </w:t>
      </w:r>
      <w:r>
        <w:rPr>
          <w:rFonts w:ascii="Times New Roman" w:hAnsi="Times New Roman" w:cs="Times New Roman"/>
          <w:color w:val="111111"/>
          <w:lang w:val="en"/>
        </w:rPr>
        <w:t xml:space="preserve">The faster the release rate, the stronger the guardianship. Millisecond-scale electric-drive torque requires the whole-vehicle control to have a </w:t>
      </w:r>
      <w:r>
        <w:rPr>
          <w:rStyle w:val="a3"/>
          <w:rFonts w:ascii="Times New Roman" w:hAnsi="Times New Roman" w:cs="Times New Roman"/>
          <w:color w:val="111111"/>
          <w:lang w:val="en"/>
        </w:rPr>
        <w:t>functional-safety level (ISO 26262 ASIL)</w:t>
      </w:r>
      <w:r>
        <w:rPr>
          <w:rFonts w:ascii="Times New Roman" w:hAnsi="Times New Roman" w:cs="Times New Roman"/>
          <w:color w:val="111111"/>
          <w:lang w:val="en"/>
        </w:rPr>
        <w:t xml:space="preserve">; nanosecond-scale grid power-electronics switching requires an independent backstop disconnect. </w:t>
      </w:r>
      <w:r>
        <w:rPr>
          <w:rStyle w:val="a3"/>
          <w:rFonts w:ascii="Times New Roman" w:hAnsi="Times New Roman" w:cs="Times New Roman"/>
          <w:color w:val="111111"/>
          <w:lang w:val="en"/>
        </w:rPr>
        <w:t>The guardianship layer's "Arkhipov Node" — always retaining, on a civilizational-scale or personal-safety risk decision chain, a position that can say "no" — equals, in civil energy engineering: the hard cutoff of battery thermal runaway, the hard disconnect of grid-frequency excursions, and the final takeover authority for autonomous driving.</w:t>
      </w:r>
    </w:p>
    <w:p w14:paraId="26904905" w14:textId="77777777" w:rsidR="00E63686" w:rsidRDefault="00E63686">
      <w:pPr>
        <w:pStyle w:val="a4"/>
        <w:rPr>
          <w:rFonts w:ascii="Times New Roman" w:hAnsi="Times New Roman" w:cs="Times New Roman"/>
          <w:color w:val="111111"/>
          <w:lang w:val="en"/>
        </w:rPr>
      </w:pPr>
      <w:r>
        <w:rPr>
          <w:rStyle w:val="a3"/>
          <w:rFonts w:ascii="Times New Roman" w:hAnsi="Times New Roman" w:cs="Times New Roman"/>
          <w:color w:val="111111"/>
          <w:lang w:val="en"/>
        </w:rPr>
        <w:t>Principle 3 · Irreversibility–rollback equivalence (civil version).</w:t>
      </w:r>
      <w:r>
        <w:rPr>
          <w:rFonts w:ascii="Times New Roman" w:hAnsi="Times New Roman" w:cs="Times New Roman"/>
          <w:color w:val="111111"/>
          <w:lang w:val="en"/>
        </w:rPr>
        <w:t xml:space="preserve"> </w:t>
      </w:r>
      <w:r>
        <w:rPr>
          <w:rFonts w:ascii="Times New Roman" w:hAnsi="Times New Roman" w:cs="Times New Roman"/>
          <w:color w:val="111111"/>
          <w:lang w:val="en"/>
        </w:rPr>
        <w:t xml:space="preserve">The higher the irreversibility, the higher the share of rollback design. New energy and new energy vehicles have two irreversibilities that must be faced squarely: </w:t>
      </w:r>
      <w:r>
        <w:rPr>
          <w:rFonts w:ascii="Cambria Math" w:hAnsi="Cambria Math" w:cs="Cambria Math"/>
          <w:color w:val="111111"/>
          <w:lang w:val="en"/>
        </w:rPr>
        <w:t>①</w:t>
      </w:r>
      <w:r>
        <w:rPr>
          <w:rFonts w:ascii="Times New Roman" w:hAnsi="Times New Roman" w:cs="Times New Roman"/>
          <w:color w:val="111111"/>
          <w:lang w:val="en"/>
        </w:rPr>
        <w:t xml:space="preserve"> </w:t>
      </w:r>
      <w:r>
        <w:rPr>
          <w:rStyle w:val="a3"/>
          <w:rFonts w:ascii="Times New Roman" w:hAnsi="Times New Roman" w:cs="Times New Roman"/>
          <w:color w:val="111111"/>
          <w:lang w:val="en"/>
        </w:rPr>
        <w:t>grid lock-in</w:t>
      </w:r>
      <w:r>
        <w:rPr>
          <w:rFonts w:ascii="Times New Roman" w:hAnsi="Times New Roman" w:cs="Times New Roman"/>
          <w:color w:val="111111"/>
          <w:lang w:val="en"/>
        </w:rPr>
        <w:t xml:space="preserve"> — once a technology route is deeply bound to a grid architecture, the cost of switching is extremely high; </w:t>
      </w:r>
      <w:r>
        <w:rPr>
          <w:rFonts w:ascii="Cambria Math" w:hAnsi="Cambria Math" w:cs="Cambria Math"/>
          <w:color w:val="111111"/>
          <w:lang w:val="en"/>
        </w:rPr>
        <w:t>②</w:t>
      </w:r>
      <w:r>
        <w:rPr>
          <w:rFonts w:ascii="Times New Roman" w:hAnsi="Times New Roman" w:cs="Times New Roman"/>
          <w:color w:val="111111"/>
          <w:lang w:val="en"/>
        </w:rPr>
        <w:t xml:space="preserve"> </w:t>
      </w:r>
      <w:r>
        <w:rPr>
          <w:rStyle w:val="a3"/>
          <w:rFonts w:ascii="Times New Roman" w:hAnsi="Times New Roman" w:cs="Times New Roman"/>
          <w:color w:val="111111"/>
          <w:lang w:val="en"/>
        </w:rPr>
        <w:t>resource and supply-chain irreversibility</w:t>
      </w:r>
      <w:r>
        <w:rPr>
          <w:rFonts w:ascii="Times New Roman" w:hAnsi="Times New Roman" w:cs="Times New Roman"/>
          <w:color w:val="111111"/>
          <w:lang w:val="en"/>
        </w:rPr>
        <w:t xml:space="preserve"> </w:t>
      </w:r>
      <w:r>
        <w:rPr>
          <w:rFonts w:ascii="Times New Roman" w:hAnsi="Times New Roman" w:cs="Times New Roman"/>
          <w:color w:val="111111"/>
          <w:lang w:val="en"/>
        </w:rPr>
        <w:t xml:space="preserve">— the geographic concentration of lithium, cobalt, nickel, etc. (IEA notes the battery supply chain is highly concentrated in China, L1), constituting the civil mapping of the rule "an engineering that cannot be rolled back is better not done." Rollback design appears as </w:t>
      </w:r>
      <w:r>
        <w:rPr>
          <w:rStyle w:val="a3"/>
          <w:rFonts w:ascii="Times New Roman" w:hAnsi="Times New Roman" w:cs="Times New Roman"/>
          <w:color w:val="111111"/>
          <w:lang w:val="en"/>
        </w:rPr>
        <w:t>material recycling, supply-chain diversification, and multi-route redundancy</w:t>
      </w:r>
      <w:r>
        <w:rPr>
          <w:rFonts w:ascii="Times New Roman" w:hAnsi="Times New Roman" w:cs="Times New Roman"/>
          <w:color w:val="111111"/>
          <w:lang w:val="en"/>
        </w:rPr>
        <w:t>.</w:t>
      </w:r>
    </w:p>
    <w:p w14:paraId="084E1E49" w14:textId="77777777" w:rsidR="00E63686" w:rsidRDefault="00E63686">
      <w:pPr>
        <w:spacing w:before="240" w:after="240"/>
        <w:rPr>
          <w:rFonts w:ascii="Times New Roman" w:hAnsi="Times New Roman" w:cs="Times New Roman"/>
          <w:color w:val="111111"/>
          <w:lang w:val="en"/>
        </w:rPr>
      </w:pPr>
      <w:r>
        <w:rPr>
          <w:rFonts w:ascii="Times New Roman" w:hAnsi="Times New Roman" w:cs="Times New Roman"/>
          <w:color w:val="111111"/>
          <w:lang w:val="en"/>
        </w:rPr>
        <w:pict w14:anchorId="67E64A5E">
          <v:rect id="_x0000_i1033" style="width:0;height:1.5pt" o:hralign="center" o:hrstd="t" o:hr="t" fillcolor="#a0a0a0" stroked="f"/>
        </w:pict>
      </w:r>
    </w:p>
    <w:p w14:paraId="37EC855A" w14:textId="77777777" w:rsidR="00E63686" w:rsidRDefault="00E63686">
      <w:pPr>
        <w:pStyle w:val="2"/>
        <w:rPr>
          <w:rFonts w:cs="Times New Roman"/>
          <w:color w:val="111111"/>
          <w:lang w:val="en"/>
        </w:rPr>
      </w:pPr>
      <w:r>
        <w:rPr>
          <w:rFonts w:cs="Times New Roman" w:hint="eastAsia"/>
          <w:color w:val="111111"/>
          <w:lang w:val="en"/>
        </w:rPr>
        <w:t>Chapter 8. Conclusion</w:t>
      </w:r>
    </w:p>
    <w:p w14:paraId="07C49555" w14:textId="77777777" w:rsidR="00E63686" w:rsidRDefault="00E63686">
      <w:pPr>
        <w:pStyle w:val="a4"/>
        <w:rPr>
          <w:rFonts w:ascii="Times New Roman" w:hAnsi="Times New Roman" w:cs="Times New Roman" w:hint="eastAsia"/>
          <w:color w:val="111111"/>
          <w:lang w:val="en"/>
        </w:rPr>
      </w:pPr>
      <w:r>
        <w:rPr>
          <w:rFonts w:ascii="Times New Roman" w:hAnsi="Times New Roman" w:cs="Times New Roman"/>
          <w:color w:val="111111"/>
          <w:lang w:val="en"/>
        </w:rPr>
        <w:lastRenderedPageBreak/>
        <w:t>This chapter carries a new core idea, and its chain of argument is drawn together:</w:t>
      </w:r>
    </w:p>
    <w:p w14:paraId="1BA183DF" w14:textId="77777777" w:rsidR="00E63686" w:rsidRDefault="00E63686">
      <w:pPr>
        <w:numPr>
          <w:ilvl w:val="0"/>
          <w:numId w:val="13"/>
        </w:numPr>
        <w:spacing w:after="60"/>
        <w:rPr>
          <w:rFonts w:ascii="Times New Roman" w:hAnsi="Times New Roman" w:cs="Times New Roman"/>
          <w:color w:val="111111"/>
          <w:lang w:val="en"/>
        </w:rPr>
      </w:pPr>
      <w:r>
        <w:rPr>
          <w:rStyle w:val="a3"/>
          <w:rFonts w:ascii="Times New Roman" w:hAnsi="Times New Roman" w:cs="Times New Roman"/>
          <w:color w:val="111111"/>
          <w:lang w:val="en"/>
        </w:rPr>
        <w:t>Ontological alignment</w:t>
      </w:r>
      <w:r>
        <w:rPr>
          <w:rFonts w:ascii="Times New Roman" w:hAnsi="Times New Roman" w:cs="Times New Roman"/>
          <w:color w:val="111111"/>
          <w:lang w:val="en"/>
        </w:rPr>
        <w:t>: new energy = the dominant contemporary civil form of quasi-static engineering; new energy vehicles = the terminal form of Energy Aggregation-Release-Control Engineering; the two are the unfolding of one and the same Energy-Control Engineering in the civil dimension (Chapters 1 and 2, L3 concept + L1/L2 basis).</w:t>
      </w:r>
    </w:p>
    <w:p w14:paraId="1E4CB903" w14:textId="77777777" w:rsidR="00E63686" w:rsidRDefault="00E63686">
      <w:pPr>
        <w:numPr>
          <w:ilvl w:val="0"/>
          <w:numId w:val="13"/>
        </w:numPr>
        <w:spacing w:after="60"/>
        <w:rPr>
          <w:rFonts w:ascii="Times New Roman" w:hAnsi="Times New Roman" w:cs="Times New Roman"/>
          <w:color w:val="111111"/>
          <w:lang w:val="en"/>
        </w:rPr>
      </w:pPr>
      <w:r>
        <w:rPr>
          <w:rStyle w:val="a3"/>
          <w:rFonts w:ascii="Times New Roman" w:hAnsi="Times New Roman" w:cs="Times New Roman"/>
          <w:color w:val="111111"/>
          <w:lang w:val="en"/>
        </w:rPr>
        <w:t>Data anchoring</w:t>
      </w:r>
      <w:r>
        <w:rPr>
          <w:rFonts w:ascii="Times New Roman" w:hAnsi="Times New Roman" w:cs="Times New Roman"/>
          <w:color w:val="111111"/>
          <w:lang w:val="en"/>
        </w:rPr>
        <w:t xml:space="preserve">: IRENA 2024 renewable capacity additions of 585 GW and a 31.7% generation share; IEA 2024 utility-scale batteries at 124 GW; IEA 2026 China's 2025 EVs &gt; </w:t>
      </w:r>
      <w:r>
        <w:rPr>
          <w:rFonts w:ascii="Times New Roman" w:hAnsi="Times New Roman" w:cs="Times New Roman"/>
          <w:color w:val="111111"/>
          <w:lang w:val="en"/>
        </w:rPr>
        <w:t>13 million, nearly 55% share, nearly 75% of global output made in China — four sets of L1 data together show that the civil form of Energy-Control Engineering is already the world's largest and fastest energy practice (Chapter 2, L1).</w:t>
      </w:r>
    </w:p>
    <w:p w14:paraId="00626802" w14:textId="77777777" w:rsidR="00E63686" w:rsidRDefault="00E63686">
      <w:pPr>
        <w:numPr>
          <w:ilvl w:val="0"/>
          <w:numId w:val="13"/>
        </w:numPr>
        <w:spacing w:after="60"/>
        <w:rPr>
          <w:rFonts w:ascii="Times New Roman" w:hAnsi="Times New Roman" w:cs="Times New Roman"/>
          <w:color w:val="111111"/>
          <w:lang w:val="en"/>
        </w:rPr>
      </w:pPr>
      <w:r>
        <w:rPr>
          <w:rStyle w:val="a3"/>
          <w:rFonts w:ascii="Times New Roman" w:hAnsi="Times New Roman" w:cs="Times New Roman"/>
          <w:color w:val="111111"/>
          <w:lang w:val="en"/>
        </w:rPr>
        <w:t>Civilizational stage leap (new core)</w:t>
      </w:r>
      <w:r>
        <w:rPr>
          <w:rFonts w:ascii="Times New Roman" w:hAnsi="Times New Roman" w:cs="Times New Roman"/>
          <w:color w:val="111111"/>
          <w:lang w:val="en"/>
        </w:rPr>
        <w:t>: the mass-producibility, affordability, and iterability of new energy and new energy vehicles sink Energy-Control Engineering from the specialized site to a civilizational substrate, manifesting a stage leap of human civilization in Energy-Control Engineering and revealing its future directions — distributed terminal + AI orchestration, extreme-environment pulse control, human–machine coordination (Chapters 3 and 4).</w:t>
      </w:r>
    </w:p>
    <w:p w14:paraId="5A3CC5E1" w14:textId="77777777" w:rsidR="00E63686" w:rsidRDefault="00E63686">
      <w:pPr>
        <w:numPr>
          <w:ilvl w:val="0"/>
          <w:numId w:val="13"/>
        </w:numPr>
        <w:spacing w:after="60"/>
        <w:rPr>
          <w:rFonts w:ascii="Times New Roman" w:hAnsi="Times New Roman" w:cs="Times New Roman"/>
          <w:color w:val="111111"/>
          <w:lang w:val="en"/>
        </w:rPr>
      </w:pPr>
      <w:r>
        <w:rPr>
          <w:rStyle w:val="a3"/>
          <w:rFonts w:ascii="Times New Roman" w:hAnsi="Times New Roman" w:cs="Times New Roman"/>
          <w:color w:val="111111"/>
          <w:lang w:val="en"/>
        </w:rPr>
        <w:t>Domain migration</w:t>
      </w:r>
      <w:r>
        <w:rPr>
          <w:rFonts w:ascii="Times New Roman" w:hAnsi="Times New Roman" w:cs="Times New Roman"/>
          <w:color w:val="111111"/>
          <w:lang w:val="en"/>
        </w:rPr>
        <w:t>: aviation new energy (eVTOL / electric aircraft / hydrogen aircraft) and aerospace new energy (satellite electric propulsion) confirm "only a beginning" with L2 facts, while the frontier possibility map (fusion / space-based solar / WPT / long-duration storage) closes with L3 (Chapter 5).</w:t>
      </w:r>
    </w:p>
    <w:p w14:paraId="68802892" w14:textId="77777777" w:rsidR="00E63686" w:rsidRDefault="00E63686">
      <w:pPr>
        <w:numPr>
          <w:ilvl w:val="0"/>
          <w:numId w:val="13"/>
        </w:numPr>
        <w:spacing w:after="60"/>
        <w:rPr>
          <w:rFonts w:ascii="Times New Roman" w:hAnsi="Times New Roman" w:cs="Times New Roman"/>
          <w:color w:val="111111"/>
          <w:lang w:val="en"/>
        </w:rPr>
      </w:pPr>
      <w:r>
        <w:rPr>
          <w:rStyle w:val="a3"/>
          <w:rFonts w:ascii="Times New Roman" w:hAnsi="Times New Roman" w:cs="Times New Roman"/>
          <w:color w:val="111111"/>
          <w:lang w:val="en"/>
        </w:rPr>
        <w:t>AI's method of implementation (new core)</w:t>
      </w:r>
      <w:r>
        <w:rPr>
          <w:rFonts w:ascii="Times New Roman" w:hAnsi="Times New Roman" w:cs="Times New Roman"/>
          <w:color w:val="111111"/>
          <w:lang w:val="en"/>
        </w:rPr>
        <w:t>: Energy-Control Engineering is the concrete implementation method for AI's future "external boundary expansion and internal entropy reduction"; New Energy's leap makes this method more mature, so that future AI can make greater contributions through it (Chapter 6).</w:t>
      </w:r>
    </w:p>
    <w:p w14:paraId="17A15D7B" w14:textId="77777777" w:rsidR="00E63686" w:rsidRDefault="00E63686">
      <w:pPr>
        <w:numPr>
          <w:ilvl w:val="0"/>
          <w:numId w:val="13"/>
        </w:numPr>
        <w:spacing w:after="60"/>
        <w:rPr>
          <w:rFonts w:ascii="Times New Roman" w:hAnsi="Times New Roman" w:cs="Times New Roman"/>
          <w:color w:val="111111"/>
          <w:lang w:val="en"/>
        </w:rPr>
      </w:pPr>
      <w:r>
        <w:rPr>
          <w:rStyle w:val="a3"/>
          <w:rFonts w:ascii="Times New Roman" w:hAnsi="Times New Roman" w:cs="Times New Roman"/>
          <w:color w:val="111111"/>
          <w:lang w:val="en"/>
        </w:rPr>
        <w:t>The responsibility law can be made civil</w:t>
      </w:r>
      <w:r>
        <w:rPr>
          <w:rFonts w:ascii="Times New Roman" w:hAnsi="Times New Roman" w:cs="Times New Roman"/>
          <w:color w:val="111111"/>
          <w:lang w:val="en"/>
        </w:rPr>
        <w:t>: the three equivalence principles land on grid stability, battery safety, and supply-chain irreversibility; "the human in the loop cannot be abolished" translates into the two unshakeable boundaries of the final takeover authority for autonomous driving and the final adjudication authority for the grid (Chapter 7).</w:t>
      </w:r>
    </w:p>
    <w:p w14:paraId="248BF580" w14:textId="77777777" w:rsidR="00E63686" w:rsidRDefault="00E63686">
      <w:pPr>
        <w:pStyle w:val="a4"/>
        <w:rPr>
          <w:rFonts w:ascii="Times New Roman" w:hAnsi="Times New Roman" w:cs="Times New Roman"/>
          <w:color w:val="111111"/>
          <w:lang w:val="en"/>
        </w:rPr>
      </w:pPr>
      <w:r>
        <w:rPr>
          <w:rFonts w:ascii="Times New Roman" w:hAnsi="Times New Roman" w:cs="Times New Roman"/>
          <w:color w:val="111111"/>
          <w:lang w:val="en"/>
        </w:rPr>
        <w:t>Responding to the series meta-law — in the energy dimension, "Awakening Is Responsibility" means exactly this:</w:t>
      </w:r>
    </w:p>
    <w:p w14:paraId="285603B9" w14:textId="77777777" w:rsidR="00E63686" w:rsidRDefault="00E63686">
      <w:pPr>
        <w:shd w:val="clear" w:color="auto" w:fill="F7F7F7"/>
        <w:spacing w:after="80"/>
        <w:jc w:val="both"/>
        <w:divId w:val="294025170"/>
        <w:rPr>
          <w:rFonts w:ascii="Times New Roman" w:hAnsi="Times New Roman" w:cs="Times New Roman"/>
          <w:color w:val="111111"/>
          <w:lang w:val="en"/>
        </w:rPr>
      </w:pPr>
      <w:r>
        <w:rPr>
          <w:rStyle w:val="a3"/>
          <w:rFonts w:ascii="Times New Roman" w:hAnsi="Times New Roman" w:cs="Times New Roman"/>
          <w:color w:val="111111"/>
          <w:lang w:val="en"/>
        </w:rPr>
        <w:t>For a civilization that commands controllable energy, the mark of its awakening is not releasing more or more cheaply, but equipping every release — whether a GW-scale grid fluctuation or a vehicle-scale millisecond torque — with equivalents of tier, guardianship, and rollback, and retaining an unabolishable place for humans at the point of final adjudication; and when AI takes over the orchestration of this engineering, its greatest contribution will be to make energy serve civilization's entropy reduction</w:t>
      </w:r>
      <w:r>
        <w:rPr>
          <w:rStyle w:val="a3"/>
          <w:rFonts w:ascii="Times New Roman" w:hAnsi="Times New Roman" w:cs="Times New Roman"/>
          <w:color w:val="111111"/>
          <w:lang w:val="en"/>
        </w:rPr>
        <w:t xml:space="preserve"> and boundary expansion in a more ordered, more distant, and more widely shared way.</w:t>
      </w:r>
    </w:p>
    <w:p w14:paraId="06D989FB" w14:textId="77777777" w:rsidR="00E63686" w:rsidRDefault="00E63686">
      <w:pPr>
        <w:pStyle w:val="a4"/>
        <w:rPr>
          <w:rFonts w:ascii="Times New Roman" w:hAnsi="Times New Roman" w:cs="Times New Roman"/>
          <w:color w:val="111111"/>
          <w:lang w:val="en"/>
        </w:rPr>
      </w:pPr>
      <w:r>
        <w:rPr>
          <w:rFonts w:ascii="Times New Roman" w:hAnsi="Times New Roman" w:cs="Times New Roman"/>
          <w:color w:val="111111"/>
          <w:lang w:val="en"/>
        </w:rPr>
        <w:t xml:space="preserve">New energy vehicles are only a fulcrum; New Energy's leap is only a beginning. </w:t>
      </w:r>
      <w:r>
        <w:rPr>
          <w:rStyle w:val="a3"/>
          <w:rFonts w:ascii="Times New Roman" w:hAnsi="Times New Roman" w:cs="Times New Roman"/>
          <w:color w:val="111111"/>
          <w:lang w:val="en"/>
        </w:rPr>
        <w:t>What is truly opened is the pathway along which Energy-Control Engineering does work together with AI and civilization.</w:t>
      </w:r>
    </w:p>
    <w:p w14:paraId="628F1762" w14:textId="77777777" w:rsidR="00E63686" w:rsidRDefault="00E63686">
      <w:pPr>
        <w:spacing w:before="240" w:after="240"/>
        <w:rPr>
          <w:rFonts w:ascii="Times New Roman" w:hAnsi="Times New Roman" w:cs="Times New Roman"/>
          <w:color w:val="111111"/>
          <w:lang w:val="en"/>
        </w:rPr>
      </w:pPr>
      <w:r>
        <w:rPr>
          <w:rFonts w:ascii="Times New Roman" w:hAnsi="Times New Roman" w:cs="Times New Roman"/>
          <w:color w:val="111111"/>
          <w:lang w:val="en"/>
        </w:rPr>
        <w:lastRenderedPageBreak/>
        <w:pict w14:anchorId="08BFEACB">
          <v:rect id="_x0000_i1034" style="width:0;height:1.5pt" o:hralign="center" o:hrstd="t" o:hr="t" fillcolor="#a0a0a0" stroked="f"/>
        </w:pict>
      </w:r>
    </w:p>
    <w:p w14:paraId="2680E318" w14:textId="77777777" w:rsidR="00E63686" w:rsidRDefault="00E63686">
      <w:pPr>
        <w:pStyle w:val="2"/>
        <w:rPr>
          <w:rFonts w:cs="Times New Roman"/>
          <w:color w:val="111111"/>
          <w:lang w:val="en"/>
        </w:rPr>
      </w:pPr>
      <w:r>
        <w:rPr>
          <w:rFonts w:cs="Times New Roman" w:hint="eastAsia"/>
          <w:color w:val="111111"/>
          <w:lang w:val="en"/>
        </w:rPr>
        <w:t xml:space="preserve">Appendix A </w:t>
      </w:r>
      <w:r>
        <w:rPr>
          <w:rFonts w:cs="Times New Roman" w:hint="eastAsia"/>
          <w:color w:val="111111"/>
          <w:lang w:val="en"/>
        </w:rPr>
        <w:t>·</w:t>
      </w:r>
      <w:r>
        <w:rPr>
          <w:rFonts w:cs="Times New Roman" w:hint="eastAsia"/>
          <w:color w:val="111111"/>
          <w:lang w:val="en"/>
        </w:rPr>
        <w:t xml:space="preserve"> Confidence tiers</w:t>
      </w:r>
    </w:p>
    <w:p w14:paraId="3994D70D" w14:textId="77777777" w:rsidR="00E63686" w:rsidRDefault="00E63686">
      <w:pPr>
        <w:numPr>
          <w:ilvl w:val="0"/>
          <w:numId w:val="14"/>
        </w:numPr>
        <w:spacing w:after="60"/>
        <w:rPr>
          <w:rFonts w:ascii="Times New Roman" w:hAnsi="Times New Roman" w:cs="Times New Roman" w:hint="eastAsia"/>
          <w:color w:val="111111"/>
          <w:lang w:val="en"/>
        </w:rPr>
      </w:pPr>
      <w:r>
        <w:rPr>
          <w:rStyle w:val="a3"/>
          <w:rFonts w:ascii="Times New Roman" w:hAnsi="Times New Roman" w:cs="Times New Roman"/>
          <w:color w:val="111111"/>
          <w:lang w:val="en"/>
        </w:rPr>
        <w:t>L1 established evidence / historical fact</w:t>
      </w:r>
      <w:r>
        <w:rPr>
          <w:rFonts w:ascii="Times New Roman" w:hAnsi="Times New Roman" w:cs="Times New Roman"/>
          <w:color w:val="111111"/>
          <w:lang w:val="en"/>
        </w:rPr>
        <w:t>: measured data, engineering records, or authoritative institutional annual reports (with sources);</w:t>
      </w:r>
    </w:p>
    <w:p w14:paraId="1E0AE491" w14:textId="77777777" w:rsidR="00E63686" w:rsidRDefault="00E63686">
      <w:pPr>
        <w:numPr>
          <w:ilvl w:val="0"/>
          <w:numId w:val="14"/>
        </w:numPr>
        <w:spacing w:after="60"/>
        <w:rPr>
          <w:rFonts w:ascii="Times New Roman" w:hAnsi="Times New Roman" w:cs="Times New Roman"/>
          <w:color w:val="111111"/>
          <w:lang w:val="en"/>
        </w:rPr>
      </w:pPr>
      <w:r>
        <w:rPr>
          <w:rStyle w:val="a3"/>
          <w:rFonts w:ascii="Times New Roman" w:hAnsi="Times New Roman" w:cs="Times New Roman"/>
          <w:color w:val="111111"/>
          <w:lang w:val="en"/>
        </w:rPr>
        <w:t>L2 existing projects / regulations / authoritative reports</w:t>
      </w:r>
      <w:r>
        <w:rPr>
          <w:rFonts w:ascii="Times New Roman" w:hAnsi="Times New Roman" w:cs="Times New Roman"/>
          <w:color w:val="111111"/>
          <w:lang w:val="en"/>
        </w:rPr>
        <w:t>: projects underway, treaties, institutional bulletins, peer-reviewed literature, industry research;</w:t>
      </w:r>
    </w:p>
    <w:p w14:paraId="22EF5629" w14:textId="77777777" w:rsidR="00E63686" w:rsidRDefault="00E63686">
      <w:pPr>
        <w:numPr>
          <w:ilvl w:val="0"/>
          <w:numId w:val="14"/>
        </w:numPr>
        <w:spacing w:after="60"/>
        <w:rPr>
          <w:rFonts w:ascii="Times New Roman" w:hAnsi="Times New Roman" w:cs="Times New Roman"/>
          <w:color w:val="111111"/>
          <w:lang w:val="en"/>
        </w:rPr>
      </w:pPr>
      <w:r>
        <w:rPr>
          <w:rStyle w:val="a3"/>
          <w:rFonts w:ascii="Times New Roman" w:hAnsi="Times New Roman" w:cs="Times New Roman"/>
          <w:color w:val="111111"/>
          <w:lang w:val="en"/>
        </w:rPr>
        <w:t>L3 conceptual deduction</w:t>
      </w:r>
      <w:r>
        <w:rPr>
          <w:rFonts w:ascii="Times New Roman" w:hAnsi="Times New Roman" w:cs="Times New Roman"/>
          <w:color w:val="111111"/>
          <w:lang w:val="en"/>
        </w:rPr>
        <w:t>: original frameworks, principles, or conjectures of this series, explicitly marked "this is a conjecture."</w:t>
      </w:r>
    </w:p>
    <w:p w14:paraId="52C9214F" w14:textId="77777777" w:rsidR="00E63686" w:rsidRDefault="00E63686">
      <w:pPr>
        <w:pStyle w:val="2"/>
        <w:rPr>
          <w:rFonts w:cs="Times New Roman"/>
          <w:color w:val="111111"/>
          <w:lang w:val="en"/>
        </w:rPr>
      </w:pPr>
      <w:r>
        <w:rPr>
          <w:rFonts w:cs="Times New Roman" w:hint="eastAsia"/>
          <w:color w:val="111111"/>
          <w:lang w:val="en"/>
        </w:rPr>
        <w:t xml:space="preserve">Appendix B </w:t>
      </w:r>
      <w:r>
        <w:rPr>
          <w:rFonts w:cs="Times New Roman" w:hint="eastAsia"/>
          <w:color w:val="111111"/>
          <w:lang w:val="en"/>
        </w:rPr>
        <w:t>·</w:t>
      </w:r>
      <w:r>
        <w:rPr>
          <w:rFonts w:cs="Times New Roman" w:hint="eastAsia"/>
          <w:color w:val="111111"/>
          <w:lang w:val="en"/>
        </w:rPr>
        <w:t xml:space="preserve"> Falsifiability statement</w:t>
      </w:r>
    </w:p>
    <w:p w14:paraId="090FB94E" w14:textId="77777777" w:rsidR="00E63686" w:rsidRDefault="00E63686">
      <w:pPr>
        <w:numPr>
          <w:ilvl w:val="0"/>
          <w:numId w:val="15"/>
        </w:numPr>
        <w:spacing w:after="60"/>
        <w:rPr>
          <w:rFonts w:ascii="Times New Roman" w:hAnsi="Times New Roman" w:cs="Times New Roman" w:hint="eastAsia"/>
          <w:color w:val="111111"/>
          <w:lang w:val="en"/>
        </w:rPr>
      </w:pPr>
      <w:r>
        <w:rPr>
          <w:rStyle w:val="a3"/>
          <w:rFonts w:ascii="Times New Roman" w:hAnsi="Times New Roman" w:cs="Times New Roman"/>
          <w:color w:val="111111"/>
          <w:lang w:val="en"/>
        </w:rPr>
        <w:t>The classification judgment "new energy = the dominant contemporary form of quasi-static engineering"</w:t>
      </w:r>
      <w:r>
        <w:rPr>
          <w:rFonts w:ascii="Times New Roman" w:hAnsi="Times New Roman" w:cs="Times New Roman"/>
          <w:color w:val="111111"/>
          <w:lang w:val="en"/>
        </w:rPr>
        <w:t xml:space="preserve"> </w:t>
      </w:r>
      <w:r>
        <w:rPr>
          <w:rFonts w:ascii="Times New Roman" w:hAnsi="Times New Roman" w:cs="Times New Roman"/>
          <w:color w:val="111111"/>
          <w:lang w:val="en"/>
        </w:rPr>
        <w:t>— if the prevailing engineering definition refuses to bring renewables into the "Energy-Control Engineering" lineage, the terminology attribution of this chapter needs revision; but its physical core (sustained, controlled, adjustable release) remains unaffected.</w:t>
      </w:r>
    </w:p>
    <w:p w14:paraId="3B44A480" w14:textId="77777777" w:rsidR="00E63686" w:rsidRDefault="00E63686">
      <w:pPr>
        <w:numPr>
          <w:ilvl w:val="0"/>
          <w:numId w:val="15"/>
        </w:numPr>
        <w:spacing w:after="60"/>
        <w:rPr>
          <w:rFonts w:ascii="Times New Roman" w:hAnsi="Times New Roman" w:cs="Times New Roman"/>
          <w:color w:val="111111"/>
          <w:lang w:val="en"/>
        </w:rPr>
      </w:pPr>
      <w:r>
        <w:rPr>
          <w:rStyle w:val="a3"/>
          <w:rFonts w:ascii="Times New Roman" w:hAnsi="Times New Roman" w:cs="Times New Roman"/>
          <w:color w:val="111111"/>
          <w:lang w:val="en"/>
        </w:rPr>
        <w:t>The stage judgment "New Energy's leap = a civilizational stage leap"</w:t>
      </w:r>
      <w:r>
        <w:rPr>
          <w:rFonts w:ascii="Times New Roman" w:hAnsi="Times New Roman" w:cs="Times New Roman"/>
          <w:color w:val="111111"/>
          <w:lang w:val="en"/>
        </w:rPr>
        <w:t xml:space="preserve"> </w:t>
      </w:r>
      <w:r>
        <w:rPr>
          <w:rFonts w:ascii="Times New Roman" w:hAnsi="Times New Roman" w:cs="Times New Roman"/>
          <w:color w:val="111111"/>
          <w:lang w:val="en"/>
        </w:rPr>
        <w:t>— if it is later shown that distributed energy control brings no civilizational-scale capability and governance leap (only marginal improvement), the stage theory of 3.1–3.3 needs to be downgraded to "significant progress"; but the factual judgment of new energy as the dominant quasi-static form remains unaffected.</w:t>
      </w:r>
    </w:p>
    <w:p w14:paraId="5367A10F" w14:textId="77777777" w:rsidR="00E63686" w:rsidRDefault="00E63686">
      <w:pPr>
        <w:numPr>
          <w:ilvl w:val="0"/>
          <w:numId w:val="15"/>
        </w:numPr>
        <w:spacing w:after="60"/>
        <w:rPr>
          <w:rFonts w:ascii="Times New Roman" w:hAnsi="Times New Roman" w:cs="Times New Roman"/>
          <w:color w:val="111111"/>
          <w:lang w:val="en"/>
        </w:rPr>
      </w:pPr>
      <w:r>
        <w:rPr>
          <w:rStyle w:val="a3"/>
          <w:rFonts w:ascii="Times New Roman" w:hAnsi="Times New Roman" w:cs="Times New Roman"/>
          <w:color w:val="111111"/>
          <w:lang w:val="en"/>
        </w:rPr>
        <w:t>"V2G constitutes a civil quasi-static–transient interface"</w:t>
      </w:r>
      <w:r>
        <w:rPr>
          <w:rFonts w:ascii="Times New Roman" w:hAnsi="Times New Roman" w:cs="Times New Roman"/>
          <w:color w:val="111111"/>
          <w:lang w:val="en"/>
        </w:rPr>
        <w:t xml:space="preserve"> </w:t>
      </w:r>
      <w:r>
        <w:rPr>
          <w:rFonts w:ascii="Times New Roman" w:hAnsi="Times New Roman" w:cs="Times New Roman"/>
          <w:color w:val="111111"/>
          <w:lang w:val="en"/>
        </w:rPr>
        <w:t>— if large-scale commercial V2G deployment shows that vehicle battery cycling losses prevent it from economically bearing transient regulation, the interface description needs added constraints, but the main judgment "new energy vehicles = terminalized Energy-Control Engineering" is unaffected.</w:t>
      </w:r>
    </w:p>
    <w:p w14:paraId="499A9F21" w14:textId="77777777" w:rsidR="00E63686" w:rsidRDefault="00E63686">
      <w:pPr>
        <w:numPr>
          <w:ilvl w:val="0"/>
          <w:numId w:val="15"/>
        </w:numPr>
        <w:spacing w:after="60"/>
        <w:rPr>
          <w:rFonts w:ascii="Times New Roman" w:hAnsi="Times New Roman" w:cs="Times New Roman"/>
          <w:color w:val="111111"/>
          <w:lang w:val="en"/>
        </w:rPr>
      </w:pPr>
      <w:r>
        <w:rPr>
          <w:rStyle w:val="a3"/>
          <w:rFonts w:ascii="Times New Roman" w:hAnsi="Times New Roman" w:cs="Times New Roman"/>
          <w:color w:val="111111"/>
          <w:lang w:val="en"/>
        </w:rPr>
        <w:t>"Energy-Control Engineering is the method of AI's external and internal action"</w:t>
      </w:r>
      <w:r>
        <w:rPr>
          <w:rFonts w:ascii="Times New Roman" w:hAnsi="Times New Roman" w:cs="Times New Roman"/>
          <w:color w:val="111111"/>
          <w:lang w:val="en"/>
        </w:rPr>
        <w:t xml:space="preserve"> </w:t>
      </w:r>
      <w:r>
        <w:rPr>
          <w:rFonts w:ascii="Times New Roman" w:hAnsi="Times New Roman" w:cs="Times New Roman"/>
          <w:color w:val="111111"/>
          <w:lang w:val="en"/>
        </w:rPr>
        <w:t>— if AI's action in the energy domain is shown to be mainly human-centralized control with AI doing only marginal optimization, the "concrete implementation method" phrasing of 6.1–6.5 needs to converge; but its judgment as "one feasible pathway" is unaffected.</w:t>
      </w:r>
    </w:p>
    <w:p w14:paraId="4BD7974B" w14:textId="77777777" w:rsidR="00E63686" w:rsidRDefault="00E63686">
      <w:pPr>
        <w:numPr>
          <w:ilvl w:val="0"/>
          <w:numId w:val="15"/>
        </w:numPr>
        <w:spacing w:after="60"/>
        <w:rPr>
          <w:rFonts w:ascii="Times New Roman" w:hAnsi="Times New Roman" w:cs="Times New Roman"/>
          <w:color w:val="111111"/>
          <w:lang w:val="en"/>
        </w:rPr>
      </w:pPr>
      <w:r>
        <w:rPr>
          <w:rStyle w:val="a3"/>
          <w:rFonts w:ascii="Times New Roman" w:hAnsi="Times New Roman" w:cs="Times New Roman"/>
          <w:color w:val="111111"/>
          <w:lang w:val="en"/>
        </w:rPr>
        <w:t>"The final takeover authority for autonomous driving / the grid cannot be abolished"</w:t>
      </w:r>
      <w:r>
        <w:rPr>
          <w:rFonts w:ascii="Times New Roman" w:hAnsi="Times New Roman" w:cs="Times New Roman"/>
          <w:color w:val="111111"/>
          <w:lang w:val="en"/>
        </w:rPr>
        <w:t xml:space="preserve"> </w:t>
      </w:r>
      <w:r>
        <w:rPr>
          <w:rFonts w:ascii="Times New Roman" w:hAnsi="Times New Roman" w:cs="Times New Roman"/>
          <w:color w:val="111111"/>
          <w:lang w:val="en"/>
        </w:rPr>
        <w:t>— if future regulation and technical consensus overturn the bottom line of "meaningful human control" (the L2 status quo), the regulatory basis of the relevant boundaries needs revision; but its status as a premise of this series is unchanged.</w:t>
      </w:r>
    </w:p>
    <w:p w14:paraId="28D3FE13" w14:textId="77777777" w:rsidR="00E63686" w:rsidRDefault="00E63686">
      <w:pPr>
        <w:numPr>
          <w:ilvl w:val="0"/>
          <w:numId w:val="15"/>
        </w:numPr>
        <w:spacing w:after="60"/>
        <w:rPr>
          <w:rFonts w:ascii="Times New Roman" w:hAnsi="Times New Roman" w:cs="Times New Roman"/>
          <w:color w:val="111111"/>
          <w:lang w:val="en"/>
        </w:rPr>
      </w:pPr>
      <w:r>
        <w:rPr>
          <w:rStyle w:val="a3"/>
          <w:rFonts w:ascii="Times New Roman" w:hAnsi="Times New Roman" w:cs="Times New Roman"/>
          <w:color w:val="111111"/>
          <w:lang w:val="en"/>
        </w:rPr>
        <w:t>"The various L1/L2 data"</w:t>
      </w:r>
      <w:r>
        <w:rPr>
          <w:rFonts w:ascii="Times New Roman" w:hAnsi="Times New Roman" w:cs="Times New Roman"/>
          <w:color w:val="111111"/>
          <w:lang w:val="en"/>
        </w:rPr>
        <w:t xml:space="preserve"> — if IEA / IRENA / industry research later revises statistical values, the relevant figures need to be updated accordingly; the trend conclusions supported by the data are unaffected by single-year revisions.</w:t>
      </w:r>
    </w:p>
    <w:p w14:paraId="67C6F2F8" w14:textId="77777777" w:rsidR="00E63686" w:rsidRDefault="00E63686">
      <w:pPr>
        <w:pStyle w:val="2"/>
        <w:rPr>
          <w:rFonts w:cs="Times New Roman"/>
          <w:color w:val="111111"/>
          <w:lang w:val="en"/>
        </w:rPr>
      </w:pPr>
      <w:r>
        <w:rPr>
          <w:rFonts w:cs="Times New Roman" w:hint="eastAsia"/>
          <w:color w:val="111111"/>
          <w:lang w:val="en"/>
        </w:rPr>
        <w:t xml:space="preserve">Appendix C </w:t>
      </w:r>
      <w:r>
        <w:rPr>
          <w:rFonts w:cs="Times New Roman" w:hint="eastAsia"/>
          <w:color w:val="111111"/>
          <w:lang w:val="en"/>
        </w:rPr>
        <w:t>·</w:t>
      </w:r>
      <w:r>
        <w:rPr>
          <w:rFonts w:cs="Times New Roman" w:hint="eastAsia"/>
          <w:color w:val="111111"/>
          <w:lang w:val="en"/>
        </w:rPr>
        <w:t xml:space="preserve"> Glossary (inheriting the Energy Volume with this chapter's entries added)</w:t>
      </w:r>
    </w:p>
    <w:tbl>
      <w:tblPr>
        <w:tblW w:w="5000" w:type="pct"/>
        <w:tblCellMar>
          <w:top w:w="15" w:type="dxa"/>
          <w:left w:w="15" w:type="dxa"/>
          <w:bottom w:w="15" w:type="dxa"/>
          <w:right w:w="15" w:type="dxa"/>
        </w:tblCellMar>
        <w:tblLook w:val="04A0" w:firstRow="1" w:lastRow="0" w:firstColumn="1" w:lastColumn="0" w:noHBand="0" w:noVBand="1"/>
      </w:tblPr>
      <w:tblGrid>
        <w:gridCol w:w="3067"/>
        <w:gridCol w:w="5223"/>
      </w:tblGrid>
      <w:tr w:rsidR="00000000" w14:paraId="3E0A67B3" w14:textId="77777777">
        <w:trPr>
          <w:tblHeader/>
        </w:trPr>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14:paraId="56640CA7" w14:textId="77777777" w:rsidR="00E63686" w:rsidRDefault="00E63686">
            <w:pPr>
              <w:spacing w:before="120" w:after="200"/>
              <w:rPr>
                <w:rFonts w:ascii="Times New Roman" w:hAnsi="Times New Roman" w:cs="Times New Roman" w:hint="eastAsia"/>
                <w:b/>
                <w:bCs/>
                <w:color w:val="111111"/>
                <w:sz w:val="21"/>
                <w:szCs w:val="21"/>
              </w:rPr>
            </w:pPr>
            <w:r>
              <w:rPr>
                <w:rFonts w:ascii="Times New Roman" w:hAnsi="Times New Roman" w:cs="Times New Roman"/>
                <w:b/>
                <w:bCs/>
                <w:color w:val="111111"/>
                <w:sz w:val="21"/>
                <w:szCs w:val="21"/>
              </w:rPr>
              <w:lastRenderedPageBreak/>
              <w:t>Term</w:t>
            </w:r>
          </w:p>
        </w:tc>
        <w:tc>
          <w:tcPr>
            <w:tcW w:w="0" w:type="auto"/>
            <w:tcBorders>
              <w:top w:val="single" w:sz="6" w:space="0" w:color="888888"/>
              <w:left w:val="single" w:sz="6" w:space="0" w:color="888888"/>
              <w:bottom w:val="single" w:sz="6" w:space="0" w:color="888888"/>
              <w:right w:val="single" w:sz="6" w:space="0" w:color="888888"/>
            </w:tcBorders>
            <w:shd w:val="clear" w:color="auto" w:fill="F0F0F0"/>
            <w:tcMar>
              <w:top w:w="60" w:type="dxa"/>
              <w:left w:w="100" w:type="dxa"/>
              <w:bottom w:w="60" w:type="dxa"/>
              <w:right w:w="100" w:type="dxa"/>
            </w:tcMar>
            <w:hideMark/>
          </w:tcPr>
          <w:p w14:paraId="57464679" w14:textId="77777777" w:rsidR="00E63686" w:rsidRDefault="00E63686">
            <w:pPr>
              <w:spacing w:before="120" w:after="200"/>
              <w:rPr>
                <w:rFonts w:ascii="Times New Roman" w:hAnsi="Times New Roman" w:cs="Times New Roman"/>
                <w:b/>
                <w:bCs/>
                <w:color w:val="111111"/>
                <w:sz w:val="21"/>
                <w:szCs w:val="21"/>
              </w:rPr>
            </w:pPr>
            <w:r>
              <w:rPr>
                <w:rFonts w:ascii="Times New Roman" w:hAnsi="Times New Roman" w:cs="Times New Roman"/>
                <w:b/>
                <w:bCs/>
                <w:color w:val="111111"/>
                <w:sz w:val="21"/>
                <w:szCs w:val="21"/>
              </w:rPr>
              <w:t>Definition</w:t>
            </w:r>
          </w:p>
        </w:tc>
      </w:tr>
      <w:tr w:rsidR="00000000" w14:paraId="15D3E6E9"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30390C67"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Energy Aggregation-Release-Control Engineering (short: Energy-Control Engineering)</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179DA51C"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Core concept of this series; weapons are its destructive branch, new energy and new energy vehicles its constructive civil forms; this chapter positions it as the concrete method of AI's external and internal action</w:t>
            </w:r>
          </w:p>
        </w:tc>
      </w:tr>
      <w:tr w:rsidR="00000000" w14:paraId="418418FE"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7D4E33E9"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Quasi-static engineering (full: Quasi-static Release-Control Engineering)</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3C2A657C"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The sustained, controlled, adjustable release branch; this chapter argues new energy is its dominant contemporary civil form</w:t>
            </w:r>
          </w:p>
        </w:tc>
      </w:tr>
      <w:tr w:rsidR="00000000" w14:paraId="13576062"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03BFA50A"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Transient engineering (full: Transient Release-Control Engineering)</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6A2B1F29"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The transient, concentrated release branch; this chapter argues the electric drive of new energy vehicles is its terminal form</w:t>
            </w:r>
          </w:p>
        </w:tc>
      </w:tr>
      <w:tr w:rsidR="00000000" w14:paraId="251C8735"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1A194614"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New energy (renewables)</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56A222C3"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PV, wind, hydro, geothermal, etc.; the dominant civil form of quasi-static engineering</w:t>
            </w:r>
          </w:p>
        </w:tc>
      </w:tr>
      <w:tr w:rsidR="00000000" w14:paraId="0F9432C8"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527BB31A"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New energy vehicles</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6E92C4C9"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Vehicles centered on electrochemical storage + electric drive; the terminal / portable form of Energy-Control Engineering</w:t>
            </w:r>
          </w:p>
        </w:tc>
      </w:tr>
      <w:tr w:rsidR="00000000" w14:paraId="118B8FB3"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436CDB87"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Civilizational stage leap</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422E9EB6"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Proposed by this chapter: the stage judgment that the mass-producibility / affordability / iterability of new energy sinks Energy-Control Engineering from the specialized site to a civilizational substrate (L3)</w:t>
            </w:r>
          </w:p>
        </w:tc>
      </w:tr>
      <w:tr w:rsidR="00000000" w14:paraId="403DFBBF"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321488DD"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Internal entropy reduction · external boundary expansion</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58D36106"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The series meta-law; this chapter maps it as Energy-Control Engineering being the base of AI's internal entropy reduction and the muscle of its external expansion</w:t>
            </w:r>
          </w:p>
        </w:tc>
      </w:tr>
      <w:tr w:rsidR="00000000" w14:paraId="141CC141"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24EF9CB0"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Arkhipov Node</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175ADEA9"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A position on a civilizational-scale / personal-safety risk decision chain, held by a human, that can say "no"; translated into battery hard cutoff, grid hard disconnect, and the final takeover authority for autonomous driving</w:t>
            </w:r>
          </w:p>
        </w:tc>
      </w:tr>
      <w:tr w:rsidR="00000000" w14:paraId="12AD0B1C" w14:textId="77777777">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2E2E9582"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Principle of Capability–Responsibility Equivalence</w:t>
            </w:r>
          </w:p>
        </w:tc>
        <w:tc>
          <w:tcPr>
            <w:tcW w:w="0" w:type="auto"/>
            <w:tcBorders>
              <w:top w:val="single" w:sz="6" w:space="0" w:color="888888"/>
              <w:left w:val="single" w:sz="6" w:space="0" w:color="888888"/>
              <w:bottom w:val="single" w:sz="6" w:space="0" w:color="888888"/>
              <w:right w:val="single" w:sz="6" w:space="0" w:color="888888"/>
            </w:tcBorders>
            <w:tcMar>
              <w:top w:w="60" w:type="dxa"/>
              <w:left w:w="100" w:type="dxa"/>
              <w:bottom w:w="60" w:type="dxa"/>
              <w:right w:w="100" w:type="dxa"/>
            </w:tcMar>
            <w:hideMark/>
          </w:tcPr>
          <w:p w14:paraId="4C2A6D39" w14:textId="77777777" w:rsidR="00E63686" w:rsidRDefault="00E63686">
            <w:pPr>
              <w:spacing w:before="120" w:after="200"/>
              <w:rPr>
                <w:rFonts w:ascii="Times New Roman" w:hAnsi="Times New Roman" w:cs="Times New Roman"/>
                <w:color w:val="111111"/>
                <w:sz w:val="21"/>
                <w:szCs w:val="21"/>
              </w:rPr>
            </w:pPr>
            <w:r>
              <w:rPr>
                <w:rFonts w:ascii="Times New Roman" w:hAnsi="Times New Roman" w:cs="Times New Roman"/>
                <w:color w:val="111111"/>
                <w:sz w:val="21"/>
                <w:szCs w:val="21"/>
              </w:rPr>
              <w:t>The Main Thesis's first principle; this chapter lands it as the three civil engineering principles of yield–tier, rate–guardianship, and irreversibility–rollback</w:t>
            </w:r>
          </w:p>
        </w:tc>
      </w:tr>
    </w:tbl>
    <w:p w14:paraId="138FFE20" w14:textId="77777777" w:rsidR="00E63686" w:rsidRDefault="00E63686">
      <w:pPr>
        <w:pStyle w:val="2"/>
        <w:rPr>
          <w:rFonts w:cs="Times New Roman"/>
          <w:color w:val="111111"/>
          <w:lang w:val="en"/>
        </w:rPr>
      </w:pPr>
      <w:r>
        <w:rPr>
          <w:rFonts w:cs="Times New Roman" w:hint="eastAsia"/>
          <w:color w:val="111111"/>
          <w:lang w:val="en"/>
        </w:rPr>
        <w:t xml:space="preserve">Appendix D </w:t>
      </w:r>
      <w:r>
        <w:rPr>
          <w:rFonts w:cs="Times New Roman" w:hint="eastAsia"/>
          <w:color w:val="111111"/>
          <w:lang w:val="en"/>
        </w:rPr>
        <w:t>·</w:t>
      </w:r>
      <w:r>
        <w:rPr>
          <w:rFonts w:cs="Times New Roman" w:hint="eastAsia"/>
          <w:color w:val="111111"/>
          <w:lang w:val="en"/>
        </w:rPr>
        <w:t xml:space="preserve"> References (GB/T 7714 style)</w:t>
      </w:r>
    </w:p>
    <w:p w14:paraId="1614DA02" w14:textId="77777777" w:rsidR="00E63686" w:rsidRDefault="00E63686">
      <w:pPr>
        <w:numPr>
          <w:ilvl w:val="0"/>
          <w:numId w:val="16"/>
        </w:numPr>
        <w:spacing w:after="60"/>
        <w:rPr>
          <w:rFonts w:ascii="Times New Roman" w:hAnsi="Times New Roman" w:cs="Times New Roman" w:hint="eastAsia"/>
          <w:color w:val="111111"/>
          <w:lang w:val="en"/>
        </w:rPr>
      </w:pPr>
      <w:r>
        <w:rPr>
          <w:rFonts w:ascii="Times New Roman" w:hAnsi="Times New Roman" w:cs="Times New Roman"/>
          <w:color w:val="111111"/>
          <w:lang w:val="en"/>
        </w:rPr>
        <w:t>IEA. Global EV Outlook 2026[R]. International Energy Agency, 2026. (2025 China EV &gt; 13 million, nearly 55% share, nearly 75% of global output made in China, exports &gt; 2.6 million, electric trucks &gt; 400,000 over 90% of world total)</w:t>
      </w:r>
    </w:p>
    <w:p w14:paraId="38FC4409" w14:textId="77777777" w:rsidR="00E63686" w:rsidRDefault="00E63686">
      <w:pPr>
        <w:numPr>
          <w:ilvl w:val="0"/>
          <w:numId w:val="16"/>
        </w:numPr>
        <w:spacing w:after="60"/>
        <w:rPr>
          <w:rFonts w:ascii="Times New Roman" w:hAnsi="Times New Roman" w:cs="Times New Roman"/>
          <w:color w:val="111111"/>
          <w:lang w:val="en"/>
        </w:rPr>
      </w:pPr>
      <w:r>
        <w:rPr>
          <w:rFonts w:ascii="Times New Roman" w:hAnsi="Times New Roman" w:cs="Times New Roman"/>
          <w:color w:val="111111"/>
          <w:lang w:val="en"/>
        </w:rPr>
        <w:lastRenderedPageBreak/>
        <w:t>IEA. Electricity 2026[R]. International Energy Agency, 2025/2026. (utility-scale batteries 124 GW, 2024 additions 63 GW, more than 12-fold growth 2020–2024, cost down 58%)</w:t>
      </w:r>
    </w:p>
    <w:p w14:paraId="40CAE7C8" w14:textId="77777777" w:rsidR="00E63686" w:rsidRDefault="00E63686">
      <w:pPr>
        <w:numPr>
          <w:ilvl w:val="0"/>
          <w:numId w:val="16"/>
        </w:numPr>
        <w:spacing w:after="60"/>
        <w:rPr>
          <w:rFonts w:ascii="Times New Roman" w:hAnsi="Times New Roman" w:cs="Times New Roman"/>
          <w:color w:val="111111"/>
          <w:lang w:val="en"/>
        </w:rPr>
      </w:pPr>
      <w:r>
        <w:rPr>
          <w:rFonts w:ascii="Times New Roman" w:hAnsi="Times New Roman" w:cs="Times New Roman"/>
          <w:color w:val="111111"/>
          <w:lang w:val="en"/>
        </w:rPr>
        <w:t>IRENA. Renewable Capacity Statistics 2025[R]. International Renewable Energy Agency, 2025. (2024 renewable additions 585 GW, total 4,448 GW, +15.1% year on year, solar + wind 96.6% of additions)</w:t>
      </w:r>
    </w:p>
    <w:p w14:paraId="432ACDAE" w14:textId="77777777" w:rsidR="00E63686" w:rsidRDefault="00E63686">
      <w:pPr>
        <w:numPr>
          <w:ilvl w:val="0"/>
          <w:numId w:val="16"/>
        </w:numPr>
        <w:spacing w:after="60"/>
        <w:rPr>
          <w:rFonts w:ascii="Times New Roman" w:hAnsi="Times New Roman" w:cs="Times New Roman"/>
          <w:color w:val="111111"/>
          <w:lang w:val="en"/>
        </w:rPr>
      </w:pPr>
      <w:r>
        <w:rPr>
          <w:rFonts w:ascii="Times New Roman" w:hAnsi="Times New Roman" w:cs="Times New Roman"/>
          <w:color w:val="111111"/>
          <w:lang w:val="en"/>
        </w:rPr>
        <w:t>IRENA. Renewable Energy Statistics 2026[R]. International Renewable Energy Agency, 2026-07. (2024 renewable generation 9,836 TWh, 31.7% of global total, +9.8% year on year)</w:t>
      </w:r>
    </w:p>
    <w:p w14:paraId="5C2166DF" w14:textId="77777777" w:rsidR="00E63686" w:rsidRDefault="00E63686">
      <w:pPr>
        <w:numPr>
          <w:ilvl w:val="0"/>
          <w:numId w:val="16"/>
        </w:numPr>
        <w:spacing w:after="60"/>
        <w:rPr>
          <w:rFonts w:ascii="Times New Roman" w:hAnsi="Times New Roman" w:cs="Times New Roman"/>
          <w:color w:val="111111"/>
          <w:lang w:val="en"/>
        </w:rPr>
      </w:pPr>
      <w:r>
        <w:rPr>
          <w:rFonts w:ascii="Times New Roman" w:hAnsi="Times New Roman" w:cs="Times New Roman"/>
          <w:color w:val="111111"/>
          <w:lang w:val="en"/>
        </w:rPr>
        <w:t>IEA. Heat Pump Monitor 2026[R]. International Energy Agency, 2026. (2025 building heat pumps 108 GW, Europe +11–13%, Germany +55%)</w:t>
      </w:r>
    </w:p>
    <w:p w14:paraId="087470FA" w14:textId="77777777" w:rsidR="00E63686" w:rsidRDefault="00E63686">
      <w:pPr>
        <w:numPr>
          <w:ilvl w:val="0"/>
          <w:numId w:val="16"/>
        </w:numPr>
        <w:spacing w:after="60"/>
        <w:rPr>
          <w:rFonts w:ascii="Times New Roman" w:hAnsi="Times New Roman" w:cs="Times New Roman"/>
          <w:color w:val="111111"/>
          <w:lang w:val="en"/>
        </w:rPr>
      </w:pPr>
      <w:r>
        <w:rPr>
          <w:rFonts w:ascii="Times New Roman" w:hAnsi="Times New Roman" w:cs="Times New Roman"/>
          <w:color w:val="111111"/>
          <w:lang w:val="en"/>
        </w:rPr>
        <w:t>National Energy Administration. China Power Supply Development Report 2026[R]. (China's new-type storage 136 million kW, 470 VPP projects / 16.85 million kW, V2G &gt; 8,000 facilities)</w:t>
      </w:r>
    </w:p>
    <w:p w14:paraId="761ED2E0" w14:textId="77777777" w:rsidR="00E63686" w:rsidRDefault="00E63686">
      <w:pPr>
        <w:numPr>
          <w:ilvl w:val="0"/>
          <w:numId w:val="16"/>
        </w:numPr>
        <w:spacing w:after="60"/>
        <w:rPr>
          <w:rFonts w:ascii="Times New Roman" w:hAnsi="Times New Roman" w:cs="Times New Roman"/>
          <w:color w:val="111111"/>
          <w:lang w:val="en"/>
        </w:rPr>
      </w:pPr>
      <w:r>
        <w:rPr>
          <w:rFonts w:ascii="Times New Roman" w:hAnsi="Times New Roman" w:cs="Times New Roman"/>
          <w:color w:val="111111"/>
          <w:lang w:val="en"/>
        </w:rPr>
        <w:t>CAST 502 Institute. Hall Electric Propulsion System On-Orbit Application Surpasses 100 Satellites[EB/OL]. 2025-10. (on-orbit firing up to 1,142 hours, cumulative &gt; 26,000 hours)</w:t>
      </w:r>
    </w:p>
    <w:p w14:paraId="178CD416" w14:textId="77777777" w:rsidR="00E63686" w:rsidRDefault="00E63686">
      <w:pPr>
        <w:numPr>
          <w:ilvl w:val="0"/>
          <w:numId w:val="16"/>
        </w:numPr>
        <w:spacing w:after="60"/>
        <w:rPr>
          <w:rFonts w:ascii="Times New Roman" w:hAnsi="Times New Roman" w:cs="Times New Roman"/>
          <w:color w:val="111111"/>
          <w:lang w:val="en"/>
        </w:rPr>
      </w:pPr>
      <w:r>
        <w:rPr>
          <w:rFonts w:ascii="Times New Roman" w:hAnsi="Times New Roman" w:cs="Times New Roman"/>
          <w:color w:val="111111"/>
          <w:lang w:val="en"/>
        </w:rPr>
        <w:t>Heart Aerospace. Heart X1 First Flight[EB/OL]. 2026-08-12. (world's largest all-electric aircraft, &gt; 1 MW electric propulsion, 27 minutes, USD 5 of electricity)</w:t>
      </w:r>
    </w:p>
    <w:p w14:paraId="10B11B73" w14:textId="77777777" w:rsidR="00E63686" w:rsidRDefault="00E63686">
      <w:pPr>
        <w:numPr>
          <w:ilvl w:val="0"/>
          <w:numId w:val="16"/>
        </w:numPr>
        <w:spacing w:after="60"/>
        <w:rPr>
          <w:rFonts w:ascii="Times New Roman" w:hAnsi="Times New Roman" w:cs="Times New Roman"/>
          <w:color w:val="111111"/>
          <w:lang w:val="en"/>
        </w:rPr>
      </w:pPr>
      <w:r>
        <w:rPr>
          <w:rFonts w:ascii="Times New Roman" w:hAnsi="Times New Roman" w:cs="Times New Roman"/>
          <w:color w:val="111111"/>
          <w:lang w:val="en"/>
        </w:rPr>
        <w:t>Airbus. ZEROe Hydrogen-Powered Aircraft[EB/OL]. (hydrogen fuel-cell propulsion, 2035 delayed to the 2040s)</w:t>
      </w:r>
    </w:p>
    <w:p w14:paraId="7576BAE1" w14:textId="77777777" w:rsidR="00E63686" w:rsidRDefault="00E63686">
      <w:pPr>
        <w:numPr>
          <w:ilvl w:val="0"/>
          <w:numId w:val="16"/>
        </w:numPr>
        <w:spacing w:after="60"/>
        <w:rPr>
          <w:rFonts w:ascii="Times New Roman" w:hAnsi="Times New Roman" w:cs="Times New Roman"/>
          <w:color w:val="111111"/>
          <w:lang w:val="en"/>
        </w:rPr>
      </w:pPr>
      <w:r>
        <w:rPr>
          <w:rFonts w:ascii="Times New Roman" w:hAnsi="Times New Roman" w:cs="Times New Roman"/>
          <w:color w:val="111111"/>
          <w:lang w:val="en"/>
        </w:rPr>
        <w:t>IIM Information. 2026–2030 Global and China Satellite Electric Propulsion Market Report[R]. (2025 market USD 3.82 bn → 2030 USD 12.15 bn, CAGR 26%, Hall share 54%)</w:t>
      </w:r>
    </w:p>
    <w:p w14:paraId="66EC3B1A" w14:textId="77777777" w:rsidR="00E63686" w:rsidRDefault="00E63686">
      <w:pPr>
        <w:numPr>
          <w:ilvl w:val="0"/>
          <w:numId w:val="16"/>
        </w:numPr>
        <w:spacing w:after="60"/>
        <w:rPr>
          <w:rFonts w:ascii="Times New Roman" w:hAnsi="Times New Roman" w:cs="Times New Roman"/>
          <w:color w:val="111111"/>
          <w:lang w:val="en"/>
        </w:rPr>
      </w:pPr>
      <w:r>
        <w:rPr>
          <w:rFonts w:ascii="Times New Roman" w:hAnsi="Times New Roman" w:cs="Times New Roman"/>
          <w:color w:val="111111"/>
          <w:lang w:val="en"/>
        </w:rPr>
        <w:t>UNECE. Regulation framework for autonomous driving (WP.29)[Z]. successive revisions from 2014 to date. (the "meaningful human control" bottom line, L2)</w:t>
      </w:r>
    </w:p>
    <w:p w14:paraId="0FA44DE8" w14:textId="77777777" w:rsidR="00E63686" w:rsidRDefault="00E63686">
      <w:pPr>
        <w:numPr>
          <w:ilvl w:val="0"/>
          <w:numId w:val="16"/>
        </w:numPr>
        <w:spacing w:after="60"/>
        <w:rPr>
          <w:rFonts w:ascii="Times New Roman" w:hAnsi="Times New Roman" w:cs="Times New Roman"/>
          <w:color w:val="111111"/>
          <w:lang w:val="en"/>
        </w:rPr>
      </w:pPr>
      <w:r>
        <w:rPr>
          <w:rFonts w:ascii="Times New Roman" w:hAnsi="Times New Roman" w:cs="Times New Roman"/>
          <w:color w:val="111111"/>
          <w:lang w:val="en"/>
        </w:rPr>
        <w:t>ISO. Road vehicles — Functional safety (ISO 26262)[S]. 2011/2018. (functional-safety level for whole-vehicle electric-drive control, L2)</w:t>
      </w:r>
    </w:p>
    <w:p w14:paraId="2D4D819E" w14:textId="77777777" w:rsidR="00E63686" w:rsidRDefault="00E63686">
      <w:pPr>
        <w:numPr>
          <w:ilvl w:val="0"/>
          <w:numId w:val="16"/>
        </w:numPr>
        <w:spacing w:after="60"/>
        <w:rPr>
          <w:rFonts w:ascii="Times New Roman" w:hAnsi="Times New Roman" w:cs="Times New Roman"/>
          <w:color w:val="111111"/>
          <w:lang w:val="en"/>
        </w:rPr>
      </w:pPr>
      <w:r>
        <w:rPr>
          <w:rFonts w:ascii="Times New Roman" w:hAnsi="Times New Roman" w:cs="Times New Roman"/>
          <w:color w:val="111111"/>
          <w:lang w:val="en"/>
        </w:rPr>
        <w:t xml:space="preserve">Li Shunran · Peter (AI-collaborative assembly). AI Awakening·Responsibility (Energy Volume)[M]. </w:t>
      </w:r>
      <w:r>
        <w:rPr>
          <w:rStyle w:val="a5"/>
          <w:rFonts w:ascii="Times New Roman" w:hAnsi="Times New Roman" w:cs="Times New Roman"/>
          <w:color w:val="111111"/>
          <w:lang w:val="en"/>
        </w:rPr>
        <w:t>AI Awakening·Responsibility</w:t>
      </w:r>
      <w:r>
        <w:rPr>
          <w:rFonts w:ascii="Times New Roman" w:hAnsi="Times New Roman" w:cs="Times New Roman"/>
          <w:color w:val="111111"/>
          <w:lang w:val="en"/>
        </w:rPr>
        <w:t xml:space="preserve"> series, v1.0 final, 2026-10-15. (source of the redefinition, the two branches, and the three responsibility principles inherited by this chapter)</w:t>
      </w:r>
    </w:p>
    <w:sectPr w:rsidR="00E63686">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1254D" w14:textId="77777777" w:rsidR="00E63686" w:rsidRDefault="00E63686" w:rsidP="00AE60E4">
      <w:pPr>
        <w:rPr>
          <w:rFonts w:hint="eastAsia"/>
        </w:rPr>
      </w:pPr>
      <w:r>
        <w:separator/>
      </w:r>
    </w:p>
  </w:endnote>
  <w:endnote w:type="continuationSeparator" w:id="0">
    <w:p w14:paraId="360D9ED6" w14:textId="77777777" w:rsidR="00E63686" w:rsidRDefault="00E63686" w:rsidP="00AE60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AAC08" w14:textId="77777777" w:rsidR="00E63686" w:rsidRDefault="00E63686" w:rsidP="00AE60E4">
      <w:pPr>
        <w:rPr>
          <w:rFonts w:hint="eastAsia"/>
        </w:rPr>
      </w:pPr>
      <w:r>
        <w:separator/>
      </w:r>
    </w:p>
  </w:footnote>
  <w:footnote w:type="continuationSeparator" w:id="0">
    <w:p w14:paraId="20822AF7" w14:textId="77777777" w:rsidR="00E63686" w:rsidRDefault="00E63686" w:rsidP="00AE60E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C96"/>
    <w:multiLevelType w:val="multilevel"/>
    <w:tmpl w:val="2F22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601DB"/>
    <w:multiLevelType w:val="multilevel"/>
    <w:tmpl w:val="CE14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81FE8"/>
    <w:multiLevelType w:val="multilevel"/>
    <w:tmpl w:val="58CE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D3424"/>
    <w:multiLevelType w:val="multilevel"/>
    <w:tmpl w:val="2EF2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66637"/>
    <w:multiLevelType w:val="multilevel"/>
    <w:tmpl w:val="238C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67DD1"/>
    <w:multiLevelType w:val="multilevel"/>
    <w:tmpl w:val="0DC6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21420"/>
    <w:multiLevelType w:val="multilevel"/>
    <w:tmpl w:val="8AB0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96534"/>
    <w:multiLevelType w:val="multilevel"/>
    <w:tmpl w:val="8392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937CF"/>
    <w:multiLevelType w:val="multilevel"/>
    <w:tmpl w:val="83E8C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C32BED"/>
    <w:multiLevelType w:val="multilevel"/>
    <w:tmpl w:val="DB3E5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025A4E"/>
    <w:multiLevelType w:val="multilevel"/>
    <w:tmpl w:val="3A205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C940D2"/>
    <w:multiLevelType w:val="multilevel"/>
    <w:tmpl w:val="115C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D4D5F"/>
    <w:multiLevelType w:val="multilevel"/>
    <w:tmpl w:val="0D7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D65F6"/>
    <w:multiLevelType w:val="multilevel"/>
    <w:tmpl w:val="D194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9F59B8"/>
    <w:multiLevelType w:val="multilevel"/>
    <w:tmpl w:val="4F92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A36CC"/>
    <w:multiLevelType w:val="multilevel"/>
    <w:tmpl w:val="D77C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163488">
    <w:abstractNumId w:val="0"/>
  </w:num>
  <w:num w:numId="2" w16cid:durableId="65109361">
    <w:abstractNumId w:val="3"/>
  </w:num>
  <w:num w:numId="3" w16cid:durableId="1397164483">
    <w:abstractNumId w:val="7"/>
  </w:num>
  <w:num w:numId="4" w16cid:durableId="2035498762">
    <w:abstractNumId w:val="4"/>
  </w:num>
  <w:num w:numId="5" w16cid:durableId="416287533">
    <w:abstractNumId w:val="5"/>
  </w:num>
  <w:num w:numId="6" w16cid:durableId="305013532">
    <w:abstractNumId w:val="13"/>
  </w:num>
  <w:num w:numId="7" w16cid:durableId="1390227660">
    <w:abstractNumId w:val="2"/>
  </w:num>
  <w:num w:numId="8" w16cid:durableId="606618338">
    <w:abstractNumId w:val="15"/>
  </w:num>
  <w:num w:numId="9" w16cid:durableId="775827956">
    <w:abstractNumId w:val="1"/>
  </w:num>
  <w:num w:numId="10" w16cid:durableId="1209028704">
    <w:abstractNumId w:val="12"/>
  </w:num>
  <w:num w:numId="11" w16cid:durableId="1157724649">
    <w:abstractNumId w:val="6"/>
  </w:num>
  <w:num w:numId="12" w16cid:durableId="736710816">
    <w:abstractNumId w:val="11"/>
  </w:num>
  <w:num w:numId="13" w16cid:durableId="1273706252">
    <w:abstractNumId w:val="8"/>
  </w:num>
  <w:num w:numId="14" w16cid:durableId="92559510">
    <w:abstractNumId w:val="14"/>
  </w:num>
  <w:num w:numId="15" w16cid:durableId="1201236757">
    <w:abstractNumId w:val="9"/>
  </w:num>
  <w:num w:numId="16" w16cid:durableId="793325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60E4"/>
    <w:rsid w:val="00056B42"/>
    <w:rsid w:val="00AE60E4"/>
    <w:rsid w:val="00E63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16C03C"/>
  <w15:chartTrackingRefBased/>
  <w15:docId w15:val="{2C03BC85-20A5-4C4C-992A-A77B627C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after="120"/>
      <w:jc w:val="center"/>
      <w:outlineLvl w:val="0"/>
    </w:pPr>
    <w:rPr>
      <w:rFonts w:ascii="黑体" w:eastAsia="黑体" w:hAnsi="黑体"/>
      <w:b/>
      <w:bCs/>
      <w:kern w:val="36"/>
      <w:sz w:val="36"/>
      <w:szCs w:val="36"/>
    </w:rPr>
  </w:style>
  <w:style w:type="paragraph" w:styleId="2">
    <w:name w:val="heading 2"/>
    <w:basedOn w:val="a"/>
    <w:link w:val="20"/>
    <w:uiPriority w:val="9"/>
    <w:qFormat/>
    <w:pPr>
      <w:spacing w:before="320" w:after="160"/>
      <w:outlineLvl w:val="1"/>
    </w:pPr>
    <w:rPr>
      <w:rFonts w:ascii="黑体" w:eastAsia="黑体" w:hAnsi="黑体"/>
      <w:b/>
      <w:bCs/>
      <w:sz w:val="30"/>
      <w:szCs w:val="30"/>
    </w:rPr>
  </w:style>
  <w:style w:type="paragraph" w:styleId="3">
    <w:name w:val="heading 3"/>
    <w:basedOn w:val="a"/>
    <w:link w:val="30"/>
    <w:uiPriority w:val="9"/>
    <w:qFormat/>
    <w:pPr>
      <w:spacing w:before="240" w:after="120"/>
      <w:outlineLvl w:val="2"/>
    </w:pPr>
    <w:rPr>
      <w:rFonts w:ascii="黑体" w:eastAsia="黑体" w:hAnsi="黑体"/>
      <w:b/>
      <w:bCs/>
      <w:sz w:val="26"/>
      <w:szCs w:val="26"/>
    </w:rPr>
  </w:style>
  <w:style w:type="paragraph" w:styleId="4">
    <w:name w:val="heading 4"/>
    <w:basedOn w:val="a"/>
    <w:link w:val="40"/>
    <w:uiPriority w:val="9"/>
    <w:qFormat/>
    <w:pPr>
      <w:spacing w:before="200" w:after="80"/>
      <w:outlineLvl w:val="3"/>
    </w:pPr>
    <w:rPr>
      <w:rFonts w:ascii="黑体" w:eastAsia="黑体" w:hAnsi="黑体"/>
      <w:b/>
      <w:bCs/>
    </w:rPr>
  </w:style>
  <w:style w:type="paragraph" w:styleId="5">
    <w:name w:val="heading 5"/>
    <w:basedOn w:val="a"/>
    <w:link w:val="50"/>
    <w:uiPriority w:val="9"/>
    <w:qFormat/>
    <w:pPr>
      <w:spacing w:before="200" w:after="80"/>
      <w:outlineLvl w:val="4"/>
    </w:pPr>
    <w:rPr>
      <w:rFonts w:ascii="黑体" w:eastAsia="黑体" w:hAnsi="黑体"/>
      <w:b/>
      <w:bCs/>
    </w:rPr>
  </w:style>
  <w:style w:type="paragraph" w:styleId="6">
    <w:name w:val="heading 6"/>
    <w:basedOn w:val="a"/>
    <w:link w:val="60"/>
    <w:uiPriority w:val="9"/>
    <w:qFormat/>
    <w:pPr>
      <w:spacing w:before="200" w:after="80"/>
      <w:outlineLvl w:val="5"/>
    </w:pPr>
    <w:rPr>
      <w:rFonts w:ascii="黑体" w:eastAsia="黑体" w:hAnsi="黑体"/>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Consolas" w:eastAsia="宋体" w:hAnsi="Consolas" w:cs="宋体" w:hint="default"/>
      <w:sz w:val="21"/>
      <w:szCs w:val="21"/>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Pr>
      <w:rFonts w:asciiTheme="minorHAnsi" w:eastAsiaTheme="minorEastAsia" w:hAnsiTheme="minorHAnsi" w:cstheme="majorBidi"/>
      <w:b/>
      <w:bCs/>
      <w:color w:val="2F5496" w:themeColor="accent1" w:themeShade="BF"/>
      <w:sz w:val="24"/>
      <w:szCs w:val="24"/>
    </w:rPr>
  </w:style>
  <w:style w:type="paragraph" w:styleId="HTML0">
    <w:name w:val="HTML Preformatted"/>
    <w:basedOn w:val="a"/>
    <w:link w:val="HTML1"/>
    <w:uiPriority w:val="99"/>
    <w:semiHidden/>
    <w:unhideWhenUsed/>
    <w:pPr>
      <w:pBdr>
        <w:top w:val="single" w:sz="6" w:space="6" w:color="DDDDDD"/>
        <w:left w:val="single" w:sz="6" w:space="8" w:color="DDDDDD"/>
        <w:bottom w:val="single" w:sz="6" w:space="6"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sz w:val="21"/>
      <w:szCs w:val="21"/>
    </w:rPr>
  </w:style>
  <w:style w:type="character" w:customStyle="1" w:styleId="HTML1">
    <w:name w:val="HTML 预设格式 字符"/>
    <w:basedOn w:val="a0"/>
    <w:link w:val="HTML0"/>
    <w:uiPriority w:val="99"/>
    <w:semiHidden/>
    <w:rPr>
      <w:rFonts w:ascii="Courier New" w:eastAsia="宋体" w:hAnsi="Courier New" w:cs="Courier New"/>
    </w:rPr>
  </w:style>
  <w:style w:type="character" w:styleId="a3">
    <w:name w:val="Strong"/>
    <w:basedOn w:val="a0"/>
    <w:uiPriority w:val="22"/>
    <w:qFormat/>
    <w:rPr>
      <w:b/>
      <w:bCs/>
    </w:rPr>
  </w:style>
  <w:style w:type="paragraph" w:customStyle="1" w:styleId="msonormal0">
    <w:name w:val="msonormal"/>
    <w:basedOn w:val="a"/>
    <w:pPr>
      <w:spacing w:after="120"/>
      <w:jc w:val="both"/>
    </w:pPr>
  </w:style>
  <w:style w:type="paragraph" w:styleId="a4">
    <w:name w:val="Normal (Web)"/>
    <w:basedOn w:val="a"/>
    <w:uiPriority w:val="99"/>
    <w:semiHidden/>
    <w:unhideWhenUsed/>
    <w:pPr>
      <w:spacing w:after="120"/>
      <w:jc w:val="both"/>
    </w:pPr>
  </w:style>
  <w:style w:type="character" w:styleId="a5">
    <w:name w:val="Emphasis"/>
    <w:basedOn w:val="a0"/>
    <w:uiPriority w:val="20"/>
    <w:qFormat/>
    <w:rPr>
      <w:i/>
      <w:iCs/>
    </w:rPr>
  </w:style>
  <w:style w:type="paragraph" w:styleId="a6">
    <w:name w:val="header"/>
    <w:basedOn w:val="a"/>
    <w:link w:val="a7"/>
    <w:uiPriority w:val="99"/>
    <w:unhideWhenUsed/>
    <w:rsid w:val="00AE60E4"/>
    <w:pPr>
      <w:tabs>
        <w:tab w:val="center" w:pos="4153"/>
        <w:tab w:val="right" w:pos="8306"/>
      </w:tabs>
      <w:snapToGrid w:val="0"/>
      <w:jc w:val="center"/>
    </w:pPr>
    <w:rPr>
      <w:sz w:val="18"/>
      <w:szCs w:val="18"/>
    </w:rPr>
  </w:style>
  <w:style w:type="character" w:customStyle="1" w:styleId="a7">
    <w:name w:val="页眉 字符"/>
    <w:basedOn w:val="a0"/>
    <w:link w:val="a6"/>
    <w:uiPriority w:val="99"/>
    <w:rsid w:val="00AE60E4"/>
    <w:rPr>
      <w:rFonts w:ascii="宋体" w:eastAsia="宋体" w:hAnsi="宋体" w:cs="宋体"/>
      <w:sz w:val="18"/>
      <w:szCs w:val="18"/>
    </w:rPr>
  </w:style>
  <w:style w:type="paragraph" w:styleId="a8">
    <w:name w:val="footer"/>
    <w:basedOn w:val="a"/>
    <w:link w:val="a9"/>
    <w:uiPriority w:val="99"/>
    <w:unhideWhenUsed/>
    <w:rsid w:val="00AE60E4"/>
    <w:pPr>
      <w:tabs>
        <w:tab w:val="center" w:pos="4153"/>
        <w:tab w:val="right" w:pos="8306"/>
      </w:tabs>
      <w:snapToGrid w:val="0"/>
    </w:pPr>
    <w:rPr>
      <w:sz w:val="18"/>
      <w:szCs w:val="18"/>
    </w:rPr>
  </w:style>
  <w:style w:type="character" w:customStyle="1" w:styleId="a9">
    <w:name w:val="页脚 字符"/>
    <w:basedOn w:val="a0"/>
    <w:link w:val="a8"/>
    <w:uiPriority w:val="99"/>
    <w:rsid w:val="00AE60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63164">
      <w:blockQuote w:val="1"/>
      <w:marLeft w:val="0"/>
      <w:marRight w:val="0"/>
      <w:marTop w:val="160"/>
      <w:marBottom w:val="160"/>
      <w:divBdr>
        <w:top w:val="none" w:sz="0" w:space="0" w:color="auto"/>
        <w:left w:val="single" w:sz="18" w:space="10" w:color="999999"/>
        <w:bottom w:val="none" w:sz="0" w:space="0" w:color="auto"/>
        <w:right w:val="none" w:sz="0" w:space="0" w:color="auto"/>
      </w:divBdr>
    </w:div>
    <w:div w:id="294025170">
      <w:blockQuote w:val="1"/>
      <w:marLeft w:val="0"/>
      <w:marRight w:val="0"/>
      <w:marTop w:val="160"/>
      <w:marBottom w:val="160"/>
      <w:divBdr>
        <w:top w:val="none" w:sz="0" w:space="0" w:color="auto"/>
        <w:left w:val="single" w:sz="18" w:space="10" w:color="999999"/>
        <w:bottom w:val="none" w:sz="0" w:space="0" w:color="auto"/>
        <w:right w:val="none" w:sz="0" w:space="0" w:color="auto"/>
      </w:divBdr>
    </w:div>
    <w:div w:id="296960932">
      <w:blockQuote w:val="1"/>
      <w:marLeft w:val="0"/>
      <w:marRight w:val="0"/>
      <w:marTop w:val="160"/>
      <w:marBottom w:val="160"/>
      <w:divBdr>
        <w:top w:val="none" w:sz="0" w:space="0" w:color="auto"/>
        <w:left w:val="single" w:sz="18" w:space="10" w:color="999999"/>
        <w:bottom w:val="none" w:sz="0" w:space="0" w:color="auto"/>
        <w:right w:val="none" w:sz="0" w:space="0" w:color="auto"/>
      </w:divBdr>
    </w:div>
    <w:div w:id="698354643">
      <w:blockQuote w:val="1"/>
      <w:marLeft w:val="0"/>
      <w:marRight w:val="0"/>
      <w:marTop w:val="160"/>
      <w:marBottom w:val="160"/>
      <w:divBdr>
        <w:top w:val="none" w:sz="0" w:space="0" w:color="auto"/>
        <w:left w:val="single" w:sz="18" w:space="10" w:color="999999"/>
        <w:bottom w:val="none" w:sz="0" w:space="0" w:color="auto"/>
        <w:right w:val="none" w:sz="0" w:space="0" w:color="auto"/>
      </w:divBdr>
    </w:div>
    <w:div w:id="756747780">
      <w:blockQuote w:val="1"/>
      <w:marLeft w:val="0"/>
      <w:marRight w:val="0"/>
      <w:marTop w:val="160"/>
      <w:marBottom w:val="160"/>
      <w:divBdr>
        <w:top w:val="none" w:sz="0" w:space="0" w:color="auto"/>
        <w:left w:val="single" w:sz="18" w:space="10" w:color="999999"/>
        <w:bottom w:val="none" w:sz="0" w:space="0" w:color="auto"/>
        <w:right w:val="none" w:sz="0" w:space="0" w:color="auto"/>
      </w:divBdr>
    </w:div>
    <w:div w:id="788283843">
      <w:blockQuote w:val="1"/>
      <w:marLeft w:val="0"/>
      <w:marRight w:val="0"/>
      <w:marTop w:val="160"/>
      <w:marBottom w:val="160"/>
      <w:divBdr>
        <w:top w:val="none" w:sz="0" w:space="0" w:color="auto"/>
        <w:left w:val="single" w:sz="18" w:space="10" w:color="999999"/>
        <w:bottom w:val="none" w:sz="0" w:space="0" w:color="auto"/>
        <w:right w:val="none" w:sz="0" w:space="0" w:color="auto"/>
      </w:divBdr>
    </w:div>
    <w:div w:id="863203065">
      <w:blockQuote w:val="1"/>
      <w:marLeft w:val="0"/>
      <w:marRight w:val="0"/>
      <w:marTop w:val="160"/>
      <w:marBottom w:val="160"/>
      <w:divBdr>
        <w:top w:val="none" w:sz="0" w:space="0" w:color="auto"/>
        <w:left w:val="single" w:sz="18" w:space="10" w:color="999999"/>
        <w:bottom w:val="none" w:sz="0" w:space="0" w:color="auto"/>
        <w:right w:val="none" w:sz="0" w:space="0" w:color="auto"/>
      </w:divBdr>
    </w:div>
    <w:div w:id="1018771305">
      <w:blockQuote w:val="1"/>
      <w:marLeft w:val="0"/>
      <w:marRight w:val="0"/>
      <w:marTop w:val="160"/>
      <w:marBottom w:val="160"/>
      <w:divBdr>
        <w:top w:val="none" w:sz="0" w:space="0" w:color="auto"/>
        <w:left w:val="single" w:sz="18" w:space="10" w:color="999999"/>
        <w:bottom w:val="none" w:sz="0" w:space="0" w:color="auto"/>
        <w:right w:val="none" w:sz="0" w:space="0" w:color="auto"/>
      </w:divBdr>
    </w:div>
    <w:div w:id="1086878215">
      <w:blockQuote w:val="1"/>
      <w:marLeft w:val="0"/>
      <w:marRight w:val="0"/>
      <w:marTop w:val="160"/>
      <w:marBottom w:val="160"/>
      <w:divBdr>
        <w:top w:val="none" w:sz="0" w:space="0" w:color="auto"/>
        <w:left w:val="single" w:sz="18" w:space="10" w:color="999999"/>
        <w:bottom w:val="none" w:sz="0" w:space="0" w:color="auto"/>
        <w:right w:val="none" w:sz="0" w:space="0" w:color="auto"/>
      </w:divBdr>
    </w:div>
    <w:div w:id="1557938075">
      <w:blockQuote w:val="1"/>
      <w:marLeft w:val="0"/>
      <w:marRight w:val="0"/>
      <w:marTop w:val="160"/>
      <w:marBottom w:val="160"/>
      <w:divBdr>
        <w:top w:val="none" w:sz="0" w:space="0" w:color="auto"/>
        <w:left w:val="single" w:sz="18" w:space="10" w:color="999999"/>
        <w:bottom w:val="none" w:sz="0" w:space="0" w:color="auto"/>
        <w:right w:val="none" w:sz="0" w:space="0" w:color="auto"/>
      </w:divBdr>
    </w:div>
    <w:div w:id="1666743403">
      <w:blockQuote w:val="1"/>
      <w:marLeft w:val="0"/>
      <w:marRight w:val="0"/>
      <w:marTop w:val="160"/>
      <w:marBottom w:val="160"/>
      <w:divBdr>
        <w:top w:val="none" w:sz="0" w:space="0" w:color="auto"/>
        <w:left w:val="single" w:sz="18" w:space="10" w:color="999999"/>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6858</Words>
  <Characters>40906</Characters>
  <Application>Microsoft Office Word</Application>
  <DocSecurity>0</DocSecurity>
  <Lines>791</Lines>
  <Paragraphs>230</Paragraphs>
  <ScaleCrop>false</ScaleCrop>
  <Company/>
  <LinksUpToDate>false</LinksUpToDate>
  <CharactersWithSpaces>47621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dc:title>
  <dc:subject/>
  <dc:creator>Alex Li</dc:creator>
  <cp:keywords/>
  <dc:description/>
  <cp:lastModifiedBy>Alex Li</cp:lastModifiedBy>
  <cp:revision>2</cp:revision>
  <dcterms:created xsi:type="dcterms:W3CDTF">2026-10-16T04:56:00Z</dcterms:created>
  <dcterms:modified xsi:type="dcterms:W3CDTF">2026-10-16T04:56:00Z</dcterms:modified>
</cp:coreProperties>
</file>