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Report: Remote Work Productivity Study</w:t>
      </w:r>
    </w:p>
    <w:p>
      <w:r>
        <w:t>Author: Demo Team    Date: 2026-08-01</w:t>
      </w:r>
    </w:p>
    <w:p>
      <w:pPr>
        <w:pStyle w:val="Heading1"/>
      </w:pPr>
      <w:r>
        <w:t>1. Overview</w:t>
      </w:r>
    </w:p>
    <w:p>
      <w:r>
        <w:t>This report summarizes a six-month study of remote work productivity across four engineering teams. We measured output, meeting load, and employee satisfaction using weekly surveys and system logs.</w:t>
      </w:r>
    </w:p>
    <w:p>
      <w:r>
        <w:t>Our key finding is that remote teams delivered 12% more commits per week than their in-office baseline, while reported focus time increased sharply.</w:t>
      </w:r>
    </w:p>
    <w:p>
      <w:pPr>
        <w:pStyle w:val="Heading1"/>
      </w:pPr>
      <w:r>
        <w:t>2. Quarterly Sales Chart</w:t>
      </w:r>
    </w:p>
    <w:p>
      <w:r>
        <w:t>The chart below shows quarterly sales volume for fiscal year 2025.</w:t>
      </w:r>
    </w:p>
    <w:p>
      <w:r>
        <w:drawing>
          <wp:inline xmlns:a="http://schemas.openxmlformats.org/drawingml/2006/main" xmlns:pic="http://schemas.openxmlformats.org/drawingml/2006/picture">
            <wp:extent cx="41148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Survey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Output Delta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  <w:tc>
          <w:tcPr>
            <w:tcW w:type="dxa" w:w="2880"/>
          </w:tcPr>
          <w:p>
            <w:r>
              <w:t>4.2 / 5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+8%</w:t>
            </w:r>
          </w:p>
        </w:tc>
        <w:tc>
          <w:tcPr>
            <w:tcW w:type="dxa" w:w="2880"/>
          </w:tcPr>
          <w:p>
            <w:r>
              <w:t>3.9 / 5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+15%</w:t>
            </w:r>
          </w:p>
        </w:tc>
        <w:tc>
          <w:tcPr>
            <w:tcW w:type="dxa" w:w="2880"/>
          </w:tcPr>
          <w:p>
            <w:r>
              <w:t>4.5 / 5</w:t>
            </w:r>
          </w:p>
        </w:tc>
      </w:tr>
    </w:tbl>
    <w:p>
      <w:pPr>
        <w:pStyle w:val="Heading1"/>
      </w:pPr>
      <w:r>
        <w:t>4. Conclusion</w:t>
      </w:r>
    </w:p>
    <w:p>
      <w:r>
        <w:t>Remote work is a clear net positive for every team we studied, and we recommend making it the default policy for all departments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