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149" w:rsidRDefault="00D8303B" w:rsidP="00D8303B">
      <w:pPr>
        <w:jc w:val="right"/>
      </w:pPr>
      <w:r>
        <w:t>Firstly it loads the training data and then Naïve Bayes model is trained on this data set. Test data set must also provide a true label attribute in order to produce proper performance estimation.</w:t>
      </w:r>
    </w:p>
    <w:sectPr w:rsidR="002E2149" w:rsidSect="0092631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303B"/>
    <w:rsid w:val="002E2149"/>
    <w:rsid w:val="00926319"/>
    <w:rsid w:val="00D83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14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2012-10-15T18:42:00Z</dcterms:created>
  <dcterms:modified xsi:type="dcterms:W3CDTF">2012-10-15T18:47:00Z</dcterms:modified>
</cp:coreProperties>
</file>