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ATI Summaries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ATI Summaries</w:t>
        <w:br/>
      </w:r>
    </w:p>
    <w:p>
      <w:pPr>
        <w:pStyle w:val="Heading2"/>
      </w:pPr>
      <w:r>
        <w:t>1-1 Année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Année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must be populated with the four-digit calendar year that the request was closed.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doit être complété avec l’année civile à quatre chiffres durant laquelle la demande a été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not be in the future or before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Ne peux pas être dans le futur ni avant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2020</w:t>
            </w:r>
          </w:p>
        </w:tc>
      </w:tr>
    </w:tbl>
    <w:p>
      <w:r>
        <w:br/>
        <w:br/>
      </w:r>
    </w:p>
    <w:p>
      <w:pPr>
        <w:pStyle w:val="Heading2"/>
      </w:pPr>
      <w:r>
        <w:t>1-2 Mois (1-12)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Month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Mois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must be populated with a numerical representation of the month during which the request was closed.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doit être complété avec la représentation numérique du mois durant lequel la demande a été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in the range of 1-12 (representing January-December).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Doit être dans la gamme de 1-12 (représente janvier-décembre)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10</w:t>
            </w:r>
          </w:p>
        </w:tc>
      </w:tr>
    </w:tbl>
    <w:p>
      <w:r>
        <w:br/>
        <w:br/>
      </w:r>
    </w:p>
    <w:p>
      <w:pPr>
        <w:pStyle w:val="Heading2"/>
      </w:pPr>
      <w:r>
        <w:t>1-3 Numero de la demande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Request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Numero de la demande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request_number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Your institution’s request file number of the completed Access to Information request.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Numéro de dossier de demande de votre institution de la demande d’accès à l’information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A-2020-00516</w:t>
            </w:r>
          </w:p>
        </w:tc>
      </w:tr>
    </w:tbl>
    <w:p>
      <w:r>
        <w:br/>
        <w:br/>
      </w:r>
    </w:p>
    <w:p>
      <w:pPr>
        <w:pStyle w:val="Heading2"/>
      </w:pPr>
      <w:r>
        <w:t>1-4 Sommaire de la demande en anglais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English Summary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Sommaire de la demande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summary_en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descriptive summary of the completed Access to Information request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 résumé descriptif de la demande d’accès à l’information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Copies of the Safety Management System Audit and Evaluation Reports</w:t>
            </w:r>
          </w:p>
        </w:tc>
      </w:tr>
    </w:tbl>
    <w:p>
      <w:r>
        <w:br/>
        <w:br/>
      </w:r>
    </w:p>
    <w:p>
      <w:pPr>
        <w:pStyle w:val="Heading2"/>
      </w:pPr>
      <w:r>
        <w:t>1-5 Sommaire de la demande en français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French Summary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Sommaire de la demande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summary_fr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descriptive summary of the completed Access to Information request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 résumé descriptif de la demande d’accès à l’information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Copies des rapports de vérification et d’évaluation du système de gestion de la sécurité</w:t>
            </w:r>
          </w:p>
        </w:tc>
      </w:tr>
    </w:tbl>
    <w:p>
      <w:r>
        <w:br/>
        <w:br/>
      </w:r>
    </w:p>
    <w:p>
      <w:pPr>
        <w:pStyle w:val="Heading2"/>
      </w:pPr>
      <w:r>
        <w:t>1-6 Disposition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response disposition of the completed Access to Information request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disposition de la réponse de la demande d’accès à l’information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DP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DA</w:t>
            </w:r>
          </w:p>
        </w:tc>
        <w:tc>
          <w:tcPr>
            <w:tcW w:type="dxa" w:w="3628"/>
          </w:tcPr>
          <w:p>
            <w:r>
              <w:t>All disclosed</w:t>
            </w:r>
          </w:p>
        </w:tc>
        <w:tc>
          <w:tcPr>
            <w:tcW w:type="dxa" w:w="3628"/>
          </w:tcPr>
          <w:p>
            <w:r>
              <w:t>Communication totale</w:t>
            </w:r>
          </w:p>
        </w:tc>
      </w:tr>
      <w:tr>
        <w:tc>
          <w:tcPr>
            <w:tcW w:type="dxa" w:w="2092"/>
          </w:tcPr>
          <w:p>
            <w:r>
              <w:t>DP</w:t>
            </w:r>
          </w:p>
        </w:tc>
        <w:tc>
          <w:tcPr>
            <w:tcW w:type="dxa" w:w="3628"/>
          </w:tcPr>
          <w:p>
            <w:r>
              <w:t>Disclosed in part</w:t>
            </w:r>
          </w:p>
        </w:tc>
        <w:tc>
          <w:tcPr>
            <w:tcW w:type="dxa" w:w="3628"/>
          </w:tcPr>
          <w:p>
            <w:r>
              <w:t>Communication partielle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All excluded</w:t>
            </w:r>
          </w:p>
        </w:tc>
        <w:tc>
          <w:tcPr>
            <w:tcW w:type="dxa" w:w="3628"/>
          </w:tcPr>
          <w:p>
            <w:r>
              <w:t>Exclusion totale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All exempted</w:t>
            </w:r>
          </w:p>
        </w:tc>
        <w:tc>
          <w:tcPr>
            <w:tcW w:type="dxa" w:w="3628"/>
          </w:tcPr>
          <w:p>
            <w:r>
              <w:t>Exception totale</w:t>
            </w:r>
          </w:p>
        </w:tc>
      </w:tr>
      <w:tr>
        <w:tc>
          <w:tcPr>
            <w:tcW w:type="dxa" w:w="2092"/>
          </w:tcPr>
          <w:p>
            <w:r>
              <w:t>NE</w:t>
            </w:r>
          </w:p>
        </w:tc>
        <w:tc>
          <w:tcPr>
            <w:tcW w:type="dxa" w:w="3628"/>
          </w:tcPr>
          <w:p>
            <w:r>
              <w:t>No records exist</w:t>
            </w:r>
          </w:p>
        </w:tc>
        <w:tc>
          <w:tcPr>
            <w:tcW w:type="dxa" w:w="3628"/>
          </w:tcPr>
          <w:p>
            <w:r>
              <w:t>Aucun document n’existe</w:t>
            </w:r>
          </w:p>
        </w:tc>
      </w:tr>
    </w:tbl>
    <w:p>
      <w:r>
        <w:br/>
        <w:br/>
      </w:r>
    </w:p>
    <w:p>
      <w:pPr>
        <w:pStyle w:val="Heading2"/>
      </w:pPr>
      <w:r>
        <w:t>1-7 Nombre de pages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Number of 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Nombre de 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pages released in response to the completed Access to Information request. If no records were released, enter a value of “0”.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de pages publiées en réponse à la demande d’accès à l’information. Si aucun enregistrement n’a été publié, entrez la valeur « 0 ».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value must not be negative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Cette valeur ne doit pas être négatif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779</w:t>
            </w:r>
          </w:p>
        </w:tc>
      </w:tr>
    </w:tbl>
    <w:p>
      <w:r>
        <w:br/>
        <w:br/>
      </w:r>
    </w:p>
    <w:p>
      <w:pPr>
        <w:pStyle w:val="Heading2"/>
      </w:pPr>
      <w:r>
        <w:t>1-8 Commentaires en anglais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Comments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Commentaires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comments_en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or contextual comments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être rempli avec des commentaires supplémentaires ou contextuels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Obligatoire, conditionnel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The disclosure package also included audio recordings</w:t>
            </w:r>
          </w:p>
        </w:tc>
      </w:tr>
    </w:tbl>
    <w:p>
      <w:r>
        <w:br/>
        <w:br/>
      </w:r>
    </w:p>
    <w:p>
      <w:pPr>
        <w:pStyle w:val="Heading2"/>
      </w:pPr>
      <w:r>
        <w:t>1-9 Commentaires en français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Comments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Commentaires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comments_fr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or contextual comments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être rempli avec des commentaires supplémentaires ou contextuels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Obligatoire, conditionnel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Le dossier de divulgation comprend en plus des enregistrements audio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ATI Nothing to Report</w:t>
        <w:br/>
      </w:r>
    </w:p>
    <w:p>
      <w:pPr>
        <w:pStyle w:val="Heading2"/>
      </w:pPr>
      <w:r>
        <w:t>2-1 Année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Année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Four-digit calendar year of the month for which you are reporting no summaries to publish.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Année civile a quatre chiffres du mois pour lequel vous ne signalez aucun résumé à publier.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not be in the future or before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Ne peux pas être dans le futur ni avant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2014</w:t>
            </w:r>
          </w:p>
        </w:tc>
      </w:tr>
    </w:tbl>
    <w:p>
      <w:r>
        <w:br/>
        <w:br/>
      </w:r>
    </w:p>
    <w:p>
      <w:pPr>
        <w:pStyle w:val="Heading2"/>
      </w:pPr>
      <w:r>
        <w:t>2-2 Mois (1-12)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Month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Mois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numerical representation of the month for which you are reporting no summaries to publish.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Une représentation numérique du mois pour lequel vous ne signalez aucun résumé a publier.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in the range of 1-12 (representing January-December).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Doit être dans la gamme de 1-12 (représente janvier-décembre)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10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ATI Summaries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