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Briefing Note Titles and Numbers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Legend</w:t>
      </w:r>
    </w:p>
    <w:p>
      <w:r>
        <w:t>The following sample table provides a description of each field you will see for all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Briefing Note Titles and Numbers</w:t>
        <w:br/>
      </w:r>
    </w:p>
    <w:p>
      <w:pPr>
        <w:pStyle w:val="Heading2"/>
      </w:pPr>
      <w:r>
        <w:t>1-1 Briefing Note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Briefing Note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suivi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tracking_number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internal tracking number of the Briefing Note.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le numéro de suivi interne de la note de breffage.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10089-4266</w:t>
            </w:r>
          </w:p>
        </w:tc>
      </w:tr>
    </w:tbl>
    <w:p>
      <w:r>
        <w:br/>
        <w:br/>
      </w:r>
    </w:p>
    <w:p>
      <w:pPr>
        <w:pStyle w:val="Heading2"/>
      </w:pPr>
      <w:r>
        <w:t>1-2 Title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Partner views</w:t>
            </w:r>
          </w:p>
        </w:tc>
      </w:tr>
    </w:tbl>
    <w:p>
      <w:r>
        <w:br/>
        <w:br/>
      </w:r>
    </w:p>
    <w:p>
      <w:pPr>
        <w:pStyle w:val="Heading2"/>
      </w:pPr>
      <w:r>
        <w:t>1-3 Title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Title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Titre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title_fr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 with the official title of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est rempli par l'utilisateur avec le titre officiel de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Opinions des partenaires</w:t>
            </w:r>
          </w:p>
        </w:tc>
      </w:tr>
    </w:tbl>
    <w:p>
      <w:r>
        <w:br/>
        <w:br/>
      </w:r>
    </w:p>
    <w:p>
      <w:pPr>
        <w:pStyle w:val="Heading2"/>
      </w:pPr>
      <w:r>
        <w:t>1-4 Originating Sector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Originating Sector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Secteur d’origine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English.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anglais.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Finance; Treasurer</w:t>
            </w:r>
          </w:p>
        </w:tc>
      </w:tr>
    </w:tbl>
    <w:p>
      <w:r>
        <w:br/>
        <w:br/>
      </w:r>
    </w:p>
    <w:p>
      <w:pPr>
        <w:pStyle w:val="Heading2"/>
      </w:pPr>
      <w:r>
        <w:t>1-5 Originating Sector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Originating Sector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Secteur d’origine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originating_sector_fr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Sector, Branch, or Division where the Briefing Note originated in French. If there are multiple sectors/branches/divisions, they may be separated by a semicolon (;)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secteur, la direction ou la division d'où provient la note de breffage en français S'il y a plusieurs secteurs/directions/divisions, on peut les séparer par un point-virgule (;).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Finance; Trésoirer</w:t>
            </w:r>
          </w:p>
        </w:tc>
      </w:tr>
    </w:tbl>
    <w:p>
      <w:r>
        <w:br/>
        <w:br/>
      </w:r>
    </w:p>
    <w:p>
      <w:pPr>
        <w:pStyle w:val="Heading2"/>
      </w:pPr>
      <w:r>
        <w:t>1-6 Date Received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Date 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de réception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date_received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the date on which the Briefing Note was received in the addressee's office.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la date à laquelle la note de breffage a été reçue par le bureau du destinataire.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2018-04-01</w:t>
            </w:r>
          </w:p>
        </w:tc>
      </w:tr>
    </w:tbl>
    <w:p>
      <w:r>
        <w:br/>
        <w:br/>
      </w:r>
    </w:p>
    <w:p>
      <w:pPr>
        <w:pStyle w:val="Heading2"/>
      </w:pPr>
      <w:r>
        <w:t>1-7 Additional Information (English)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Information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Renseignements supplémentaires (en 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Relates to the family services program reform</w:t>
            </w:r>
          </w:p>
        </w:tc>
      </w:tr>
    </w:tbl>
    <w:p>
      <w:r>
        <w:br/>
        <w:br/>
      </w:r>
    </w:p>
    <w:p>
      <w:pPr>
        <w:pStyle w:val="Heading2"/>
      </w:pPr>
      <w:r>
        <w:t>1-8 Additional Information (French)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Additional Information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Renseignements supplémentaires (en 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additional_information_fr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display any additional information/comments for the Briefing Note,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 champ affichera de plus amples renseignements/commentaires concernant la note de breffage,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None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Programme des services familiaux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Briefing Note Titles and Numbers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