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asdf 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asdf 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Grup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‎ ‎ ‎ ‎ ‎ ‎ Ffadf En</w:t>
            </w:r>
          </w:p>
        </w:tc>
        <w:tc>
          <w:p>
            <w:pPr>
              <w:pStyle w:val="Compact"/>
              <w:jc w:val="center"/>
            </w:pPr>
            <w:r>
              <w:t xml:space="preserve">8 (40)</w:t>
            </w:r>
          </w:p>
        </w:tc>
        <w:tc>
          <w:p>
            <w:pPr>
              <w:pStyle w:val="Compact"/>
              <w:jc w:val="center"/>
            </w:pPr>
            <w:r>
              <w:t xml:space="preserve">12 (60)</w:t>
            </w:r>
          </w:p>
        </w:tc>
        <w:tc>
          <w:p>
            <w:pPr>
              <w:pStyle w:val="Compact"/>
              <w:jc w:val="center"/>
            </w:pPr>
            <w:r>
              <w:t xml:space="preserve">20 (33.3)</w:t>
            </w:r>
          </w:p>
        </w:tc>
        <w:tc>
          <w:p>
            <w:pPr>
              <w:pStyle w:val="Compact"/>
              <w:jc w:val="center"/>
            </w:pPr>
            <w:r>
              <w:t xml:space="preserve">0.137</w:t>
            </w:r>
          </w:p>
        </w:tc>
        <w:tc>
          <w:p>
            <w:pPr>
              <w:pStyle w:val="Compact"/>
              <w:jc w:val="center"/>
            </w:pPr>
            <w:r>
              <w:t xml:space="preserve">0.934</w:t>
            </w:r>
            <m:oMath>
              <m:sSup>
                <m:e>
                  <m:r>
                    <m:t>​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‎ ‎ ‎ ‎ ‎ ‎ Easdf En</w:t>
            </w:r>
          </w:p>
        </w:tc>
        <w:tc>
          <w:p>
            <w:pPr>
              <w:pStyle w:val="Compact"/>
              <w:jc w:val="center"/>
            </w:pPr>
            <w:r>
              <w:t xml:space="preserve">8 (40)</w:t>
            </w:r>
          </w:p>
        </w:tc>
        <w:tc>
          <w:p>
            <w:pPr>
              <w:pStyle w:val="Compact"/>
              <w:jc w:val="center"/>
            </w:pPr>
            <w:r>
              <w:t xml:space="preserve">12 (60)</w:t>
            </w:r>
          </w:p>
        </w:tc>
        <w:tc>
          <w:p>
            <w:pPr>
              <w:pStyle w:val="Compact"/>
              <w:jc w:val="center"/>
            </w:pPr>
            <w:r>
              <w:t xml:space="preserve">20 (33.3)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‎ ‎ ‎ ‎ ‎ ‎ Asdf En</w:t>
            </w:r>
          </w:p>
        </w:tc>
        <w:tc>
          <w:p>
            <w:pPr>
              <w:pStyle w:val="Compact"/>
              <w:jc w:val="center"/>
            </w:pPr>
            <w:r>
              <w:t xml:space="preserve">9 (45)</w:t>
            </w:r>
          </w:p>
        </w:tc>
        <w:tc>
          <w:p>
            <w:pPr>
              <w:pStyle w:val="Compact"/>
              <w:jc w:val="center"/>
            </w:pPr>
            <w:r>
              <w:t xml:space="preserve">11 (55)</w:t>
            </w:r>
          </w:p>
        </w:tc>
        <w:tc>
          <w:p>
            <w:pPr>
              <w:pStyle w:val="Compact"/>
              <w:jc w:val="center"/>
            </w:pPr>
            <w:r>
              <w:t xml:space="preserve">20 (33.3)</w:t>
            </w:r>
          </w:p>
        </w:tc>
        <w:tc>
          <w:p/>
        </w:tc>
        <w:tc>
          <w:p/>
        </w:tc>
      </w:tr>
    </w:tbl>
    <w:p>
      <w:pPr>
        <w:pStyle w:val="GvdeMetni"/>
      </w:pPr>
      <m:oMath>
        <m:sSup>
          <m:e>
            <m:r>
              <m:t>​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Pearson’s Chi Squared Test ; n(%)</w:t>
      </w:r>
    </w:p>
    <w:p>
      <w:pPr>
        <w:pStyle w:val="GvdeMetni"/>
      </w:pPr>
      <w:r>
        <w:t xml:space="preserve">Grup verisi için ffadf en grubunda d1 dağılımları incelendiğinde asdf d olanların oranı %40 iken, asdf en olanların oranı %60 olarak elde edilmiştir. Grup verisi için easdf en grubunda d1 dağılımları incelendiğinde asdf d olanların oranı %40 iken, asdf en olanların oranı %60 olarak elde edilmiştir. Grup verisi için asdf en grubunda d1 dağılımları incelendiğinde asdf d olanların oranı %45 iken, asdf en olanların oranı %55 olarak elde edilmiştir. Grup ile d1 arasında bağlantılı olup olmadığı incelendiğinde istatistiksel olarak anlamlı bir bağlantının olmadığı tespit edilmiştir (p = 0.934).</w:t>
      </w:r>
    </w:p>
    <w:sectPr w:rsidR="00022A66">
      <w:pgSz w:w="12240" w:h="15840"/>
      <w:pgMar w:top="1417" w:right="1417" w:bottom="1417" w:left="1417" w:header="708" w:footer="708" w:gutter="0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2F67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42055337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55E0"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  <w:ind w:left="480" w:right="480"/>
    </w:p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655E0"/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Dizin4">
    <w:name w:val="index 4"/>
    <w:basedOn w:val="Normal"/>
    <w:next w:val="Normal"/>
    <w:autoRedefine/>
    <w:rsid w:val="00920A56"/>
    <w:pPr>
      <w:spacing w:after="0"/>
      <w:ind w:left="960" w:hanging="24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2024-08-10T07:18:36Z</dcterms:created>
  <dcterms:modified xsi:type="dcterms:W3CDTF">2024-08-10T07:18:36Z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