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DCFB86" w14:textId="77777777" w:rsidR="00DE1A95" w:rsidRDefault="00DE1A95" w:rsidP="00DE1A95">
      <w:pPr>
        <w:pStyle w:val="Heading1"/>
      </w:pPr>
      <w:r>
        <w:t>Supplementary  Material</w:t>
      </w: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460"/>
        <w:gridCol w:w="1560"/>
        <w:gridCol w:w="2070"/>
      </w:tblGrid>
      <w:tr w:rsidR="00DE1A95" w:rsidRPr="00757809" w14:paraId="6C8652B3" w14:textId="77777777" w:rsidTr="0074149D">
        <w:trPr>
          <w:trHeight w:val="285"/>
        </w:trPr>
        <w:tc>
          <w:tcPr>
            <w:tcW w:w="54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AA1008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Parameter (p1-p21)</w:t>
            </w:r>
          </w:p>
        </w:tc>
        <w:tc>
          <w:tcPr>
            <w:tcW w:w="15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5E045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Value (general population)</w:t>
            </w:r>
          </w:p>
        </w:tc>
        <w:tc>
          <w:tcPr>
            <w:tcW w:w="207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E976FB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Source</w:t>
            </w:r>
          </w:p>
        </w:tc>
      </w:tr>
      <w:tr w:rsidR="00DE1A95" w:rsidRPr="00757809" w14:paraId="1AC457FF" w14:textId="77777777" w:rsidTr="0074149D">
        <w:trPr>
          <w:trHeight w:val="390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1F7CDC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P1. Human population size being modelled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05EA0C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35 million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0BE60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Official projections</w:t>
            </w:r>
            <w:r w:rsidRPr="0075780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1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E1A95" w:rsidRPr="00757809" w14:paraId="263833D8" w14:textId="77777777" w:rsidTr="0074149D">
        <w:trPr>
          <w:trHeight w:val="555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70936C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P2. Annual birth rate, expressed as a proportion of the population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48281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0·012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9F7AD5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Official projections</w:t>
            </w:r>
            <w:r w:rsidRPr="0075780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1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E1A95" w:rsidRPr="00757809" w14:paraId="0C782A60" w14:textId="77777777" w:rsidTr="0074149D">
        <w:trPr>
          <w:trHeight w:val="399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99F9D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P3. Human-to-dog ratio, used for dog population estimates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D2214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31(16)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11D27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Livestock census 2019</w:t>
            </w:r>
            <w:r w:rsidRPr="0075780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; calibrated</w:t>
            </w:r>
          </w:p>
        </w:tc>
      </w:tr>
      <w:tr w:rsidR="00DE1A95" w:rsidRPr="00757809" w14:paraId="0002654A" w14:textId="77777777" w:rsidTr="0074149D">
        <w:trPr>
          <w:trHeight w:val="285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FE6A1B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P4. Proportion of dogs that are unowned</w:t>
            </w:r>
            <w:r w:rsidRPr="00757809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, 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and less accessible to vaccinate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3987B7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0·58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865B3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Livestock census 2019</w:t>
            </w:r>
            <w:r w:rsidRPr="0075780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baseline (0.257); calibrated</w:t>
            </w:r>
          </w:p>
        </w:tc>
      </w:tr>
      <w:tr w:rsidR="00DE1A95" w:rsidRPr="00757809" w14:paraId="230B74AD" w14:textId="77777777" w:rsidTr="0074149D">
        <w:trPr>
          <w:trHeight w:val="285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47284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P5. Annual dog rabies incidence without dog vaccination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DA195C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0·0075-0·0125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B92CC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Literature</w:t>
            </w:r>
            <w:r w:rsidRPr="0075780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3,4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E1A95" w:rsidRPr="00757809" w14:paraId="685611CF" w14:textId="77777777" w:rsidTr="0074149D">
        <w:trPr>
          <w:trHeight w:val="285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7DF27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P6 &amp; P7: Bite exposures per rabid dog. Negative binomial distribution with mean and dispersion parameters (</w:t>
            </w:r>
            <w:r w:rsidRPr="00757809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mu, k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).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88787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mu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0·38, </w:t>
            </w:r>
            <w:r w:rsidRPr="00757809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k 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0·72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40DE6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Literature</w:t>
            </w:r>
            <w:r w:rsidRPr="0075780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E1A95" w:rsidRPr="00757809" w14:paraId="7414B7AF" w14:textId="77777777" w:rsidTr="0074149D">
        <w:trPr>
          <w:trHeight w:val="570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F6298F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P8. Probability that a person bitten by a rabid dog seeks healthcare.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53A5A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0·95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C5BA6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IBCM pilot</w:t>
            </w:r>
            <w:r w:rsidRPr="0075780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5</w:t>
            </w:r>
          </w:p>
        </w:tc>
      </w:tr>
      <w:tr w:rsidR="00DE1A95" w:rsidRPr="00757809" w14:paraId="573CCDD2" w14:textId="77777777" w:rsidTr="0074149D">
        <w:trPr>
          <w:trHeight w:val="570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7A03F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P9. Annual incidence of animal bite victims presenting to health facilities per 1,000 population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B6B7A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15·3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6F1F3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IDSP data</w:t>
            </w:r>
            <w:r w:rsidRPr="0075780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6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</w:t>
            </w:r>
          </w:p>
        </w:tc>
      </w:tr>
      <w:tr w:rsidR="00DE1A95" w:rsidRPr="00757809" w14:paraId="303915F5" w14:textId="77777777" w:rsidTr="0074149D">
        <w:trPr>
          <w:trHeight w:val="570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B0C343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P10. Probability that PEP is initiated following healthcare presentation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3FB03D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0·9684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58F844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IDSP data</w:t>
            </w:r>
            <w:r w:rsidRPr="0075780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6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E1A95" w:rsidRPr="00757809" w14:paraId="41321930" w14:textId="77777777" w:rsidTr="0074149D">
        <w:trPr>
          <w:trHeight w:val="870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0C15E6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Gungsuh" w:hAnsi="Times New Roman" w:cs="Times New Roman"/>
                <w:sz w:val="18"/>
                <w:szCs w:val="18"/>
              </w:rPr>
              <w:t xml:space="preserve">P11. PEP adherence modelled as geometric decay with constant per-dose continuation probability (p = 0.965), calibrated to &gt;90% completion of ≥3 doses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0CD60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0·965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C3DE40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Community survey; IBCM pilot</w:t>
            </w:r>
            <w:r w:rsidRPr="0075780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5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&amp; calibrated</w:t>
            </w:r>
          </w:p>
        </w:tc>
      </w:tr>
      <w:tr w:rsidR="00DE1A95" w:rsidRPr="00757809" w14:paraId="517AF7CE" w14:textId="77777777" w:rsidTr="0074149D">
        <w:trPr>
          <w:trHeight w:val="525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FD1B68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P12. Probability of death following rabies exposure in the absence of PEP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13DDF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0·17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7F6CBA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Literature</w:t>
            </w:r>
            <w:r w:rsidRPr="0075780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7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E1A95" w:rsidRPr="00757809" w14:paraId="2C31B41A" w14:textId="77777777" w:rsidTr="0074149D">
        <w:trPr>
          <w:trHeight w:val="540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18AAD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P13. Probability that incomplete PEP (&lt;3 doses) prevents rabies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1FDD2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0·986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31538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color w:val="CC2936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Literature</w:t>
            </w:r>
            <w:r w:rsidRPr="0075780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7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</w:t>
            </w:r>
          </w:p>
        </w:tc>
      </w:tr>
      <w:tr w:rsidR="00DE1A95" w:rsidRPr="00757809" w14:paraId="47F3AFE5" w14:textId="77777777" w:rsidTr="0074149D">
        <w:trPr>
          <w:trHeight w:val="615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70A1D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Gungsuh" w:hAnsi="Times New Roman" w:cs="Times New Roman"/>
                <w:sz w:val="18"/>
                <w:szCs w:val="18"/>
              </w:rPr>
              <w:t xml:space="preserve">P14. Probability that </w:t>
            </w:r>
            <w:proofErr w:type="gramStart"/>
            <w:r w:rsidRPr="00757809">
              <w:rPr>
                <w:rFonts w:ascii="Times New Roman" w:eastAsia="Gungsuh" w:hAnsi="Times New Roman" w:cs="Times New Roman"/>
                <w:sz w:val="18"/>
                <w:szCs w:val="18"/>
              </w:rPr>
              <w:t>complete</w:t>
            </w:r>
            <w:proofErr w:type="gramEnd"/>
            <w:r w:rsidRPr="00757809">
              <w:rPr>
                <w:rFonts w:ascii="Times New Roman" w:eastAsia="Gungsuh" w:hAnsi="Times New Roman" w:cs="Times New Roman"/>
                <w:sz w:val="18"/>
                <w:szCs w:val="18"/>
              </w:rPr>
              <w:t xml:space="preserve"> PEP (≥3 doses if not </w:t>
            </w:r>
            <w:proofErr w:type="spellStart"/>
            <w:r w:rsidRPr="00757809">
              <w:rPr>
                <w:rFonts w:ascii="Times New Roman" w:eastAsia="Gungsuh" w:hAnsi="Times New Roman" w:cs="Times New Roman"/>
                <w:sz w:val="18"/>
                <w:szCs w:val="18"/>
              </w:rPr>
              <w:t>PrEP’d</w:t>
            </w:r>
            <w:proofErr w:type="spellEnd"/>
            <w:r w:rsidRPr="00757809">
              <w:rPr>
                <w:rFonts w:ascii="Times New Roman" w:eastAsia="Gungsuh" w:hAnsi="Times New Roman" w:cs="Times New Roman"/>
                <w:sz w:val="18"/>
                <w:szCs w:val="18"/>
              </w:rPr>
              <w:t xml:space="preserve">) prevents rabies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ABA4A6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0·999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D82AED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color w:val="CC2936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Literature</w:t>
            </w:r>
            <w:r w:rsidRPr="0075780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7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E1A95" w:rsidRPr="00757809" w14:paraId="5D66A34E" w14:textId="77777777" w:rsidTr="0074149D">
        <w:trPr>
          <w:trHeight w:val="600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AFD050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P15. Proportion of infants with complete routine vaccination, , as a proxy for </w:t>
            </w:r>
            <w:proofErr w:type="spellStart"/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coverage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76B05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0·778 (0·64 in tribal population)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31967A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National Family Health Survey</w:t>
            </w:r>
            <w:r w:rsidRPr="0075780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8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</w:t>
            </w:r>
          </w:p>
        </w:tc>
      </w:tr>
      <w:tr w:rsidR="00DE1A95" w:rsidRPr="00757809" w14:paraId="3390E4AB" w14:textId="77777777" w:rsidTr="0074149D">
        <w:trPr>
          <w:trHeight w:val="480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93D122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P16. Proportion of total population receiving </w:t>
            </w:r>
            <w:proofErr w:type="spellStart"/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PrEP</w:t>
            </w:r>
            <w:proofErr w:type="spellEnd"/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during initial school-based campaign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CAF179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0·14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E8CEB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Official projections</w:t>
            </w:r>
            <w:r w:rsidRPr="0075780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1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E1A95" w:rsidRPr="00757809" w14:paraId="6736C9B7" w14:textId="77777777" w:rsidTr="0074149D">
        <w:trPr>
          <w:trHeight w:val="285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15108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P17. Cost per vial of human rabies vaccine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E82BD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$5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DA568B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Government sources*</w:t>
            </w:r>
          </w:p>
        </w:tc>
      </w:tr>
      <w:tr w:rsidR="00DE1A95" w:rsidRPr="00757809" w14:paraId="4CBD2E6F" w14:textId="77777777" w:rsidTr="0074149D">
        <w:trPr>
          <w:trHeight w:val="285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56CAA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P18. Average cost of RIG administration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680E9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$12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0C4B9B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Government sources*</w:t>
            </w:r>
          </w:p>
        </w:tc>
      </w:tr>
      <w:tr w:rsidR="00DE1A95" w:rsidRPr="00757809" w14:paraId="4B3D3FEA" w14:textId="77777777" w:rsidTr="0074149D">
        <w:trPr>
          <w:trHeight w:val="285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B29D9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P19. Cost per owned dog vaccinated at government clinics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71354A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$0·7-1·5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607FD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Government sources*</w:t>
            </w:r>
          </w:p>
        </w:tc>
      </w:tr>
      <w:tr w:rsidR="00DE1A95" w:rsidRPr="00757809" w14:paraId="4FAA4663" w14:textId="77777777" w:rsidTr="0074149D">
        <w:trPr>
          <w:trHeight w:val="285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9C708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P20. Cost per unowned dog vaccinated by catch–vaccinate–release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E53B45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$4-5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1FBD35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Government sources*</w:t>
            </w:r>
          </w:p>
        </w:tc>
      </w:tr>
      <w:tr w:rsidR="00DE1A95" w:rsidRPr="00757809" w14:paraId="42F18F34" w14:textId="77777777" w:rsidTr="0074149D">
        <w:trPr>
          <w:trHeight w:val="285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5B1D47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P21. QALYs gained per death averted (from Kerala’s life expectancy, 77 years, and average dog bite patient age (15 years)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F1A6B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62 years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252463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Literature</w:t>
            </w:r>
            <w:r w:rsidRPr="00757809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9,10</w:t>
            </w: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</w:t>
            </w:r>
          </w:p>
        </w:tc>
      </w:tr>
      <w:tr w:rsidR="00DE1A95" w:rsidRPr="00757809" w14:paraId="4F9F7347" w14:textId="77777777" w:rsidTr="0074149D">
        <w:trPr>
          <w:trHeight w:val="285"/>
        </w:trPr>
        <w:tc>
          <w:tcPr>
            <w:tcW w:w="54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0FA24C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P22.  Proportion of human rabies deaths recorded by surveillance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D21760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0·5-0·7**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D78895" w14:textId="77777777" w:rsidR="00DE1A95" w:rsidRPr="00757809" w:rsidRDefault="00DE1A95" w:rsidP="0074149D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57809">
              <w:rPr>
                <w:rFonts w:ascii="Times New Roman" w:eastAsia="Times New Roman" w:hAnsi="Times New Roman" w:cs="Times New Roman"/>
                <w:sz w:val="18"/>
                <w:szCs w:val="18"/>
              </w:rPr>
              <w:t>calibrated</w:t>
            </w:r>
          </w:p>
        </w:tc>
      </w:tr>
    </w:tbl>
    <w:p w14:paraId="3ABB06D1" w14:textId="605845C8" w:rsidR="00DE1A95" w:rsidRPr="00DE1A95" w:rsidRDefault="00DE1A95" w:rsidP="00DE1A9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Supplementary Table 1. Parameters for cost-effectiveness analysis of rabies prevention strategies.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Abbreviations: IDSP- Integrated Disease Surveillance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Programme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; QALYs - Quality Adjusted Life Years; IBCM – Integrated Bite Case Management. *Government sources indicate data collected from informal interviews with key government employees.**Kerala's surveillance system captures a higher proportion of rabies deaths than national estimates (~10%); we assumed 50–70% ascertainment based on model calibration against recently reported deaths.</w:t>
      </w:r>
    </w:p>
    <w:sectPr w:rsidR="00DE1A95" w:rsidRPr="00DE1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95"/>
    <w:rsid w:val="009A7A25"/>
    <w:rsid w:val="00DE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71903E"/>
  <w15:chartTrackingRefBased/>
  <w15:docId w15:val="{2C61A8A2-8874-3B44-AC4F-B65F2DFD4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A95"/>
    <w:pPr>
      <w:spacing w:after="0" w:line="240" w:lineRule="auto"/>
    </w:pPr>
    <w:rPr>
      <w:rFonts w:ascii="Calibri" w:eastAsia="Calibri" w:hAnsi="Calibri" w:cs="Calibri"/>
      <w:kern w:val="0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A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K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A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K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A9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K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A9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K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A9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K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A9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K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A9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K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A9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K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A9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KE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A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K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1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A9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K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1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A9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K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1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A9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KE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1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K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Luka (PGR)</dc:creator>
  <cp:keywords/>
  <dc:description/>
  <cp:lastModifiedBy>Martha Luka (PGR)</cp:lastModifiedBy>
  <cp:revision>1</cp:revision>
  <dcterms:created xsi:type="dcterms:W3CDTF">2026-07-13T09:36:00Z</dcterms:created>
  <dcterms:modified xsi:type="dcterms:W3CDTF">2026-07-13T09:37:00Z</dcterms:modified>
</cp:coreProperties>
</file>