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20"/>
        <w:gridCol w:w="1440"/>
        <w:gridCol w:w="1605"/>
        <w:gridCol w:w="1275"/>
        <w:gridCol w:w="960"/>
        <w:gridCol w:w="1140"/>
        <w:gridCol w:w="690"/>
      </w:tblGrid>
      <w:tr w:rsidR="006F5122" w14:paraId="63A1565B" w14:textId="77777777" w:rsidTr="0074149D">
        <w:trPr>
          <w:trHeight w:val="855"/>
        </w:trPr>
        <w:tc>
          <w:tcPr>
            <w:tcW w:w="14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E3C77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102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929BBC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Deaths</w:t>
            </w:r>
          </w:p>
        </w:tc>
        <w:tc>
          <w:tcPr>
            <w:tcW w:w="1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D7AD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Deaths averted</w:t>
            </w:r>
          </w:p>
        </w:tc>
        <w:tc>
          <w:tcPr>
            <w:tcW w:w="160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0DD057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QALYs gained (discounted)</w:t>
            </w:r>
          </w:p>
        </w:tc>
        <w:tc>
          <w:tcPr>
            <w:tcW w:w="1275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FE4B5C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Total costs ($M)</w:t>
            </w:r>
          </w:p>
        </w:tc>
        <w:tc>
          <w:tcPr>
            <w:tcW w:w="9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DD346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Mean NHB at WTP=US$2,535</w:t>
            </w:r>
          </w:p>
        </w:tc>
        <w:tc>
          <w:tcPr>
            <w:tcW w:w="11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F0FE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Probability optimal</w:t>
            </w:r>
          </w:p>
        </w:tc>
        <w:tc>
          <w:tcPr>
            <w:tcW w:w="69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0F05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Rank</w:t>
            </w:r>
          </w:p>
        </w:tc>
      </w:tr>
      <w:tr w:rsidR="006F5122" w14:paraId="5A6EC7E1" w14:textId="77777777" w:rsidTr="0074149D">
        <w:trPr>
          <w:trHeight w:val="64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7ABA9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A. SQ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555BBE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431 (353–523)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D71E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13,784 (12,840–14,732)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75148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747,238 (696,439–799,226)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610FF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50.26 (49.90–50.64)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6D85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727,364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52818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FC896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</w:tr>
      <w:tr w:rsidR="006F5122" w14:paraId="3385E565" w14:textId="77777777" w:rsidTr="0074149D">
        <w:trPr>
          <w:trHeight w:val="600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6F514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B. SQ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PrEP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 (India regimen)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24E126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422 (341–509)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E435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13,805 (12,823–14,756)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99CCC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748,260 (695,302–799,765)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1093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61.88 (61.50–62.25)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1A506C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723,591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C4536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7D366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</w:t>
            </w:r>
          </w:p>
        </w:tc>
      </w:tr>
      <w:tr w:rsidR="006F5122" w14:paraId="440303F8" w14:textId="77777777" w:rsidTr="0074149D">
        <w:trPr>
          <w:trHeight w:val="570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E1867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C. WHO PEP + 1-shot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PrEP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AF08C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421 (344–506)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B0F7D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13,802 (12,854–14,729)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E0614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747,961 (696,503–798,061)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BBF4A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86.79 (86.41–87.16)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6484C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713,672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04EF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52654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12</w:t>
            </w:r>
          </w:p>
        </w:tc>
      </w:tr>
      <w:tr w:rsidR="006F5122" w14:paraId="063FF4B0" w14:textId="77777777" w:rsidTr="0074149D">
        <w:trPr>
          <w:trHeight w:val="58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C1204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D. WHO PEP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PrEP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C03E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421 (343–505)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DEC8A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13,782 (12,866–14,734)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68322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747,188 (697,231–798,146)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857E8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60.73 (60.37–61.11)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14E67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723,749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998748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7A20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</w:tr>
      <w:tr w:rsidR="006F5122" w14:paraId="3DED70A9" w14:textId="77777777" w:rsidTr="0074149D">
        <w:trPr>
          <w:trHeight w:val="570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9AA701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E. D + drop in MDV coverage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5AB8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488 (401–581)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913B0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13,714 (12,797–14,692)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93044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743,769 (693,825–796,800)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7746E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59.49 (59.10–59.86)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A5DA1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720,876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6AFC7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217F2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</w:t>
            </w:r>
          </w:p>
        </w:tc>
      </w:tr>
      <w:tr w:rsidR="006F5122" w14:paraId="04159F93" w14:textId="77777777" w:rsidTr="0074149D">
        <w:trPr>
          <w:trHeight w:val="85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7E3C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F. D + MDV scale-up (unowned dogs)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92D38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80 (58–107)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8897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14,141 (13,149–15,094)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EAF6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766,168 (711,909–818,484)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C41C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88.23 (86.08–92.51)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A4926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731,103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1B08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E9BA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</w:tr>
      <w:tr w:rsidR="006F5122" w14:paraId="62E559E3" w14:textId="77777777" w:rsidTr="0074149D">
        <w:trPr>
          <w:trHeight w:val="85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7785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G. SQ + moderate MDV (unowned dogs)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03BFA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146 (110–187)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39E3A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14,058 (13,101–15,043)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DE49FE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761,957 (709,504–815,429)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9591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61.37 (60.33–63.23)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B633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737,967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A97C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DF38E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6F5122" w14:paraId="150115AC" w14:textId="77777777" w:rsidTr="0074149D">
        <w:trPr>
          <w:trHeight w:val="85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6485D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H. SQ + MDV scale-up (unowned dogs)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02C4A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82 (59–109)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FA66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14,144 (13,150–15,076)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F351A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766,428 (712,366–817,177)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4FA11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77.75 (75.59–82.16)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FA2CEE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734,852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9A564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11%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EC4432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</w:tr>
      <w:tr w:rsidR="006F5122" w14:paraId="5E4ED27E" w14:textId="77777777" w:rsidTr="0074149D">
        <w:trPr>
          <w:trHeight w:val="85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9235A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I. SQ + intense MDV (owned dogs)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BE128E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195 (149–250)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DAA9C7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14,028 (13,054–14,946)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0091E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760,025 (707,119–810,827)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A84DC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51.48 (50.95–52.02)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7D84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739,420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09B91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CF4FA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6F5122" w14:paraId="5F6EEA68" w14:textId="77777777" w:rsidTr="0074149D">
        <w:trPr>
          <w:trHeight w:val="64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E040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J. SQ + MDV scale-up (all dogs)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1DCC6D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 (53–103)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82E71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14,140 (13,187–15,077)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5A6B68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765,993 (714,355–817,240)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7641F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78.50 (76.31–83.07)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8F652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734,653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E6156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10%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68E6E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6F5122" w14:paraId="5532CAE0" w14:textId="77777777" w:rsidTr="0074149D">
        <w:trPr>
          <w:trHeight w:val="64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3845A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K. WHO PEP + SQ MDV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9521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432 (353–519)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EF8E62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13,774 (12,811–14,736)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35FE67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746,844 (694,224–799,054)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D5CC2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44.00 (43.62–44.37)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C3FD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729,248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8F76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76F39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</w:p>
        </w:tc>
      </w:tr>
      <w:tr w:rsidR="006F5122" w14:paraId="406526B1" w14:textId="77777777" w:rsidTr="0074149D">
        <w:trPr>
          <w:trHeight w:val="855"/>
        </w:trPr>
        <w:tc>
          <w:tcPr>
            <w:tcW w:w="1485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DE62B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L. WHO PEP + MDV scale-up (all dogs)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93BD9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75 (53–100)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D05A6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14,149 (13,169–15,152)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2E8933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766,558 (713,364–821,356)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521F7A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72.28 (70.19–76.76)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E5CC5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738,111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9B60D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14%</w:t>
            </w:r>
          </w:p>
        </w:tc>
        <w:tc>
          <w:tcPr>
            <w:tcW w:w="69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19EB50" w14:textId="77777777" w:rsidR="006F5122" w:rsidRDefault="006F5122" w:rsidP="0074149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</w:tr>
    </w:tbl>
    <w:p w14:paraId="038A2AD9" w14:textId="77777777" w:rsidR="006F5122" w:rsidRDefault="006F5122" w:rsidP="006F5122">
      <w:p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Table 2. Health outcomes and cost-effectiveness of rabies prevention scenarios in Kerala, India (10-year horizon, 2026-2035). </w:t>
      </w:r>
      <w:r>
        <w:rPr>
          <w:rFonts w:ascii="Times New Roman" w:eastAsia="Times New Roman" w:hAnsi="Times New Roman" w:cs="Times New Roman"/>
          <w:sz w:val="20"/>
          <w:szCs w:val="20"/>
        </w:rPr>
        <w:t>Values are medians (95% percentile intervals). Deaths averted are relative to a zero-intervention counterfactual. The status quo (SQ) reflects current practice (A): no Pre-Exposure Prophylaxis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), four-dose intradermal post-exposure prophylaxis (PEP) with RIG for category III exposures, and sub-optimal mass dog vaccination (MDV) coverage (3% unowned, 50% owned dogs). Scenarios B–F introduce childhood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PrEP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under varying PEP and MDV configurations. Scenarios G–J evaluate MDV scale-up without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PrEP.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Scenarios K and L assess WHO’s abridged one-week PEP regimen. Full scenario specifications are in Table 1. NHB = net health benefit; QALYs = quality-adjusted life years; WTP = Willingness to pay.</w:t>
      </w:r>
    </w:p>
    <w:p w14:paraId="562FEA52" w14:textId="77777777" w:rsidR="006F5122" w:rsidRDefault="006F5122"/>
    <w:sectPr w:rsidR="006F5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22"/>
    <w:rsid w:val="006F5122"/>
    <w:rsid w:val="009A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B6F8B"/>
  <w15:chartTrackingRefBased/>
  <w15:docId w15:val="{5662B91F-6175-E041-A58E-76F09160D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122"/>
    <w:pPr>
      <w:spacing w:after="0" w:line="240" w:lineRule="auto"/>
    </w:pPr>
    <w:rPr>
      <w:rFonts w:ascii="Calibri" w:eastAsia="Calibri" w:hAnsi="Calibri" w:cs="Calibri"/>
      <w:kern w:val="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1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K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1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K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1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K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1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1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K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1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K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1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K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1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K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1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K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1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K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F5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1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K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F5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12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K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F5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12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K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F5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K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Luka (PGR)</dc:creator>
  <cp:keywords/>
  <dc:description/>
  <cp:lastModifiedBy>Martha Luka (PGR)</cp:lastModifiedBy>
  <cp:revision>1</cp:revision>
  <dcterms:created xsi:type="dcterms:W3CDTF">2026-07-13T10:27:00Z</dcterms:created>
  <dcterms:modified xsi:type="dcterms:W3CDTF">2026-07-13T10:27:00Z</dcterms:modified>
</cp:coreProperties>
</file>