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A999" w14:textId="77777777" w:rsidR="00163FDE" w:rsidRPr="00163FDE" w:rsidRDefault="00163FDE" w:rsidP="00163FDE">
      <w:pPr>
        <w:rPr>
          <w:b/>
          <w:bCs/>
        </w:rPr>
      </w:pPr>
      <w:r w:rsidRPr="00163FDE">
        <w:rPr>
          <w:b/>
          <w:bCs/>
        </w:rPr>
        <w:t>Representation of the five-winding transformer</w:t>
      </w:r>
    </w:p>
    <w:p w14:paraId="07C02D8C" w14:textId="77777777" w:rsidR="00163FDE" w:rsidRPr="00163FDE" w:rsidRDefault="00163FDE" w:rsidP="00163FDE">
      <w:pPr>
        <w:rPr>
          <w:b/>
          <w:bCs/>
        </w:rPr>
      </w:pPr>
      <w:r w:rsidRPr="00163FDE">
        <w:rPr>
          <w:b/>
          <w:bCs/>
        </w:rPr>
        <w:t>The physical transformer has one 33 kV HV winding and four 0.69 kV LV windings. In this study, it is represented in PSS/E by four separate two-winding transformer models connected to the same HV bus, Bus 101.</w:t>
      </w:r>
    </w:p>
    <w:p w14:paraId="72A01AF7" w14:textId="77777777" w:rsidR="00163FDE" w:rsidRPr="00163FDE" w:rsidRDefault="00163FDE" w:rsidP="00163FDE">
      <w:pPr>
        <w:rPr>
          <w:b/>
          <w:bCs/>
        </w:rPr>
      </w:pPr>
      <w:r w:rsidRPr="00163FDE">
        <w:rPr>
          <w:b/>
          <w:bCs/>
        </w:rPr>
        <w:t>Each model connects the common HV bus to one LV bus—201, 301, 401, or 501—and supplies its associated load. The four branches therefore represent the four HV-to-LV power-transfer paths of the physical transformer.</w:t>
      </w:r>
    </w:p>
    <w:p w14:paraId="03375E09" w14:textId="77777777" w:rsidR="00163FDE" w:rsidRPr="00163FDE" w:rsidRDefault="00163FDE" w:rsidP="00163FDE">
      <w:pPr>
        <w:rPr>
          <w:b/>
          <w:bCs/>
        </w:rPr>
      </w:pPr>
      <w:r w:rsidRPr="00163FDE">
        <w:rPr>
          <w:b/>
          <w:bCs/>
        </w:rPr>
        <w:t xml:space="preserve">For the adopted equal allocation, the total 13.2 MVA capacity is divided into 3.3 MVA per branch, and the </w:t>
      </w:r>
      <w:proofErr w:type="gramStart"/>
      <w:r w:rsidRPr="00163FDE">
        <w:rPr>
          <w:b/>
          <w:bCs/>
        </w:rPr>
        <w:t>130 kW</w:t>
      </w:r>
      <w:proofErr w:type="gramEnd"/>
      <w:r w:rsidRPr="00163FDE">
        <w:rPr>
          <w:b/>
          <w:bCs/>
        </w:rPr>
        <w:t xml:space="preserve"> rated load loss is allocated as 32.5 kW per branch. Transformer impedances must be expressed on the corresponding impedance bases; dividing the capacity alone does not determine the branch impedances.</w:t>
      </w:r>
    </w:p>
    <w:p w14:paraId="7E1F2CBF" w14:textId="77777777" w:rsidR="00163FDE" w:rsidRPr="00163FDE" w:rsidRDefault="00163FDE" w:rsidP="00163FDE">
      <w:pPr>
        <w:rPr>
          <w:b/>
          <w:bCs/>
        </w:rPr>
      </w:pPr>
      <w:r w:rsidRPr="00163FDE">
        <w:rPr>
          <w:b/>
          <w:bCs/>
        </w:rPr>
        <w:t>This simplified representation allows the load flow to calculate the power flow and voltage at each LV circuit separately. The branches interact through their common HV bus, while the model does not explicitly represent the shared internal winding impedances and coupling of the physical five-winding transformer.</w:t>
      </w:r>
    </w:p>
    <w:p w14:paraId="528C39C1" w14:textId="77777777" w:rsidR="00163FDE" w:rsidRDefault="00163FDE" w:rsidP="00163FDE">
      <w:pPr>
        <w:rPr>
          <w:b/>
          <w:bCs/>
        </w:rPr>
      </w:pPr>
    </w:p>
    <w:p w14:paraId="0BFFFAD7" w14:textId="77777777" w:rsidR="00163FDE" w:rsidRDefault="00163FDE" w:rsidP="00163FDE">
      <w:pPr>
        <w:rPr>
          <w:b/>
          <w:bCs/>
        </w:rPr>
      </w:pPr>
    </w:p>
    <w:p w14:paraId="721C4DE3" w14:textId="689089B6" w:rsidR="00163FDE" w:rsidRPr="00163FDE" w:rsidRDefault="00163FDE" w:rsidP="00163FDE">
      <w:pPr>
        <w:rPr>
          <w:b/>
          <w:bCs/>
        </w:rPr>
      </w:pPr>
      <w:r w:rsidRPr="00163FDE">
        <w:rPr>
          <w:b/>
          <w:bCs/>
        </w:rPr>
        <w:t>Engineering interpretation of the load-flow results</w:t>
      </w:r>
    </w:p>
    <w:p w14:paraId="42E4ED2F" w14:textId="77777777" w:rsidR="00163FDE" w:rsidRPr="00163FDE" w:rsidRDefault="00163FDE" w:rsidP="00163FDE">
      <w:r w:rsidRPr="00163FDE">
        <w:t xml:space="preserve">The network supplies </w:t>
      </w:r>
      <w:r w:rsidRPr="00163FDE">
        <w:rPr>
          <w:b/>
          <w:bCs/>
        </w:rPr>
        <w:t>12.85 MW of connected load</w:t>
      </w:r>
      <w:r w:rsidRPr="00163FDE">
        <w:t xml:space="preserve"> through a 10 km, 33 kV transmission line and an inverter duty transformer serving four low-voltage circuits.</w:t>
      </w:r>
    </w:p>
    <w:p w14:paraId="636BF751" w14:textId="77777777" w:rsidR="00163FDE" w:rsidRPr="00163FDE" w:rsidRDefault="00163FDE" w:rsidP="00163FDE">
      <w:r w:rsidRPr="00163FDE">
        <w:rPr>
          <w:b/>
          <w:bCs/>
        </w:rPr>
        <w:t>Power balance and losses.</w:t>
      </w:r>
      <w:r w:rsidRPr="00163FDE">
        <w:t xml:space="preserve"> The grid supplies approximately </w:t>
      </w:r>
      <w:r w:rsidRPr="00163FDE">
        <w:rPr>
          <w:b/>
          <w:bCs/>
        </w:rPr>
        <w:t>13.1 MW</w:t>
      </w:r>
      <w:r w:rsidRPr="00163FDE">
        <w:t xml:space="preserve">, exceeding the connected demand by about </w:t>
      </w:r>
      <w:r w:rsidRPr="00163FDE">
        <w:rPr>
          <w:b/>
          <w:bCs/>
        </w:rPr>
        <w:t>0.25 MW</w:t>
      </w:r>
      <w:r w:rsidRPr="00163FDE">
        <w:t xml:space="preserve">. Based on the rounded diagram values, this represents approximately </w:t>
      </w:r>
      <w:r w:rsidRPr="00163FDE">
        <w:rPr>
          <w:b/>
          <w:bCs/>
        </w:rPr>
        <w:t>1.9% of grid input power</w:t>
      </w:r>
      <w:r w:rsidRPr="00163FDE">
        <w:t xml:space="preserve"> dissipated in the network. The difference reflects active-power losses in the line and transformer branches; exact loss allocation requires the branch report.</w:t>
      </w:r>
    </w:p>
    <w:p w14:paraId="3FFBD710" w14:textId="77777777" w:rsidR="00163FDE" w:rsidRPr="00163FDE" w:rsidRDefault="00163FDE" w:rsidP="00163FDE">
      <w:r w:rsidRPr="00163FDE">
        <w:rPr>
          <w:b/>
          <w:bCs/>
        </w:rPr>
        <w:t>Voltage profile.</w:t>
      </w:r>
      <w:r w:rsidRPr="00163FDE">
        <w:t xml:space="preserve"> The voltage decreases from </w:t>
      </w:r>
      <w:r w:rsidRPr="00163FDE">
        <w:rPr>
          <w:b/>
          <w:bCs/>
        </w:rPr>
        <w:t xml:space="preserve">1.00 </w:t>
      </w:r>
      <w:proofErr w:type="spellStart"/>
      <w:r w:rsidRPr="00163FDE">
        <w:rPr>
          <w:b/>
          <w:bCs/>
        </w:rPr>
        <w:t>pu</w:t>
      </w:r>
      <w:proofErr w:type="spellEnd"/>
      <w:r w:rsidRPr="00163FDE">
        <w:rPr>
          <w:b/>
          <w:bCs/>
        </w:rPr>
        <w:t xml:space="preserve"> at the grid connection</w:t>
      </w:r>
      <w:r w:rsidRPr="00163FDE">
        <w:t xml:space="preserve"> to approximately </w:t>
      </w:r>
      <w:r w:rsidRPr="00163FDE">
        <w:rPr>
          <w:b/>
          <w:bCs/>
        </w:rPr>
        <w:t xml:space="preserve">0.98 </w:t>
      </w:r>
      <w:proofErr w:type="spellStart"/>
      <w:r w:rsidRPr="00163FDE">
        <w:rPr>
          <w:b/>
          <w:bCs/>
        </w:rPr>
        <w:t>pu</w:t>
      </w:r>
      <w:proofErr w:type="spellEnd"/>
      <w:r w:rsidRPr="00163FDE">
        <w:rPr>
          <w:b/>
          <w:bCs/>
        </w:rPr>
        <w:t xml:space="preserve"> at the transformer HV bus</w:t>
      </w:r>
      <w:r w:rsidRPr="00163FDE">
        <w:t xml:space="preserve">. This indicates about </w:t>
      </w:r>
      <w:r w:rsidRPr="00163FDE">
        <w:rPr>
          <w:b/>
          <w:bCs/>
        </w:rPr>
        <w:t>2% voltage reduction along the transmission line</w:t>
      </w:r>
      <w:r w:rsidRPr="00163FDE">
        <w:t xml:space="preserve"> under the modeled loading. The LV buses also display approximately 0.98 </w:t>
      </w:r>
      <w:proofErr w:type="spellStart"/>
      <w:r w:rsidRPr="00163FDE">
        <w:t>pu</w:t>
      </w:r>
      <w:proofErr w:type="spellEnd"/>
      <w:r w:rsidRPr="00163FDE">
        <w:t>. Because the diagram rounds voltages to two decimal places, a smaller additional transformer voltage drop may be present without appearing in the displayed values.</w:t>
      </w:r>
    </w:p>
    <w:p w14:paraId="3B764539" w14:textId="77777777" w:rsidR="00163FDE" w:rsidRPr="00163FDE" w:rsidRDefault="00163FDE" w:rsidP="00163FDE">
      <w:r w:rsidRPr="00163FDE">
        <w:rPr>
          <w:b/>
          <w:bCs/>
        </w:rPr>
        <w:t>Reactive-power demand.</w:t>
      </w:r>
      <w:r w:rsidRPr="00163FDE">
        <w:t xml:space="preserve"> The grid supplies approximately </w:t>
      </w:r>
      <w:r w:rsidRPr="00163FDE">
        <w:rPr>
          <w:b/>
          <w:bCs/>
        </w:rPr>
        <w:t>0.6 MVAr</w:t>
      </w:r>
      <w:r w:rsidRPr="00163FDE">
        <w:t xml:space="preserve">, while the loads display approximately zero reactive demand. This indicates that the network itself </w:t>
      </w:r>
      <w:r w:rsidRPr="00163FDE">
        <w:lastRenderedPageBreak/>
        <w:t xml:space="preserve">contributes to the reactive-power requirement, principally through its series </w:t>
      </w:r>
      <w:proofErr w:type="spellStart"/>
      <w:r w:rsidRPr="00163FDE">
        <w:t>reactances</w:t>
      </w:r>
      <w:proofErr w:type="spellEnd"/>
      <w:r w:rsidRPr="00163FDE">
        <w:t>, with line charging providing a partial offset. The grid therefore supplies both the active load and the reactive power required to sustain the network voltage profile.</w:t>
      </w:r>
    </w:p>
    <w:p w14:paraId="434A6F54" w14:textId="77777777" w:rsidR="00163FDE" w:rsidRPr="00163FDE" w:rsidRDefault="00163FDE" w:rsidP="00163FDE">
      <w:r w:rsidRPr="00163FDE">
        <w:rPr>
          <w:b/>
          <w:bCs/>
        </w:rPr>
        <w:t>Distribution of load.</w:t>
      </w:r>
      <w:r w:rsidRPr="00163FDE">
        <w:t xml:space="preserve"> The two 3.300 MW circuits and two 3.125 MW circuits have similar active-power demands. With the assumed </w:t>
      </w:r>
      <w:r w:rsidRPr="00163FDE">
        <w:rPr>
          <w:b/>
          <w:bCs/>
        </w:rPr>
        <w:t>3.3 MVA allocation per LV winding</w:t>
      </w:r>
      <w:r w:rsidRPr="00163FDE">
        <w:t xml:space="preserve"> and approximately unity-power-factor loads, the larger circuits operate near their allocated rating, while the smaller circuits use approximately </w:t>
      </w:r>
      <w:r w:rsidRPr="00163FDE">
        <w:rPr>
          <w:b/>
          <w:bCs/>
        </w:rPr>
        <w:t>94.7%</w:t>
      </w:r>
      <w:r w:rsidRPr="00163FDE">
        <w:t xml:space="preserve"> before allowing for voltage effects and losses. This leaves limited capacity for additional demand or a lower load power factor.</w:t>
      </w:r>
    </w:p>
    <w:p w14:paraId="199DB845" w14:textId="77777777" w:rsidR="00163FDE" w:rsidRPr="00163FDE" w:rsidRDefault="00163FDE" w:rsidP="00163FDE">
      <w:r w:rsidRPr="00163FDE">
        <w:rPr>
          <w:b/>
          <w:bCs/>
        </w:rPr>
        <w:t>Engineering conclusion.</w:t>
      </w:r>
      <w:r w:rsidRPr="00163FDE">
        <w:t xml:space="preserve"> The displayed operating point shows the grid supplying the four loads with a modest downstream voltage reduction. The main planning consideration is the limited capacity margin of the LV transformer circuits. Further assessment should examine winding loading, reactive load demand, and voltage performance as demand increases.</w:t>
      </w:r>
    </w:p>
    <w:p w14:paraId="01FE6C07" w14:textId="77777777" w:rsidR="00163FDE" w:rsidRDefault="00163FDE"/>
    <w:sectPr w:rsidR="00163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DE"/>
    <w:rsid w:val="00163FDE"/>
    <w:rsid w:val="00437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37D5"/>
  <w15:chartTrackingRefBased/>
  <w15:docId w15:val="{DFCE6CEB-EFCB-47DC-A2C4-AA1C7B6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DE"/>
    <w:rPr>
      <w:rFonts w:eastAsiaTheme="majorEastAsia" w:cstheme="majorBidi"/>
      <w:color w:val="272727" w:themeColor="text1" w:themeTint="D8"/>
    </w:rPr>
  </w:style>
  <w:style w:type="paragraph" w:styleId="Title">
    <w:name w:val="Title"/>
    <w:basedOn w:val="Normal"/>
    <w:next w:val="Normal"/>
    <w:link w:val="TitleChar"/>
    <w:uiPriority w:val="10"/>
    <w:qFormat/>
    <w:rsid w:val="0016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DE"/>
    <w:pPr>
      <w:spacing w:before="160"/>
      <w:jc w:val="center"/>
    </w:pPr>
    <w:rPr>
      <w:i/>
      <w:iCs/>
      <w:color w:val="404040" w:themeColor="text1" w:themeTint="BF"/>
    </w:rPr>
  </w:style>
  <w:style w:type="character" w:customStyle="1" w:styleId="QuoteChar">
    <w:name w:val="Quote Char"/>
    <w:basedOn w:val="DefaultParagraphFont"/>
    <w:link w:val="Quote"/>
    <w:uiPriority w:val="29"/>
    <w:rsid w:val="00163FDE"/>
    <w:rPr>
      <w:i/>
      <w:iCs/>
      <w:color w:val="404040" w:themeColor="text1" w:themeTint="BF"/>
    </w:rPr>
  </w:style>
  <w:style w:type="paragraph" w:styleId="ListParagraph">
    <w:name w:val="List Paragraph"/>
    <w:basedOn w:val="Normal"/>
    <w:uiPriority w:val="34"/>
    <w:qFormat/>
    <w:rsid w:val="00163FDE"/>
    <w:pPr>
      <w:ind w:left="720"/>
      <w:contextualSpacing/>
    </w:pPr>
  </w:style>
  <w:style w:type="character" w:styleId="IntenseEmphasis">
    <w:name w:val="Intense Emphasis"/>
    <w:basedOn w:val="DefaultParagraphFont"/>
    <w:uiPriority w:val="21"/>
    <w:qFormat/>
    <w:rsid w:val="00163FDE"/>
    <w:rPr>
      <w:i/>
      <w:iCs/>
      <w:color w:val="0F4761" w:themeColor="accent1" w:themeShade="BF"/>
    </w:rPr>
  </w:style>
  <w:style w:type="paragraph" w:styleId="IntenseQuote">
    <w:name w:val="Intense Quote"/>
    <w:basedOn w:val="Normal"/>
    <w:next w:val="Normal"/>
    <w:link w:val="IntenseQuoteChar"/>
    <w:uiPriority w:val="30"/>
    <w:qFormat/>
    <w:rsid w:val="0016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FDE"/>
    <w:rPr>
      <w:i/>
      <w:iCs/>
      <w:color w:val="0F4761" w:themeColor="accent1" w:themeShade="BF"/>
    </w:rPr>
  </w:style>
  <w:style w:type="character" w:styleId="IntenseReference">
    <w:name w:val="Intense Reference"/>
    <w:basedOn w:val="DefaultParagraphFont"/>
    <w:uiPriority w:val="32"/>
    <w:qFormat/>
    <w:rsid w:val="00163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Rabih Kamal</dc:creator>
  <cp:keywords/>
  <dc:description/>
  <cp:lastModifiedBy>Rabih Kamal</cp:lastModifiedBy>
  <cp:revision>1</cp:revision>
  <dcterms:created xsi:type="dcterms:W3CDTF">2026-10-07T08:01:00Z</dcterms:created>
  <dcterms:modified xsi:type="dcterms:W3CDTF">2026-10-07T08:02:00Z</dcterms:modified>
</cp:coreProperties>
</file>