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241B55"/>
    <w:p w14:paraId="1BAF5765"/>
    <w:p w14:paraId="0C737720"/>
    <w:p w14:paraId="348D4968"/>
    <w:p w14:paraId="79C28A87">
      <w:pPr>
        <w:jc w:val="center"/>
      </w:pPr>
      <w:r>
        <w:rPr>
          <w:rFonts w:ascii="Calibri" w:hAnsi="微软雅黑" w:eastAsia="微软雅黑"/>
          <w:b/>
          <w:color w:val="0048A0"/>
          <w:sz w:val="32"/>
        </w:rPr>
        <w:t>中国商用飞机有限责任公司</w:t>
      </w:r>
    </w:p>
    <w:p w14:paraId="5626D15B">
      <w:pPr>
        <w:spacing w:before="560"/>
        <w:jc w:val="center"/>
      </w:pPr>
      <w:r>
        <w:rPr>
          <w:rFonts w:ascii="Calibri" w:hAnsi="微软雅黑" w:eastAsia="微软雅黑"/>
          <w:b/>
          <w:color w:val="0048A0"/>
          <w:sz w:val="56"/>
        </w:rPr>
        <w:t>科研项目信息化管理平台</w:t>
      </w:r>
    </w:p>
    <w:p w14:paraId="4F20D4EB">
      <w:pPr>
        <w:spacing w:before="160"/>
        <w:jc w:val="center"/>
      </w:pPr>
      <w:r>
        <w:rPr>
          <w:rFonts w:ascii="Calibri" w:hAnsi="微软雅黑" w:eastAsia="微软雅黑"/>
          <w:b/>
          <w:color w:val="0064EF"/>
          <w:sz w:val="44"/>
        </w:rPr>
        <w:t>使  用  说  明</w:t>
      </w:r>
    </w:p>
    <w:p w14:paraId="25230FBA">
      <w:pPr>
        <w:spacing w:before="360"/>
        <w:jc w:val="center"/>
      </w:pPr>
      <w:r>
        <w:rPr>
          <w:rFonts w:ascii="Calibri" w:hAnsi="微软雅黑" w:eastAsia="微软雅黑"/>
          <w:b w:val="0"/>
          <w:color w:val="8C8C8C"/>
          <w:sz w:val="24"/>
        </w:rPr>
        <w:t>面向业务用户与系统管理员</w:t>
      </w:r>
    </w:p>
    <w:p w14:paraId="3E0003B9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803"/>
      </w:tblGrid>
      <w:tr w14:paraId="1BCC9F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0048A0"/>
            <w:vAlign w:val="center"/>
          </w:tcPr>
          <w:p w14:paraId="10A557A5">
            <w:pPr>
              <w:spacing w:before="40" w:after="40" w:line="276" w:lineRule="auto"/>
              <w:jc w:val="center"/>
            </w:pPr>
            <w:r>
              <w:rPr>
                <w:rFonts w:ascii="Calibri" w:hAnsi="微软雅黑" w:eastAsia="微软雅黑"/>
                <w:b/>
                <w:color w:val="FFFFFF"/>
                <w:sz w:val="21"/>
              </w:rPr>
              <w:t>文档编号</w:t>
            </w:r>
          </w:p>
        </w:tc>
        <w:tc>
          <w:tcPr>
            <w:tcW w:w="6803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1A5F2BCB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1"/>
              </w:rPr>
              <w:t>SRPM-UM-20260828</w:t>
            </w:r>
          </w:p>
        </w:tc>
      </w:tr>
      <w:tr w14:paraId="26F188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0048A0"/>
            <w:vAlign w:val="center"/>
          </w:tcPr>
          <w:p w14:paraId="21EC3BA3">
            <w:pPr>
              <w:spacing w:before="40" w:after="40" w:line="276" w:lineRule="auto"/>
              <w:jc w:val="center"/>
            </w:pPr>
            <w:r>
              <w:rPr>
                <w:rFonts w:ascii="Calibri" w:hAnsi="微软雅黑" w:eastAsia="微软雅黑"/>
                <w:b/>
                <w:color w:val="FFFFFF"/>
                <w:sz w:val="21"/>
              </w:rPr>
              <w:t>适用版本</w:t>
            </w:r>
          </w:p>
        </w:tc>
        <w:tc>
          <w:tcPr>
            <w:tcW w:w="6803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57E9076C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1"/>
              </w:rPr>
              <w:t>现网平台（默认端口 18087）及目标栈 Vue3 + Spring Boot</w:t>
            </w:r>
          </w:p>
        </w:tc>
      </w:tr>
      <w:tr w14:paraId="084BB1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0048A0"/>
            <w:vAlign w:val="center"/>
          </w:tcPr>
          <w:p w14:paraId="1D41C58F">
            <w:pPr>
              <w:spacing w:before="40" w:after="40" w:line="276" w:lineRule="auto"/>
              <w:jc w:val="center"/>
            </w:pPr>
            <w:r>
              <w:rPr>
                <w:rFonts w:ascii="Calibri" w:hAnsi="微软雅黑" w:eastAsia="微软雅黑"/>
                <w:b/>
                <w:color w:val="FFFFFF"/>
                <w:sz w:val="21"/>
              </w:rPr>
              <w:t>编制日期</w:t>
            </w:r>
          </w:p>
        </w:tc>
        <w:tc>
          <w:tcPr>
            <w:tcW w:w="6803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75DCCC15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1"/>
              </w:rPr>
              <w:t>2026年8月28日</w:t>
            </w:r>
          </w:p>
        </w:tc>
      </w:tr>
      <w:tr w14:paraId="173B62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0048A0"/>
            <w:vAlign w:val="center"/>
          </w:tcPr>
          <w:p w14:paraId="431DB472">
            <w:pPr>
              <w:spacing w:before="40" w:after="40" w:line="276" w:lineRule="auto"/>
              <w:jc w:val="center"/>
            </w:pPr>
            <w:r>
              <w:rPr>
                <w:rFonts w:ascii="Calibri" w:hAnsi="微软雅黑" w:eastAsia="微软雅黑"/>
                <w:b/>
                <w:color w:val="FFFFFF"/>
                <w:sz w:val="21"/>
              </w:rPr>
              <w:t>密级</w:t>
            </w:r>
          </w:p>
        </w:tc>
        <w:tc>
          <w:tcPr>
            <w:tcW w:w="6803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3364FE39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1"/>
              </w:rPr>
              <w:t>内部</w:t>
            </w:r>
          </w:p>
        </w:tc>
      </w:tr>
    </w:tbl>
    <w:p w14:paraId="18BF40B2">
      <w:r>
        <w:br w:type="page"/>
      </w:r>
    </w:p>
    <w:p w14:paraId="6AF74CD5">
      <w:pPr>
        <w:pStyle w:val="3"/>
        <w:spacing w:before="320" w:after="160"/>
      </w:pPr>
      <w:r>
        <w:rPr>
          <w:rFonts w:ascii="Calibri" w:hAnsi="微软雅黑" w:eastAsia="微软雅黑"/>
          <w:b/>
          <w:color w:val="0048A0"/>
          <w:sz w:val="32"/>
        </w:rPr>
        <w:t>目录</w:t>
      </w:r>
    </w:p>
    <w:p w14:paraId="14AE4603">
      <w:pPr>
        <w:spacing w:after="80" w:line="336" w:lineRule="auto"/>
      </w:pPr>
      <w:r>
        <w:rPr>
          <w:rFonts w:ascii="Calibri" w:hAnsi="微软雅黑" w:eastAsia="微软雅黑"/>
          <w:b w:val="0"/>
          <w:color w:val="1F1F1F"/>
          <w:sz w:val="24"/>
        </w:rPr>
        <w:t>1  文档说明与阅读对象</w:t>
      </w:r>
    </w:p>
    <w:p w14:paraId="4306BFB7">
      <w:pPr>
        <w:spacing w:after="80" w:line="336" w:lineRule="auto"/>
      </w:pPr>
      <w:r>
        <w:rPr>
          <w:rFonts w:ascii="Calibri" w:hAnsi="微软雅黑" w:eastAsia="微软雅黑"/>
          <w:b w:val="0"/>
          <w:color w:val="1F1F1F"/>
          <w:sz w:val="24"/>
        </w:rPr>
        <w:t>2  平台简介</w:t>
      </w:r>
    </w:p>
    <w:p w14:paraId="3C816223">
      <w:pPr>
        <w:spacing w:after="80" w:line="336" w:lineRule="auto"/>
      </w:pPr>
      <w:r>
        <w:rPr>
          <w:rFonts w:ascii="Calibri" w:hAnsi="微软雅黑" w:eastAsia="微软雅黑"/>
          <w:b w:val="0"/>
          <w:color w:val="1F1F1F"/>
          <w:sz w:val="24"/>
        </w:rPr>
        <w:t>3  登录与退出</w:t>
      </w:r>
    </w:p>
    <w:p w14:paraId="2603D5B9">
      <w:pPr>
        <w:spacing w:after="80" w:line="336" w:lineRule="auto"/>
      </w:pPr>
      <w:r>
        <w:rPr>
          <w:rFonts w:ascii="Calibri" w:hAnsi="微软雅黑" w:eastAsia="微软雅黑"/>
          <w:b w:val="0"/>
          <w:color w:val="1F1F1F"/>
          <w:sz w:val="24"/>
        </w:rPr>
        <w:t>4  角色、权限与数据范围</w:t>
      </w:r>
    </w:p>
    <w:p w14:paraId="3B0A6E62">
      <w:pPr>
        <w:spacing w:after="80" w:line="336" w:lineRule="auto"/>
      </w:pPr>
      <w:r>
        <w:rPr>
          <w:rFonts w:ascii="Calibri" w:hAnsi="微软雅黑" w:eastAsia="微软雅黑"/>
          <w:b w:val="0"/>
          <w:color w:val="1F1F1F"/>
          <w:sz w:val="24"/>
        </w:rPr>
        <w:t>5  界面与导航</w:t>
      </w:r>
    </w:p>
    <w:p w14:paraId="287BB212">
      <w:pPr>
        <w:spacing w:after="80" w:line="336" w:lineRule="auto"/>
      </w:pPr>
      <w:r>
        <w:rPr>
          <w:rFonts w:ascii="Calibri" w:hAnsi="微软雅黑" w:eastAsia="微软雅黑"/>
          <w:b w:val="0"/>
          <w:color w:val="1F1F1F"/>
          <w:sz w:val="24"/>
        </w:rPr>
        <w:t>6  可视化驾驶舱</w:t>
      </w:r>
    </w:p>
    <w:p w14:paraId="59D1792F">
      <w:pPr>
        <w:spacing w:after="80" w:line="336" w:lineRule="auto"/>
      </w:pPr>
      <w:r>
        <w:rPr>
          <w:rFonts w:ascii="Calibri" w:hAnsi="微软雅黑" w:eastAsia="微软雅黑"/>
          <w:b w:val="0"/>
          <w:color w:val="1F1F1F"/>
          <w:sz w:val="24"/>
        </w:rPr>
        <w:t>7  项目台账</w:t>
      </w:r>
    </w:p>
    <w:p w14:paraId="4B04639D">
      <w:pPr>
        <w:spacing w:after="80" w:line="336" w:lineRule="auto"/>
      </w:pPr>
      <w:r>
        <w:rPr>
          <w:rFonts w:ascii="Calibri" w:hAnsi="微软雅黑" w:eastAsia="微软雅黑"/>
          <w:b w:val="0"/>
          <w:color w:val="1F1F1F"/>
          <w:sz w:val="24"/>
        </w:rPr>
        <w:t>8  项目全周期（申报—实施—验收）</w:t>
      </w:r>
    </w:p>
    <w:p w14:paraId="74276B19">
      <w:pPr>
        <w:spacing w:after="80" w:line="336" w:lineRule="auto"/>
      </w:pPr>
      <w:r>
        <w:rPr>
          <w:rFonts w:ascii="Calibri" w:hAnsi="微软雅黑" w:eastAsia="微软雅黑"/>
          <w:b w:val="0"/>
          <w:color w:val="1F1F1F"/>
          <w:sz w:val="24"/>
        </w:rPr>
        <w:t>9  表单维护</w:t>
      </w:r>
    </w:p>
    <w:p w14:paraId="6C74B554">
      <w:pPr>
        <w:spacing w:after="80" w:line="336" w:lineRule="auto"/>
      </w:pPr>
      <w:r>
        <w:rPr>
          <w:rFonts w:ascii="Calibri" w:hAnsi="微软雅黑" w:eastAsia="微软雅黑"/>
          <w:b w:val="0"/>
          <w:color w:val="1F1F1F"/>
          <w:sz w:val="24"/>
        </w:rPr>
        <w:t>10  配置中心（成员、人员、渠道）</w:t>
      </w:r>
    </w:p>
    <w:p w14:paraId="2B1C2B2A">
      <w:pPr>
        <w:spacing w:after="80" w:line="336" w:lineRule="auto"/>
      </w:pPr>
      <w:r>
        <w:rPr>
          <w:rFonts w:ascii="Calibri" w:hAnsi="微软雅黑" w:eastAsia="微软雅黑"/>
          <w:b w:val="0"/>
          <w:color w:val="1F1F1F"/>
          <w:sz w:val="24"/>
        </w:rPr>
        <w:t>11  一级专业 / 二级专业填写规则</w:t>
      </w:r>
    </w:p>
    <w:p w14:paraId="63C8EAB5">
      <w:pPr>
        <w:spacing w:after="80" w:line="336" w:lineRule="auto"/>
      </w:pPr>
      <w:r>
        <w:rPr>
          <w:rFonts w:ascii="Calibri" w:hAnsi="微软雅黑" w:eastAsia="微软雅黑"/>
          <w:b w:val="0"/>
          <w:color w:val="1F1F1F"/>
          <w:sz w:val="24"/>
        </w:rPr>
        <w:t>12  演示与验收账号</w:t>
      </w:r>
    </w:p>
    <w:p w14:paraId="1C0EB188">
      <w:pPr>
        <w:spacing w:after="80" w:line="336" w:lineRule="auto"/>
      </w:pPr>
      <w:r>
        <w:rPr>
          <w:rFonts w:ascii="Calibri" w:hAnsi="微软雅黑" w:eastAsia="微软雅黑"/>
          <w:b w:val="0"/>
          <w:color w:val="1F1F1F"/>
          <w:sz w:val="24"/>
        </w:rPr>
        <w:t>13  常见问题</w:t>
      </w:r>
    </w:p>
    <w:p w14:paraId="00556403">
      <w:pPr>
        <w:spacing w:after="80" w:line="336" w:lineRule="auto"/>
      </w:pPr>
      <w:r>
        <w:rPr>
          <w:rFonts w:ascii="Calibri" w:hAnsi="微软雅黑" w:eastAsia="微软雅黑"/>
          <w:b w:val="0"/>
          <w:color w:val="1F1F1F"/>
          <w:sz w:val="24"/>
        </w:rPr>
        <w:t>14  附录  目标栈（Vue3 + Spring Boot）对照</w:t>
      </w:r>
    </w:p>
    <w:p w14:paraId="30F2C86E">
      <w:r>
        <w:br w:type="page"/>
      </w:r>
    </w:p>
    <w:p w14:paraId="2A174B25">
      <w:pPr>
        <w:pStyle w:val="3"/>
        <w:spacing w:before="320" w:after="160"/>
      </w:pPr>
      <w:r>
        <w:rPr>
          <w:rFonts w:ascii="Calibri" w:hAnsi="微软雅黑" w:eastAsia="微软雅黑"/>
          <w:b/>
          <w:color w:val="0048A0"/>
          <w:sz w:val="32"/>
        </w:rPr>
        <w:t>1  文档说明与阅读对象</w:t>
      </w:r>
    </w:p>
    <w:p w14:paraId="20DA99BC">
      <w:pPr>
        <w:spacing w:before="0" w:after="160" w:line="324" w:lineRule="auto"/>
        <w:ind w:firstLine="420"/>
      </w:pPr>
      <w:r>
        <w:rPr>
          <w:rFonts w:ascii="Calibri" w:hAnsi="微软雅黑" w:eastAsia="微软雅黑"/>
          <w:b w:val="0"/>
          <w:color w:val="1F1F1F"/>
          <w:sz w:val="22"/>
        </w:rPr>
        <w:t>本文说明「科研项目信息化管理平台」（以下简称平台）的日常操作方法，供项目团队、管理团队、责任总师、财务人员、公司领导及系统管理员使用。</w:t>
      </w:r>
    </w:p>
    <w:p w14:paraId="5FF014A3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业务用户：登录、查看驾驶舱与台账、申报与审签、经费与成果相关操作。</w:t>
      </w:r>
    </w:p>
    <w:p w14:paraId="00142EBE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系统管理员：账号开通、表单维护授权、渠道字典与审计。</w:t>
      </w:r>
    </w:p>
    <w:p w14:paraId="680F3ADD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验收人员：按第 12 章账号核对菜单可见性与数据范围。</w:t>
      </w:r>
    </w:p>
    <w:p w14:paraId="3D3963F8">
      <w:pPr>
        <w:pStyle w:val="3"/>
        <w:spacing w:before="320" w:after="160"/>
      </w:pPr>
      <w:r>
        <w:rPr>
          <w:rFonts w:ascii="Calibri" w:hAnsi="微软雅黑" w:eastAsia="微软雅黑"/>
          <w:b/>
          <w:color w:val="0048A0"/>
          <w:sz w:val="32"/>
        </w:rPr>
        <w:t>2  平台简介</w:t>
      </w:r>
    </w:p>
    <w:p w14:paraId="4BFA8249">
      <w:pPr>
        <w:spacing w:before="0" w:after="160" w:line="324" w:lineRule="auto"/>
        <w:ind w:firstLine="420"/>
      </w:pPr>
      <w:r>
        <w:rPr>
          <w:rFonts w:ascii="Calibri" w:hAnsi="微软雅黑" w:eastAsia="微软雅黑"/>
          <w:b w:val="0"/>
          <w:color w:val="1F1F1F"/>
          <w:sz w:val="22"/>
        </w:rPr>
        <w:t>平台用于预先研究项目的分类管控、台账归集、可视化分析与表单维护，界面遵循经营管理类系统统一风格（顶栏商飞蓝 #0048A0，主操作色 #0064EF，浅色后台）。</w:t>
      </w:r>
    </w:p>
    <w:p w14:paraId="00388771">
      <w:pPr>
        <w:pStyle w:val="4"/>
        <w:spacing w:before="240" w:after="160"/>
      </w:pPr>
      <w:r>
        <w:rPr>
          <w:rFonts w:ascii="Calibri" w:hAnsi="微软雅黑" w:eastAsia="微软雅黑"/>
          <w:b/>
          <w:color w:val="0048A0"/>
          <w:sz w:val="27"/>
        </w:rPr>
        <w:t>2.1  主要能力</w:t>
      </w:r>
    </w:p>
    <w:p w14:paraId="22B21133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项目分类：国家级 / 地方级 / 公司级三级层级，渠道字典入库，分类统计与展示。</w:t>
      </w:r>
    </w:p>
    <w:p w14:paraId="01E7FD84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项目台账：由立项、里程碑、经费、交付物等流程数据归集生成，支持筛选与导出（按角色）。</w:t>
      </w:r>
    </w:p>
    <w:p w14:paraId="53A6402A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可视化驾驶舱：项目规模、层级分布、渠道、单位、预警等分析；领导可进入科技管理数智大屏。</w:t>
      </w:r>
    </w:p>
    <w:p w14:paraId="4B1F543D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立项申报：按渠道选择材料清单；支持建议书/任务书上传与结构化预填；九级审签或报备归档。</w:t>
      </w:r>
    </w:p>
    <w:p w14:paraId="215DD33B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实施与验收：基本信息补全、计划与里程碑、变更、经费核销、交付物、成果转化、后评价。</w:t>
      </w:r>
    </w:p>
    <w:p w14:paraId="3B081E46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表单维护：预先研究项目总表/分表导入导出、校验、列配置（需单独授权）。</w:t>
      </w:r>
    </w:p>
    <w:p w14:paraId="49879100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人员与账号：登录账号与人员名录分离；人员可对接原组织人员接口。</w:t>
      </w:r>
    </w:p>
    <w:p w14:paraId="7AA895C4">
      <w:pPr>
        <w:pStyle w:val="4"/>
        <w:spacing w:before="240" w:after="160"/>
      </w:pPr>
      <w:r>
        <w:rPr>
          <w:rFonts w:ascii="Calibri" w:hAnsi="微软雅黑" w:eastAsia="微软雅黑"/>
          <w:b/>
          <w:color w:val="0048A0"/>
          <w:sz w:val="27"/>
        </w:rPr>
        <w:t>2.2  单位范围</w:t>
      </w:r>
    </w:p>
    <w:p w14:paraId="519A3E54">
      <w:pPr>
        <w:spacing w:before="0" w:after="160" w:line="324" w:lineRule="auto"/>
        <w:ind w:firstLine="420"/>
      </w:pPr>
      <w:r>
        <w:rPr>
          <w:rFonts w:ascii="Calibri" w:hAnsi="微软雅黑" w:eastAsia="微软雅黑"/>
          <w:b w:val="0"/>
          <w:color w:val="1F1F1F"/>
          <w:sz w:val="22"/>
        </w:rPr>
        <w:t>系统预置承担单位（简称）如下，用于台账筛选、数据权限与人员归属：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6"/>
        <w:gridCol w:w="2296"/>
        <w:gridCol w:w="2296"/>
      </w:tblGrid>
      <w:tr w14:paraId="2E3C5E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0048A0"/>
            <w:vAlign w:val="center"/>
          </w:tcPr>
          <w:p w14:paraId="2CC3E529">
            <w:pPr>
              <w:spacing w:before="40" w:after="40" w:line="276" w:lineRule="auto"/>
              <w:jc w:val="center"/>
            </w:pPr>
            <w:r>
              <w:rPr>
                <w:rFonts w:ascii="Calibri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w="2296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0048A0"/>
            <w:vAlign w:val="center"/>
          </w:tcPr>
          <w:p w14:paraId="3369A191">
            <w:pPr>
              <w:spacing w:before="40" w:after="40" w:line="276" w:lineRule="auto"/>
              <w:jc w:val="center"/>
            </w:pPr>
            <w:r>
              <w:rPr>
                <w:rFonts w:ascii="Calibri" w:hAnsi="微软雅黑" w:eastAsia="微软雅黑"/>
                <w:b/>
                <w:color w:val="FFFFFF"/>
                <w:sz w:val="20"/>
              </w:rPr>
              <w:t>单位全称</w:t>
            </w:r>
          </w:p>
        </w:tc>
        <w:tc>
          <w:tcPr>
            <w:tcW w:w="2296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0048A0"/>
            <w:vAlign w:val="center"/>
          </w:tcPr>
          <w:p w14:paraId="02EF4726">
            <w:pPr>
              <w:spacing w:before="40" w:after="40" w:line="276" w:lineRule="auto"/>
              <w:jc w:val="center"/>
            </w:pPr>
            <w:r>
              <w:rPr>
                <w:rFonts w:ascii="Calibri" w:hAnsi="微软雅黑" w:eastAsia="微软雅黑"/>
                <w:b/>
                <w:color w:val="FFFFFF"/>
                <w:sz w:val="20"/>
              </w:rPr>
              <w:t>简称</w:t>
            </w:r>
          </w:p>
        </w:tc>
        <w:tc>
          <w:tcPr>
            <w:tcW w:w="2296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0048A0"/>
            <w:vAlign w:val="center"/>
          </w:tcPr>
          <w:p w14:paraId="1E2725F1">
            <w:pPr>
              <w:spacing w:before="40" w:after="40" w:line="276" w:lineRule="auto"/>
              <w:jc w:val="center"/>
            </w:pPr>
            <w:r>
              <w:rPr>
                <w:rFonts w:ascii="Calibri" w:hAnsi="微软雅黑" w:eastAsia="微软雅黑"/>
                <w:b/>
                <w:color w:val="FFFFFF"/>
                <w:sz w:val="20"/>
              </w:rPr>
              <w:t>类型</w:t>
            </w:r>
          </w:p>
        </w:tc>
      </w:tr>
      <w:tr w14:paraId="197F03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35169B55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1</w:t>
            </w:r>
          </w:p>
        </w:tc>
        <w:tc>
          <w:tcPr>
            <w:tcW w:w="2296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50A1DD7B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上海飞机设计研究院</w:t>
            </w:r>
          </w:p>
        </w:tc>
        <w:tc>
          <w:tcPr>
            <w:tcW w:w="2296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106090FE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上飞院</w:t>
            </w:r>
          </w:p>
        </w:tc>
        <w:tc>
          <w:tcPr>
            <w:tcW w:w="2296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14109A30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二级单位</w:t>
            </w:r>
          </w:p>
        </w:tc>
      </w:tr>
      <w:tr w14:paraId="241A2B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674D7D23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2</w:t>
            </w:r>
          </w:p>
        </w:tc>
        <w:tc>
          <w:tcPr>
            <w:tcW w:w="2296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39CE5B1F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上海飞机制造有限公司</w:t>
            </w:r>
          </w:p>
        </w:tc>
        <w:tc>
          <w:tcPr>
            <w:tcW w:w="2296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0657E0F2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上飞公司</w:t>
            </w:r>
          </w:p>
        </w:tc>
        <w:tc>
          <w:tcPr>
            <w:tcW w:w="2296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5F430B8A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二级单位</w:t>
            </w:r>
          </w:p>
        </w:tc>
      </w:tr>
      <w:tr w14:paraId="5AAC24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5D76D0CB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3</w:t>
            </w:r>
          </w:p>
        </w:tc>
        <w:tc>
          <w:tcPr>
            <w:tcW w:w="2296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508B6244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北京民用飞机技术研究中心</w:t>
            </w:r>
          </w:p>
        </w:tc>
        <w:tc>
          <w:tcPr>
            <w:tcW w:w="2296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602C9E50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北研中心</w:t>
            </w:r>
          </w:p>
        </w:tc>
        <w:tc>
          <w:tcPr>
            <w:tcW w:w="2296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071A57BA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二级单位</w:t>
            </w:r>
          </w:p>
        </w:tc>
      </w:tr>
      <w:tr w14:paraId="04B977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5DF44AAE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4</w:t>
            </w:r>
          </w:p>
        </w:tc>
        <w:tc>
          <w:tcPr>
            <w:tcW w:w="2296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371C4EDC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上海飞机客户服务有限公司</w:t>
            </w:r>
          </w:p>
        </w:tc>
        <w:tc>
          <w:tcPr>
            <w:tcW w:w="2296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6C0E72E9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客服公司</w:t>
            </w:r>
          </w:p>
        </w:tc>
        <w:tc>
          <w:tcPr>
            <w:tcW w:w="2296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1D28F332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二级单位</w:t>
            </w:r>
          </w:p>
        </w:tc>
      </w:tr>
      <w:tr w14:paraId="4E1A48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5E284C52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5</w:t>
            </w:r>
          </w:p>
        </w:tc>
        <w:tc>
          <w:tcPr>
            <w:tcW w:w="2296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1C9E8975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民用飞机试飞中心</w:t>
            </w:r>
          </w:p>
        </w:tc>
        <w:tc>
          <w:tcPr>
            <w:tcW w:w="2296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6D928F41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试飞中心</w:t>
            </w:r>
          </w:p>
        </w:tc>
        <w:tc>
          <w:tcPr>
            <w:tcW w:w="2296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54B59DCE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二级单位</w:t>
            </w:r>
          </w:p>
        </w:tc>
      </w:tr>
      <w:tr w14:paraId="1AEE15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5C6DE4B9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6</w:t>
            </w:r>
          </w:p>
        </w:tc>
        <w:tc>
          <w:tcPr>
            <w:tcW w:w="2296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6DC6FEA5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复合材料与基础能力中心</w:t>
            </w:r>
          </w:p>
        </w:tc>
        <w:tc>
          <w:tcPr>
            <w:tcW w:w="2296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7DE8DDC9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基础能力中心</w:t>
            </w:r>
          </w:p>
        </w:tc>
        <w:tc>
          <w:tcPr>
            <w:tcW w:w="2296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2A6DFF0C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二级单位</w:t>
            </w:r>
          </w:p>
        </w:tc>
      </w:tr>
      <w:tr w14:paraId="1C4239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67369FA5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7</w:t>
            </w:r>
          </w:p>
        </w:tc>
        <w:tc>
          <w:tcPr>
            <w:tcW w:w="2296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10A213BC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公司总部科技管理部</w:t>
            </w:r>
          </w:p>
        </w:tc>
        <w:tc>
          <w:tcPr>
            <w:tcW w:w="2296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5E5A26B3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总部科技部</w:t>
            </w:r>
          </w:p>
        </w:tc>
        <w:tc>
          <w:tcPr>
            <w:tcW w:w="2296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64DC0004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总部</w:t>
            </w:r>
          </w:p>
        </w:tc>
      </w:tr>
    </w:tbl>
    <w:p w14:paraId="4DCCC78D"/>
    <w:p w14:paraId="7280A371">
      <w:pPr>
        <w:pStyle w:val="3"/>
        <w:spacing w:before="320" w:after="160"/>
      </w:pPr>
      <w:r>
        <w:rPr>
          <w:rFonts w:ascii="Calibri" w:hAnsi="微软雅黑" w:eastAsia="微软雅黑"/>
          <w:b/>
          <w:color w:val="0048A0"/>
          <w:sz w:val="32"/>
        </w:rPr>
        <w:t>3  登录与退出</w:t>
      </w:r>
    </w:p>
    <w:p w14:paraId="61BFC06E">
      <w:pPr>
        <w:pStyle w:val="4"/>
        <w:spacing w:before="240" w:after="160"/>
      </w:pPr>
      <w:r>
        <w:rPr>
          <w:rFonts w:ascii="Calibri" w:hAnsi="微软雅黑" w:eastAsia="微软雅黑"/>
          <w:b/>
          <w:color w:val="0048A0"/>
          <w:sz w:val="27"/>
        </w:rPr>
        <w:t>3.1  打开系统</w:t>
      </w:r>
    </w:p>
    <w:p w14:paraId="310DB7D0">
      <w:pPr>
        <w:pStyle w:val="14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使用 Chrome 或 Edge 最新版，访问 http://目标机IP:18087/（端口以现场 .env 中 SRPM_PORT 为准）。</w:t>
      </w:r>
    </w:p>
    <w:p w14:paraId="50720388">
      <w:pPr>
        <w:pStyle w:val="14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首次或升级后请使用 Ctrl+F5 强制刷新，避免旧脚本缓存导致菜单或登录异常。</w:t>
      </w:r>
    </w:p>
    <w:p w14:paraId="138141E0">
      <w:pPr>
        <w:pStyle w:val="14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登录页仅显示「工号」「密码」。工号为六位数字。</w:t>
      </w:r>
    </w:p>
    <w:p w14:paraId="768E0005">
      <w:pPr>
        <w:pStyle w:val="4"/>
        <w:spacing w:before="240" w:after="160"/>
      </w:pPr>
      <w:r>
        <w:rPr>
          <w:rFonts w:ascii="Calibri" w:hAnsi="微软雅黑" w:eastAsia="微软雅黑"/>
          <w:b/>
          <w:color w:val="0048A0"/>
          <w:sz w:val="27"/>
        </w:rPr>
        <w:t>3.2  登录规则</w:t>
      </w:r>
    </w:p>
    <w:p w14:paraId="52B11047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账号：六位工号。初始密码与工号相同（例如 100001 / 100001）。首次登录后请尽快修改密码（若现场已开放改密功能）。</w:t>
      </w:r>
    </w:p>
    <w:p w14:paraId="7718B784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状态须为「在岗」。离岗账号无法登录。</w:t>
      </w:r>
    </w:p>
    <w:p w14:paraId="0962BAD5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连续失败可能触发登录限制（login_attempts），请等待后重试或联系管理员。</w:t>
      </w:r>
    </w:p>
    <w:p w14:paraId="0F50EC10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登录成功后进入可视化驾驶舱（或按角色默认工作台）。右上角显示姓名与角色，点击「退出」清除会话。</w:t>
      </w:r>
    </w:p>
    <w:p w14:paraId="05523D15">
      <w:pPr>
        <w:pBdr>
          <w:left w:val="single" w:color="0064EF" w:sz="18" w:space="8"/>
        </w:pBdr>
        <w:spacing w:before="80" w:after="200"/>
        <w:ind w:left="170"/>
      </w:pPr>
      <w:r>
        <w:rPr>
          <w:rFonts w:ascii="Calibri" w:hAnsi="微软雅黑" w:eastAsia="微软雅黑"/>
          <w:b/>
          <w:color w:val="0064EF"/>
          <w:sz w:val="21"/>
        </w:rPr>
        <w:t>说明：</w:t>
      </w:r>
      <w:r>
        <w:rPr>
          <w:rFonts w:ascii="Calibri" w:hAnsi="微软雅黑" w:eastAsia="微软雅黑"/>
          <w:b w:val="0"/>
          <w:color w:val="1F1F1F"/>
          <w:sz w:val="21"/>
        </w:rPr>
        <w:t>不要在公共电脑勾选记住密码。会话保存在浏览器本地，关闭标签页不一定立即失效，离开座位请退出。</w:t>
      </w:r>
    </w:p>
    <w:p w14:paraId="5C561AC1">
      <w:pPr>
        <w:pStyle w:val="4"/>
        <w:spacing w:before="240" w:after="160"/>
      </w:pPr>
      <w:r>
        <w:rPr>
          <w:rFonts w:ascii="Calibri" w:hAnsi="微软雅黑" w:eastAsia="微软雅黑"/>
          <w:b/>
          <w:color w:val="0048A0"/>
          <w:sz w:val="27"/>
        </w:rPr>
        <w:t>3.3  登录失败处理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498AD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0048A0"/>
            <w:vAlign w:val="center"/>
          </w:tcPr>
          <w:p w14:paraId="7DC78658">
            <w:pPr>
              <w:spacing w:before="40" w:after="40" w:line="276" w:lineRule="auto"/>
              <w:jc w:val="center"/>
            </w:pPr>
            <w:r>
              <w:rPr>
                <w:rFonts w:ascii="Calibri" w:hAnsi="微软雅黑" w:eastAsia="微软雅黑"/>
                <w:b/>
                <w:color w:val="FFFFFF"/>
                <w:sz w:val="20"/>
              </w:rPr>
              <w:t>现象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0048A0"/>
            <w:vAlign w:val="center"/>
          </w:tcPr>
          <w:p w14:paraId="27997A1D">
            <w:pPr>
              <w:spacing w:before="40" w:after="40" w:line="276" w:lineRule="auto"/>
              <w:jc w:val="center"/>
            </w:pPr>
            <w:r>
              <w:rPr>
                <w:rFonts w:ascii="Calibri" w:hAnsi="微软雅黑" w:eastAsia="微软雅黑"/>
                <w:b/>
                <w:color w:val="FFFFFF"/>
                <w:sz w:val="20"/>
              </w:rPr>
              <w:t>可能原因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0048A0"/>
            <w:vAlign w:val="center"/>
          </w:tcPr>
          <w:p w14:paraId="22F480C3">
            <w:pPr>
              <w:spacing w:before="40" w:after="40" w:line="276" w:lineRule="auto"/>
              <w:jc w:val="center"/>
            </w:pPr>
            <w:r>
              <w:rPr>
                <w:rFonts w:ascii="Calibri" w:hAnsi="微软雅黑" w:eastAsia="微软雅黑"/>
                <w:b/>
                <w:color w:val="FFFFFF"/>
                <w:sz w:val="20"/>
              </w:rPr>
              <w:t>处理</w:t>
            </w:r>
          </w:p>
        </w:tc>
      </w:tr>
      <w:tr w14:paraId="06E0D6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3DEA81A0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工号或密码错误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29A0458B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工号输错、密码已改、账号未开通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422E8A5B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核对六位工号；联系管理员重置</w:t>
            </w:r>
          </w:p>
        </w:tc>
      </w:tr>
      <w:tr w14:paraId="15462A4E">
        <w:trPr>
          <w:jc w:val="center"/>
        </w:trPr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33824CD1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服务器内部错误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36765FF9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登录会话表未初始化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70ED91E0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由运维执行 fix-login-tables.sh 后强制刷新</w:t>
            </w:r>
          </w:p>
        </w:tc>
      </w:tr>
      <w:tr w14:paraId="3F0121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3A30B366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看不到「表单维护」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6FD71D86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未授予 form_access，或非管理员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00E8365E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管理员在成员管理中勾选表单维护权限</w:t>
            </w:r>
          </w:p>
        </w:tc>
      </w:tr>
      <w:tr w14:paraId="1811BE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679C9CD1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台账/驾驶舱为空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0D02E96A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尚未接入 8092 台账或无本单位数据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43DC5098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运维执行 attach-form-ledger；或确认数据范围</w:t>
            </w:r>
          </w:p>
        </w:tc>
      </w:tr>
    </w:tbl>
    <w:p w14:paraId="54953C42"/>
    <w:p w14:paraId="27EE141E">
      <w:pPr>
        <w:pStyle w:val="3"/>
        <w:spacing w:before="320" w:after="160"/>
      </w:pPr>
      <w:r>
        <w:rPr>
          <w:rFonts w:ascii="Calibri" w:hAnsi="微软雅黑" w:eastAsia="微软雅黑"/>
          <w:b/>
          <w:color w:val="0048A0"/>
          <w:sz w:val="32"/>
        </w:rPr>
        <w:t>4  角色、权限与数据范围</w:t>
      </w:r>
    </w:p>
    <w:p w14:paraId="7DD1A72D">
      <w:pPr>
        <w:spacing w:before="0" w:after="160" w:line="324" w:lineRule="auto"/>
        <w:ind w:firstLine="420"/>
      </w:pPr>
      <w:r>
        <w:rPr>
          <w:rFonts w:ascii="Calibri" w:hAnsi="微软雅黑" w:eastAsia="微软雅黑"/>
          <w:b w:val="0"/>
          <w:color w:val="1F1F1F"/>
          <w:sz w:val="22"/>
        </w:rPr>
        <w:t>平台身份（登录角色）与项目岗位不同：同一人可在不同项目担任不同岗位，项目内权限按该项目团队岗位取并集。下列为登录角色的默认边界。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7"/>
        <w:gridCol w:w="1837"/>
        <w:gridCol w:w="1837"/>
        <w:gridCol w:w="1837"/>
        <w:gridCol w:w="1837"/>
      </w:tblGrid>
      <w:tr w14:paraId="4FC192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0048A0"/>
            <w:vAlign w:val="center"/>
          </w:tcPr>
          <w:p w14:paraId="76838861">
            <w:pPr>
              <w:spacing w:before="40" w:after="40" w:line="276" w:lineRule="auto"/>
              <w:jc w:val="center"/>
            </w:pPr>
            <w:r>
              <w:rPr>
                <w:rFonts w:ascii="Calibri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0048A0"/>
            <w:vAlign w:val="center"/>
          </w:tcPr>
          <w:p w14:paraId="5094B8C5">
            <w:pPr>
              <w:spacing w:before="40" w:after="40" w:line="276" w:lineRule="auto"/>
              <w:jc w:val="center"/>
            </w:pPr>
            <w:r>
              <w:rPr>
                <w:rFonts w:ascii="Calibri" w:hAnsi="微软雅黑" w:eastAsia="微软雅黑"/>
                <w:b/>
                <w:color w:val="FFFFFF"/>
                <w:sz w:val="20"/>
              </w:rPr>
              <w:t>典型岗位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0048A0"/>
            <w:vAlign w:val="center"/>
          </w:tcPr>
          <w:p w14:paraId="402E53F6">
            <w:pPr>
              <w:spacing w:before="40" w:after="40" w:line="276" w:lineRule="auto"/>
              <w:jc w:val="center"/>
            </w:pPr>
            <w:r>
              <w:rPr>
                <w:rFonts w:ascii="Calibri" w:hAnsi="微软雅黑" w:eastAsia="微软雅黑"/>
                <w:b/>
                <w:color w:val="FFFFFF"/>
                <w:sz w:val="20"/>
              </w:rPr>
              <w:t>可见数据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0048A0"/>
            <w:vAlign w:val="center"/>
          </w:tcPr>
          <w:p w14:paraId="749CF935">
            <w:pPr>
              <w:spacing w:before="40" w:after="40" w:line="276" w:lineRule="auto"/>
              <w:jc w:val="center"/>
            </w:pPr>
            <w:r>
              <w:rPr>
                <w:rFonts w:ascii="Calibri" w:hAnsi="微软雅黑" w:eastAsia="微软雅黑"/>
                <w:b/>
                <w:color w:val="FFFFFF"/>
                <w:sz w:val="20"/>
              </w:rPr>
              <w:t>主要操作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0048A0"/>
            <w:vAlign w:val="center"/>
          </w:tcPr>
          <w:p w14:paraId="2904F46F">
            <w:pPr>
              <w:spacing w:before="40" w:after="40" w:line="276" w:lineRule="auto"/>
              <w:jc w:val="center"/>
            </w:pPr>
            <w:r>
              <w:rPr>
                <w:rFonts w:ascii="Calibri" w:hAnsi="微软雅黑" w:eastAsia="微软雅黑"/>
                <w:b/>
                <w:color w:val="FFFFFF"/>
                <w:sz w:val="20"/>
              </w:rPr>
              <w:t>表单维护</w:t>
            </w:r>
          </w:p>
        </w:tc>
      </w:tr>
      <w:tr w14:paraId="04DB02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00DC36FF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系统管理员 admin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4791E218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平台运维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69B0A9C3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全部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5CA869E8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成员、渠道、审计；不替代业务填报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4B81E69F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默认开通（全部）</w:t>
            </w:r>
          </w:p>
        </w:tc>
      </w:tr>
      <w:tr w14:paraId="1A3414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41B8C94A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领导 leader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74F55D47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公司领导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2AA91628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全部（决策查看）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69B7BC6C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驾驶舱、数智大屏、台账查看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1F53B5DB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默认无</w:t>
            </w:r>
          </w:p>
        </w:tc>
      </w:tr>
      <w:tr w14:paraId="260065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618A5D2D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管理团队 mgmt（总部）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18B029EE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处长 / 科研主管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087D3DD1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全部项目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3B05814E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台账导出、审批终审、驾驶舱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3C0EC9D2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可授权（总部范围）</w:t>
            </w:r>
          </w:p>
        </w:tc>
      </w:tr>
      <w:tr w14:paraId="0D54AB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7326F722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管理团队 mgmt（单位）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22C666C9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单位科技负责人 / 项目主管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5CAD8723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本单位项目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19C239EA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本单位台账、审批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3D342086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需单独授权</w:t>
            </w:r>
          </w:p>
        </w:tc>
      </w:tr>
      <w:tr w14:paraId="43BF49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13271C6C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责任总师 chief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3B61ED40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一级/二级总师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31FC9504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职责范围内项目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6895FC74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评审工作台：通过/退回并留痕，不改业务数据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3CEA1C1F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默认无</w:t>
            </w:r>
          </w:p>
        </w:tc>
      </w:tr>
      <w:tr w14:paraId="3BCA19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1FABB7DC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财务 finance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71055644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财务主管 / 核销经办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0269032D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本单位经费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7C0781E8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经费台账、核销、异常监管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1869F8AE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默认无</w:t>
            </w:r>
          </w:p>
        </w:tc>
      </w:tr>
      <w:tr w14:paraId="023AF9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041395FA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项目团队 team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57C78401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项目责任人等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0AD9FE05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本人关联项目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31595FBD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申报、里程碑、计划、变更；无全量导出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6CB7C4CD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默认无</w:t>
            </w:r>
          </w:p>
        </w:tc>
      </w:tr>
    </w:tbl>
    <w:p w14:paraId="38419746"/>
    <w:p w14:paraId="1D9E31C4">
      <w:pPr>
        <w:pStyle w:val="4"/>
        <w:spacing w:before="240" w:after="160"/>
      </w:pPr>
      <w:r>
        <w:rPr>
          <w:rFonts w:ascii="Calibri" w:hAnsi="微软雅黑" w:eastAsia="微软雅黑"/>
          <w:b/>
          <w:color w:val="0048A0"/>
          <w:sz w:val="27"/>
        </w:rPr>
        <w:t>4.1  数据可见规则（摘要）</w:t>
      </w:r>
    </w:p>
    <w:p w14:paraId="5502E3B3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管理员、领导：可见全部项目。</w:t>
      </w:r>
    </w:p>
    <w:p w14:paraId="7C7EE53F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总部管理团队（scope=hq）：可见全部项目。</w:t>
      </w:r>
    </w:p>
    <w:p w14:paraId="7E4418DC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单位管理 / 财务：按承担单位（lead_unit）过滤。</w:t>
      </w:r>
    </w:p>
    <w:p w14:paraId="15531647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项目团队：仅本人作为成员关联的项目。</w:t>
      </w:r>
    </w:p>
    <w:p w14:paraId="703BF2EF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表单维护菜单：仅管理员，或成员档案中「表单维护」开关打开的用户可见。</w:t>
      </w:r>
    </w:p>
    <w:p w14:paraId="437FEC20">
      <w:pPr>
        <w:pStyle w:val="4"/>
        <w:spacing w:before="240" w:after="160"/>
      </w:pPr>
      <w:r>
        <w:rPr>
          <w:rFonts w:ascii="Calibri" w:hAnsi="微软雅黑" w:eastAsia="微软雅黑"/>
          <w:b/>
          <w:color w:val="0048A0"/>
          <w:sz w:val="27"/>
        </w:rPr>
        <w:t>4.2  表单维护授权</w:t>
      </w:r>
    </w:p>
    <w:p w14:paraId="601CD592">
      <w:pPr>
        <w:spacing w:before="0" w:after="160" w:line="324" w:lineRule="auto"/>
        <w:ind w:firstLine="420"/>
      </w:pPr>
      <w:r>
        <w:rPr>
          <w:rFonts w:ascii="Calibri" w:hAnsi="微软雅黑" w:eastAsia="微软雅黑"/>
          <w:b w:val="0"/>
          <w:color w:val="1F1F1F"/>
          <w:sz w:val="22"/>
        </w:rPr>
        <w:t>由系统管理员在「配置中心 → 成员管理」中分配。范围包括：总部（全部台账）、本单位、指定渠道或项目类型。总部范围可编辑、上传总表与分表、导出、校验、删除；非总部范围只能维护授权内台账，总表覆盖导入不可用。</w:t>
      </w:r>
    </w:p>
    <w:p w14:paraId="345E74C9">
      <w:pPr>
        <w:pStyle w:val="3"/>
        <w:spacing w:before="320" w:after="160"/>
      </w:pPr>
      <w:r>
        <w:rPr>
          <w:rFonts w:ascii="Calibri" w:hAnsi="微软雅黑" w:eastAsia="微软雅黑"/>
          <w:b/>
          <w:color w:val="0048A0"/>
          <w:sz w:val="32"/>
        </w:rPr>
        <w:t>5  界面与导航</w:t>
      </w:r>
    </w:p>
    <w:p w14:paraId="4B8C844A">
      <w:pPr>
        <w:spacing w:before="0" w:after="160" w:line="324" w:lineRule="auto"/>
        <w:ind w:firstLine="420"/>
      </w:pPr>
      <w:r>
        <w:rPr>
          <w:rFonts w:ascii="Calibri" w:hAnsi="微软雅黑" w:eastAsia="微软雅黑"/>
          <w:b w:val="0"/>
          <w:color w:val="1F1F1F"/>
          <w:sz w:val="22"/>
        </w:rPr>
        <w:t>登录后为标准经营管理壳层：顶栏（系统名称、当前用户、退出）、左侧菜单（随权限变化）、主内容区（面包屑 / 功能说明 / 工具栏 / 列表或看板）。</w:t>
      </w:r>
    </w:p>
    <w:p w14:paraId="2EE3C0F1">
      <w:pPr>
        <w:pStyle w:val="4"/>
        <w:spacing w:before="240" w:after="160"/>
      </w:pPr>
      <w:r>
        <w:rPr>
          <w:rFonts w:ascii="Calibri" w:hAnsi="微软雅黑" w:eastAsia="微软雅黑"/>
          <w:b/>
          <w:color w:val="0048A0"/>
          <w:sz w:val="27"/>
        </w:rPr>
        <w:t>5.1  常见菜单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628104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0048A0"/>
            <w:vAlign w:val="center"/>
          </w:tcPr>
          <w:p w14:paraId="599A9C04">
            <w:pPr>
              <w:spacing w:before="40" w:after="40" w:line="276" w:lineRule="auto"/>
              <w:jc w:val="center"/>
            </w:pPr>
            <w:r>
              <w:rPr>
                <w:rFonts w:ascii="Calibri" w:hAnsi="微软雅黑" w:eastAsia="微软雅黑"/>
                <w:b/>
                <w:color w:val="FFFFFF"/>
                <w:sz w:val="20"/>
              </w:rPr>
              <w:t>菜单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0048A0"/>
            <w:vAlign w:val="center"/>
          </w:tcPr>
          <w:p w14:paraId="1C1DBC68">
            <w:pPr>
              <w:spacing w:before="40" w:after="40" w:line="276" w:lineRule="auto"/>
              <w:jc w:val="center"/>
            </w:pPr>
            <w:r>
              <w:rPr>
                <w:rFonts w:ascii="Calibri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0048A0"/>
            <w:vAlign w:val="center"/>
          </w:tcPr>
          <w:p w14:paraId="552322CF">
            <w:pPr>
              <w:spacing w:before="40" w:after="40" w:line="276" w:lineRule="auto"/>
              <w:jc w:val="center"/>
            </w:pPr>
            <w:r>
              <w:rPr>
                <w:rFonts w:ascii="Calibri" w:hAnsi="微软雅黑" w:eastAsia="微软雅黑"/>
                <w:b/>
                <w:color w:val="FFFFFF"/>
                <w:sz w:val="20"/>
              </w:rPr>
              <w:t>常见可见角色</w:t>
            </w:r>
          </w:p>
        </w:tc>
      </w:tr>
      <w:tr w14:paraId="5EB51C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05EB50A2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可视化驾驶舱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0962A18D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项目规模、分布、预警分析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6C2A2471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总部管理、领导、管理员；单位角色见本单位口径</w:t>
            </w:r>
          </w:p>
        </w:tc>
      </w:tr>
      <w:tr w14:paraId="1B2A82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02B971CA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科技管理数智大屏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6DAE24EE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领导决策深色大屏（可返回驾驶舱，不退出登录）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27CD5EF6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领导等</w:t>
            </w:r>
          </w:p>
        </w:tc>
      </w:tr>
      <w:tr w14:paraId="043DF0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669EDE46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项目台账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31C0D882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项目一览、筛选、预警、进入详情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3BD46AA7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按数据范围</w:t>
            </w:r>
          </w:p>
        </w:tc>
      </w:tr>
      <w:tr w14:paraId="199133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40FD72D4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工作台 / 项目申报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593250D1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建议书申报、材料上传、提交审签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69B6CB1C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项目团队、管理转办</w:t>
            </w:r>
          </w:p>
        </w:tc>
      </w:tr>
      <w:tr w14:paraId="75B10F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5E72D94D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审批中心 / 评审工作台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4F5E21AD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逐级审签、转办、退回意见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4ADF8A3B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管理团队、责任总师</w:t>
            </w:r>
          </w:p>
        </w:tc>
      </w:tr>
      <w:tr w14:paraId="570E4762">
        <w:trPr>
          <w:jc w:val="center"/>
        </w:trPr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13196C20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表单维护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42B06550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总表/分表导入导出与校验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2E03F5D4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管理员及已授权人员</w:t>
            </w:r>
          </w:p>
        </w:tc>
      </w:tr>
      <w:tr w14:paraId="197290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11A8C597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配置中心 → 成员管理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022DE3F4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开通账号、角色、表单权限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1860FAB5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管理员</w:t>
            </w:r>
          </w:p>
        </w:tc>
      </w:tr>
      <w:tr w14:paraId="3CD4F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26C8FB82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配置中心 → 渠道字典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0F84EBF3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渠道编码、层级、材料清单、流程节点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37D32BBC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管理员</w:t>
            </w:r>
          </w:p>
        </w:tc>
      </w:tr>
      <w:tr w14:paraId="5CE80B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6F209967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配置中心 → 审计日志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503059AF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申报、审批、导入等操作留痕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31C1C3DE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管理员</w:t>
            </w:r>
          </w:p>
        </w:tc>
      </w:tr>
    </w:tbl>
    <w:p w14:paraId="5FF2469F"/>
    <w:p w14:paraId="0985DC92">
      <w:pPr>
        <w:pBdr>
          <w:left w:val="single" w:color="0064EF" w:sz="18" w:space="8"/>
        </w:pBdr>
        <w:spacing w:before="80" w:after="200"/>
        <w:ind w:left="170"/>
      </w:pPr>
      <w:r>
        <w:rPr>
          <w:rFonts w:ascii="Calibri" w:hAnsi="微软雅黑" w:eastAsia="微软雅黑"/>
          <w:b/>
          <w:color w:val="0064EF"/>
          <w:sz w:val="21"/>
        </w:rPr>
        <w:t>说明：</w:t>
      </w:r>
      <w:r>
        <w:rPr>
          <w:rFonts w:ascii="Calibri" w:hAnsi="微软雅黑" w:eastAsia="微软雅黑"/>
          <w:b w:val="0"/>
          <w:color w:val="1F1F1F"/>
          <w:sz w:val="21"/>
        </w:rPr>
        <w:t>无权限的菜单会隐藏，而不是点进去再报错。若某功能「消失」，先核对自己的角色与表单开关，不要反复清缓存以外的数据。</w:t>
      </w:r>
    </w:p>
    <w:p w14:paraId="2283D369">
      <w:pPr>
        <w:pStyle w:val="3"/>
        <w:spacing w:before="320" w:after="160"/>
      </w:pPr>
      <w:r>
        <w:rPr>
          <w:rFonts w:ascii="Calibri" w:hAnsi="微软雅黑" w:eastAsia="微软雅黑"/>
          <w:b/>
          <w:color w:val="0048A0"/>
          <w:sz w:val="32"/>
        </w:rPr>
        <w:t>6  可视化驾驶舱</w:t>
      </w:r>
    </w:p>
    <w:p w14:paraId="66D25F1B">
      <w:pPr>
        <w:spacing w:before="0" w:after="160" w:line="324" w:lineRule="auto"/>
        <w:ind w:firstLine="420"/>
      </w:pPr>
      <w:r>
        <w:rPr>
          <w:rFonts w:ascii="Calibri" w:hAnsi="微软雅黑" w:eastAsia="微软雅黑"/>
          <w:b w:val="0"/>
          <w:color w:val="1F1F1F"/>
          <w:sz w:val="22"/>
        </w:rPr>
        <w:t>驾驶舱用于总部与领导掌握预先研究项目总体情况。典型指标包括可见项目数、层级（国家/地方/公司）分布、承担单位、渠道、延期与到期预警。</w:t>
      </w:r>
    </w:p>
    <w:p w14:paraId="49E897AE">
      <w:pPr>
        <w:pStyle w:val="14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从左侧进入「可视化驾驶舱」。</w:t>
      </w:r>
    </w:p>
    <w:p w14:paraId="75833837">
      <w:pPr>
        <w:pStyle w:val="14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按年度、层级、单位、渠道筛选；点击图表扇区或柱条可穿透到对应台账子集（以现场交互为准）。</w:t>
      </w:r>
    </w:p>
    <w:p w14:paraId="3A3183BB">
      <w:pPr>
        <w:pStyle w:val="14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关注风险预警榜：到期当日红色告警，台账行内预警列同步高亮。</w:t>
      </w:r>
    </w:p>
    <w:p w14:paraId="53F8819F">
      <w:pPr>
        <w:pStyle w:val="14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领导账号可进入数智大屏；离开大屏时返回驾驶舱，不会自动退出登录。</w:t>
      </w:r>
    </w:p>
    <w:p w14:paraId="02E8A66F">
      <w:pPr>
        <w:pBdr>
          <w:left w:val="single" w:color="0064EF" w:sz="18" w:space="8"/>
        </w:pBdr>
        <w:spacing w:before="80" w:after="200"/>
        <w:ind w:left="170"/>
      </w:pPr>
      <w:r>
        <w:rPr>
          <w:rFonts w:ascii="Calibri" w:hAnsi="微软雅黑" w:eastAsia="微软雅黑"/>
          <w:b/>
          <w:color w:val="0064EF"/>
          <w:sz w:val="21"/>
        </w:rPr>
        <w:t>说明：</w:t>
      </w:r>
      <w:r>
        <w:rPr>
          <w:rFonts w:ascii="Calibri" w:hAnsi="微软雅黑" w:eastAsia="微软雅黑"/>
          <w:b w:val="0"/>
          <w:color w:val="1F1F1F"/>
          <w:sz w:val="21"/>
        </w:rPr>
        <w:t>驾驶舱数字与项目台账、表单维护行数应对齐。验收时核对三处总量是否与接入的台账行数一致。</w:t>
      </w:r>
    </w:p>
    <w:p w14:paraId="4EF7C4AC">
      <w:pPr>
        <w:pStyle w:val="3"/>
        <w:spacing w:before="320" w:after="160"/>
      </w:pPr>
      <w:r>
        <w:rPr>
          <w:rFonts w:ascii="Calibri" w:hAnsi="微软雅黑" w:eastAsia="微软雅黑"/>
          <w:b/>
          <w:color w:val="0048A0"/>
          <w:sz w:val="32"/>
        </w:rPr>
        <w:t>7  项目台账</w:t>
      </w:r>
    </w:p>
    <w:p w14:paraId="06C72B80">
      <w:pPr>
        <w:spacing w:before="0" w:after="160" w:line="324" w:lineRule="auto"/>
        <w:ind w:firstLine="420"/>
      </w:pPr>
      <w:r>
        <w:rPr>
          <w:rFonts w:ascii="Calibri" w:hAnsi="微软雅黑" w:eastAsia="微软雅黑"/>
          <w:b w:val="0"/>
          <w:color w:val="1F1F1F"/>
          <w:sz w:val="22"/>
        </w:rPr>
        <w:t>台账是全流程数据的归集视图，不是另填一张表。立项、实施、验收、经费、交付物变更后，台账相应列自动更新。</w:t>
      </w:r>
    </w:p>
    <w:p w14:paraId="611D5591">
      <w:pPr>
        <w:pStyle w:val="4"/>
        <w:spacing w:before="240" w:after="160"/>
      </w:pPr>
      <w:r>
        <w:rPr>
          <w:rFonts w:ascii="Calibri" w:hAnsi="微软雅黑" w:eastAsia="微软雅黑"/>
          <w:b/>
          <w:color w:val="0048A0"/>
          <w:sz w:val="27"/>
        </w:rPr>
        <w:t>7.1  列表操作</w:t>
      </w:r>
    </w:p>
    <w:p w14:paraId="3D27CBE6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筛选：层级、渠道、项目类型、承担单位、状态、关键字（序号 / 名称 / 编号）。</w:t>
      </w:r>
    </w:p>
    <w:p w14:paraId="27459010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列：编号（如 KY-年份-序号，系统生成）、名称、状态、层级、预警、成果转化等。</w:t>
      </w:r>
    </w:p>
    <w:p w14:paraId="14798D62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打开项目：进入详情，查看概览、团队、计划、经费、交付物、归档材料。</w:t>
      </w:r>
    </w:p>
    <w:p w14:paraId="15A58AF9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导出：总部管理团队等具备全量或授权范围的 CSV/Excel 导出；项目团队界面无全量导出入口。</w:t>
      </w:r>
    </w:p>
    <w:p w14:paraId="2A2EEB2F">
      <w:pPr>
        <w:pStyle w:val="4"/>
        <w:spacing w:before="240" w:after="160"/>
      </w:pPr>
      <w:r>
        <w:rPr>
          <w:rFonts w:ascii="Calibri" w:hAnsi="微软雅黑" w:eastAsia="微软雅黑"/>
          <w:b/>
          <w:color w:val="0048A0"/>
          <w:sz w:val="27"/>
        </w:rPr>
        <w:t>7.2  编号与锁定规则</w:t>
      </w:r>
    </w:p>
    <w:p w14:paraId="357A4710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项目编号由系统在申报时分配，全局唯一，业务人员不可手工改号。</w:t>
      </w:r>
    </w:p>
    <w:p w14:paraId="4CBED93A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层级在立项后原则上不可变更；特殊情况走「数据变更」审批，不要在详情里直接改层级。</w:t>
      </w:r>
    </w:p>
    <w:p w14:paraId="1D52FA92">
      <w:pPr>
        <w:pStyle w:val="3"/>
        <w:spacing w:before="320" w:after="160"/>
      </w:pPr>
      <w:r>
        <w:rPr>
          <w:rFonts w:ascii="Calibri" w:hAnsi="微软雅黑" w:eastAsia="微软雅黑"/>
          <w:b/>
          <w:color w:val="0048A0"/>
          <w:sz w:val="32"/>
        </w:rPr>
        <w:t>8  项目全周期（申报—实施—验收）</w:t>
      </w:r>
    </w:p>
    <w:p w14:paraId="7BDD45D1">
      <w:pPr>
        <w:pStyle w:val="4"/>
        <w:spacing w:before="240" w:after="160"/>
      </w:pPr>
      <w:r>
        <w:rPr>
          <w:rFonts w:ascii="Calibri" w:hAnsi="微软雅黑" w:eastAsia="微软雅黑"/>
          <w:b/>
          <w:color w:val="0048A0"/>
          <w:sz w:val="27"/>
        </w:rPr>
        <w:t>8.1  立项 · 申报</w:t>
      </w:r>
    </w:p>
    <w:p w14:paraId="52113184">
      <w:pPr>
        <w:spacing w:before="0" w:after="160" w:line="324" w:lineRule="auto"/>
        <w:ind w:firstLine="420"/>
      </w:pPr>
      <w:r>
        <w:rPr>
          <w:rFonts w:ascii="Calibri" w:hAnsi="微软雅黑" w:eastAsia="微软雅黑"/>
          <w:b w:val="0"/>
          <w:color w:val="1F1F1F"/>
          <w:sz w:val="22"/>
        </w:rPr>
        <w:t>本阶段须确定级别/渠道、项目名称、目标、起止日期、总经费、项目负责人与技术负责人，并按渠道提交材料。主管、总师等人员信息可在实施阶段「基本信息」补全。</w:t>
      </w:r>
    </w:p>
    <w:p w14:paraId="5FE8E42F">
      <w:pPr>
        <w:pStyle w:val="14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进入「项目申报」，按国家级 / 地方级 / 公司级选择渠道。材料清单随渠道变化，非本渠道栏目锁定。</w:t>
      </w:r>
    </w:p>
    <w:p w14:paraId="1EF466A2">
      <w:pPr>
        <w:pStyle w:val="14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报备类渠道（如部分合作渠道）标注「报备类 · 单位审批后归档」，审签链较短，单位科技部审批后归档。</w:t>
      </w:r>
    </w:p>
    <w:p w14:paraId="1E0052EA">
      <w:pPr>
        <w:pStyle w:val="14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审批类走预研审签单：项目联系人 → 项目负责人 → 项目承担部门负责人 → 二级总师 → 单位财务部门负责人 → 单位科技部门负责人 → 单位分管领导 → 一级总师 → 总部科研项目处。</w:t>
      </w:r>
    </w:p>
    <w:p w14:paraId="762B3FEB">
      <w:pPr>
        <w:pStyle w:val="14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可上传 PDF/DOCX 申报书，系统做结构化预填（里程碑、交付物等可再编辑）。原件在项目详情「归档」下载。</w:t>
      </w:r>
    </w:p>
    <w:p w14:paraId="6F48B662">
      <w:pPr>
        <w:pStyle w:val="14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管理部门可将当前节点转办给指定经办人，转办前后均留痕。</w:t>
      </w:r>
    </w:p>
    <w:p w14:paraId="55BE0F77">
      <w:pPr>
        <w:pStyle w:val="14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责任总师在评审工作台对建议书等只读复核：通过或退回并填写意见，不直接改表。</w:t>
      </w:r>
    </w:p>
    <w:p w14:paraId="72809143">
      <w:pPr>
        <w:pStyle w:val="4"/>
        <w:spacing w:before="240" w:after="160"/>
      </w:pPr>
      <w:r>
        <w:rPr>
          <w:rFonts w:ascii="Calibri" w:hAnsi="微软雅黑" w:eastAsia="微软雅黑"/>
          <w:b/>
          <w:color w:val="0048A0"/>
          <w:sz w:val="27"/>
        </w:rPr>
        <w:t>8.2  实施</w:t>
      </w:r>
    </w:p>
    <w:p w14:paraId="468DD033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完善基本信息：系统回显立项数据，缺失字段由二级单位补充；目标/年度目标/参研分工等提交后走审批，通过后回写台账。</w:t>
      </w:r>
    </w:p>
    <w:p w14:paraId="402A0A06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计划与里程碑：按任务书节点填报进展；到期预警在台账与驾驶舱展示。</w:t>
      </w:r>
    </w:p>
    <w:p w14:paraId="0EFFDE45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项目变更：范围、进度、经费等变更走独立审批，禁止绕过流程改库。</w:t>
      </w:r>
    </w:p>
    <w:p w14:paraId="63505261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经费：财务角色维护预算执行与核销凭证，异常可监管；范围限本单位。</w:t>
      </w:r>
    </w:p>
    <w:p w14:paraId="26056982">
      <w:pPr>
        <w:pStyle w:val="4"/>
        <w:spacing w:before="240" w:after="160"/>
      </w:pPr>
      <w:r>
        <w:rPr>
          <w:rFonts w:ascii="Calibri" w:hAnsi="微软雅黑" w:eastAsia="微软雅黑"/>
          <w:b/>
          <w:color w:val="0048A0"/>
          <w:sz w:val="27"/>
        </w:rPr>
        <w:t>8.3  验收、成果与后评价</w:t>
      </w:r>
    </w:p>
    <w:p w14:paraId="514F88FE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交付物类型全站统一：专利、论文、软著、技术标准、原理样机、设备、成套技术成果。须对应任务书考核指标。</w:t>
      </w:r>
    </w:p>
    <w:p w14:paraId="65E1D6A6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验收技术复核由责任总师在评审工作台处理。</w:t>
      </w:r>
    </w:p>
    <w:p w14:paraId="25268F8F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成果转化核心数据同步台账「成果转化状态」与驾驶舱转化漏斗。</w:t>
      </w:r>
    </w:p>
    <w:p w14:paraId="261FBF7C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后评价按流程发起，意见留痕可查。</w:t>
      </w:r>
    </w:p>
    <w:p w14:paraId="6C506BBD">
      <w:pPr>
        <w:pStyle w:val="4"/>
        <w:spacing w:before="240" w:after="160"/>
      </w:pPr>
      <w:r>
        <w:rPr>
          <w:rFonts w:ascii="Calibri" w:hAnsi="微软雅黑" w:eastAsia="微软雅黑"/>
          <w:b/>
          <w:color w:val="0048A0"/>
          <w:sz w:val="27"/>
        </w:rPr>
        <w:t>8.4  项目团队维护</w:t>
      </w:r>
    </w:p>
    <w:p w14:paraId="4B7C71F2">
      <w:pPr>
        <w:spacing w:before="0" w:after="160" w:line="324" w:lineRule="auto"/>
        <w:ind w:firstLine="420"/>
      </w:pPr>
      <w:r>
        <w:rPr>
          <w:rFonts w:ascii="Calibri" w:hAnsi="微软雅黑" w:eastAsia="微软雅黑"/>
          <w:b w:val="0"/>
          <w:color w:val="1F1F1F"/>
          <w:sz w:val="22"/>
        </w:rPr>
        <w:t>在项目详情维护团队成员。平台登录身份不等于项目岗位：请从人员名录按工号选择在岗人员，避免手工录入导致与主数据不一致。</w:t>
      </w:r>
    </w:p>
    <w:p w14:paraId="17EF0AAC">
      <w:pPr>
        <w:pStyle w:val="3"/>
        <w:spacing w:before="320" w:after="160"/>
      </w:pPr>
      <w:r>
        <w:rPr>
          <w:rFonts w:ascii="Calibri" w:hAnsi="微软雅黑" w:eastAsia="微软雅黑"/>
          <w:b/>
          <w:color w:val="0048A0"/>
          <w:sz w:val="32"/>
        </w:rPr>
        <w:t>9  表单维护</w:t>
      </w:r>
    </w:p>
    <w:p w14:paraId="198E92FA">
      <w:pPr>
        <w:spacing w:before="0" w:after="160" w:line="324" w:lineRule="auto"/>
        <w:ind w:firstLine="420"/>
      </w:pPr>
      <w:r>
        <w:rPr>
          <w:rFonts w:ascii="Calibri" w:hAnsi="微软雅黑" w:eastAsia="微软雅黑"/>
          <w:b w:val="0"/>
          <w:color w:val="1F1F1F"/>
          <w:sz w:val="22"/>
        </w:rPr>
        <w:t>维护对象为公司预先研究项目总表与按项目类型拆分的分表。入口在主站「表单维护」（对应管控闭环）。无权限时菜单隐藏。</w:t>
      </w:r>
    </w:p>
    <w:p w14:paraId="3BA099B2">
      <w:pPr>
        <w:pStyle w:val="4"/>
        <w:spacing w:before="240" w:after="160"/>
      </w:pPr>
      <w:r>
        <w:rPr>
          <w:rFonts w:ascii="Calibri" w:hAnsi="微软雅黑" w:eastAsia="微软雅黑"/>
          <w:b/>
          <w:color w:val="0048A0"/>
          <w:sz w:val="27"/>
        </w:rPr>
        <w:t>9.1  工具栏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7133EA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0048A0"/>
            <w:vAlign w:val="center"/>
          </w:tcPr>
          <w:p w14:paraId="1681BF35">
            <w:pPr>
              <w:spacing w:before="40" w:after="40" w:line="276" w:lineRule="auto"/>
              <w:jc w:val="center"/>
            </w:pPr>
            <w:r>
              <w:rPr>
                <w:rFonts w:ascii="Calibri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0048A0"/>
            <w:vAlign w:val="center"/>
          </w:tcPr>
          <w:p w14:paraId="516579DC">
            <w:pPr>
              <w:spacing w:before="40" w:after="40" w:line="276" w:lineRule="auto"/>
              <w:jc w:val="center"/>
            </w:pPr>
            <w:r>
              <w:rPr>
                <w:rFonts w:ascii="Calibri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0048A0"/>
            <w:vAlign w:val="center"/>
          </w:tcPr>
          <w:p w14:paraId="1BF60B3C">
            <w:pPr>
              <w:spacing w:before="40" w:after="40" w:line="276" w:lineRule="auto"/>
              <w:jc w:val="center"/>
            </w:pPr>
            <w:r>
              <w:rPr>
                <w:rFonts w:ascii="Calibri" w:hAnsi="微软雅黑" w:eastAsia="微软雅黑"/>
                <w:b/>
                <w:color w:val="FFFFFF"/>
                <w:sz w:val="20"/>
              </w:rPr>
              <w:t>注意</w:t>
            </w:r>
          </w:p>
        </w:tc>
      </w:tr>
      <w:tr w14:paraId="0C847E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3220A097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上传总表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49EC499F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Excel 覆盖导入全部台账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48993977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仅总部范围可用；会覆盖，操作前请导出备份</w:t>
            </w:r>
          </w:p>
        </w:tc>
      </w:tr>
      <w:tr w14:paraId="3986CA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6F86194B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上传分表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79D5BDE6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按类型合并导入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1A409B86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合并写入，可多次上传</w:t>
            </w:r>
          </w:p>
        </w:tc>
      </w:tr>
      <w:tr w14:paraId="7B3FD2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7FD151C6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导出 Excel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34561BC8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导出当前完整表头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67BA4150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受数据范围限制</w:t>
            </w:r>
          </w:p>
        </w:tc>
      </w:tr>
      <w:tr w14:paraId="72AC71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3EA276F0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导出筛选包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51A1A812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仅导出当前筛选结果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24EBCAA6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用于报送或核对</w:t>
            </w:r>
          </w:p>
        </w:tc>
      </w:tr>
      <w:tr w14:paraId="004A91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299B87F5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删除所选 / 清空全部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6EBC5A40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删除行或清空项目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29FF598C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高危，须二次确认；清空不可恢复</w:t>
            </w:r>
          </w:p>
        </w:tc>
      </w:tr>
      <w:tr w14:paraId="79A93C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0CBDD147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列配置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08A7D4FA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显示/隐藏列、恢复默认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70CF565C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不影响库内字段，只影响本机视图</w:t>
            </w:r>
          </w:p>
        </w:tc>
      </w:tr>
    </w:tbl>
    <w:p w14:paraId="288D1593"/>
    <w:p w14:paraId="79FFE73E">
      <w:pPr>
        <w:pStyle w:val="4"/>
        <w:spacing w:before="240" w:after="160"/>
      </w:pPr>
      <w:r>
        <w:rPr>
          <w:rFonts w:ascii="Calibri" w:hAnsi="微软雅黑" w:eastAsia="微软雅黑"/>
          <w:b/>
          <w:color w:val="0048A0"/>
          <w:sz w:val="27"/>
        </w:rPr>
        <w:t>9.2  页签</w:t>
      </w:r>
    </w:p>
    <w:p w14:paraId="6C4FDC37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总表管理：主工作区，支持关键字与层级/渠道/类型/单位/状态筛选，以及「仅校验未通过 / 仅延期 / 仅已完成」等。</w:t>
      </w:r>
    </w:p>
    <w:p w14:paraId="6171B969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分表拆分：按项目类型查看分表。</w:t>
      </w:r>
    </w:p>
    <w:p w14:paraId="0183D388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批量上传：支持 .xlsx / .xls；总表=覆盖，分表=合并。结果写入平台库。</w:t>
      </w:r>
    </w:p>
    <w:p w14:paraId="4385CA3B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校验报告：查看未通过项，按报告修正 Excel 或在线单元格后重新校验。</w:t>
      </w:r>
    </w:p>
    <w:p w14:paraId="29024113">
      <w:pPr>
        <w:pStyle w:val="4"/>
        <w:spacing w:before="240" w:after="160"/>
      </w:pPr>
      <w:r>
        <w:rPr>
          <w:rFonts w:ascii="Calibri" w:hAnsi="微软雅黑" w:eastAsia="微软雅黑"/>
          <w:b/>
          <w:color w:val="0048A0"/>
          <w:sz w:val="27"/>
        </w:rPr>
        <w:t>9.3  填写与校验要点</w:t>
      </w:r>
    </w:p>
    <w:p w14:paraId="2A6AA1ED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一级专业、二级专业必须使用附件 1 字典的完整值（含编码前缀），且二级编码前两位等于一级编码，详见第 11 章。</w:t>
      </w:r>
    </w:p>
    <w:p w14:paraId="01DF4F10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级别与渠道须在字典内且互相匹配；立项后层级变更走数据变更流程。</w:t>
      </w:r>
    </w:p>
    <w:p w14:paraId="02F0E132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日期、经费为数值/日期格式，勿写入说明性文字。</w:t>
      </w:r>
    </w:p>
    <w:p w14:paraId="219DBC94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校验未通过的行可在高级筛选中单独列出，导出筛选包交给填报人修改。</w:t>
      </w:r>
    </w:p>
    <w:p w14:paraId="3728C7D0">
      <w:pPr>
        <w:pStyle w:val="3"/>
        <w:spacing w:before="320" w:after="160"/>
      </w:pPr>
      <w:r>
        <w:rPr>
          <w:rFonts w:ascii="Calibri" w:hAnsi="微软雅黑" w:eastAsia="微软雅黑"/>
          <w:b/>
          <w:color w:val="0048A0"/>
          <w:sz w:val="32"/>
        </w:rPr>
        <w:t>10  配置中心（成员、人员、渠道）</w:t>
      </w:r>
    </w:p>
    <w:p w14:paraId="0652B75F">
      <w:pPr>
        <w:pStyle w:val="4"/>
        <w:spacing w:before="240" w:after="160"/>
      </w:pPr>
      <w:r>
        <w:rPr>
          <w:rFonts w:ascii="Calibri" w:hAnsi="微软雅黑" w:eastAsia="微软雅黑"/>
          <w:b/>
          <w:color w:val="0048A0"/>
          <w:sz w:val="27"/>
        </w:rPr>
        <w:t>10.1  成员管理（登录账号）</w:t>
      </w:r>
    </w:p>
    <w:p w14:paraId="3C2B1C03">
      <w:pPr>
        <w:spacing w:before="0" w:after="160" w:line="324" w:lineRule="auto"/>
        <w:ind w:firstLine="420"/>
      </w:pPr>
      <w:r>
        <w:rPr>
          <w:rFonts w:ascii="Calibri" w:hAnsi="微软雅黑" w:eastAsia="微软雅黑"/>
          <w:b w:val="0"/>
          <w:color w:val="1F1F1F"/>
          <w:sz w:val="22"/>
        </w:rPr>
        <w:t>仅系统管理员。用于开通本系统登录账号，与「人员名录」（组织主数据）分离。</w:t>
      </w:r>
    </w:p>
    <w:p w14:paraId="25BED4F1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新增成员：填写工号、姓名、平台身份、范围（总部/单位/本人）、所属单位、职务说明；需要时打开「表单维护」并选择范围。</w:t>
      </w:r>
    </w:p>
    <w:p w14:paraId="75A0BEAF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初始密码等于工号。创建成功后请通知本人首次登录后修改。</w:t>
      </w:r>
    </w:p>
    <w:p w14:paraId="149AE2EB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编辑：调整角色、单位、在岗状态、表单权限。离岗后应无法登录。</w:t>
      </w:r>
    </w:p>
    <w:p w14:paraId="046C9DD9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删除：不可恢复，须确认工号无误。岗位变动原则上 7 个工作日内回收或停用账号。</w:t>
      </w:r>
    </w:p>
    <w:p w14:paraId="4598450E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管理员不应代替业务人员修改项目业务数据。</w:t>
      </w:r>
    </w:p>
    <w:p w14:paraId="6617B678">
      <w:pPr>
        <w:pStyle w:val="4"/>
        <w:spacing w:before="240" w:after="160"/>
      </w:pPr>
      <w:r>
        <w:rPr>
          <w:rFonts w:ascii="Calibri" w:hAnsi="微软雅黑" w:eastAsia="微软雅黑"/>
          <w:b/>
          <w:color w:val="0048A0"/>
          <w:sz w:val="27"/>
        </w:rPr>
        <w:t>10.2  人员名录</w:t>
      </w:r>
    </w:p>
    <w:p w14:paraId="01CBBA9F">
      <w:pPr>
        <w:spacing w:before="0" w:after="160" w:line="324" w:lineRule="auto"/>
        <w:ind w:firstLine="420"/>
      </w:pPr>
      <w:r>
        <w:rPr>
          <w:rFonts w:ascii="Calibri" w:hAnsi="微软雅黑" w:eastAsia="微软雅黑"/>
          <w:b w:val="0"/>
          <w:color w:val="1F1F1F"/>
          <w:sz w:val="22"/>
        </w:rPr>
        <w:t>人员名录来自组织主数据（工号、姓名、单位、部门、在岗）。申报选人、项目团队均应使用名录，避免同名歧义。管理员或总部管理团队可执行「从原平台同步」（需配置组织人员接口）。未配置时可用登录账号生成的名录桩数据，仅供联调。</w:t>
      </w:r>
    </w:p>
    <w:p w14:paraId="07E0036F">
      <w:pPr>
        <w:pStyle w:val="4"/>
        <w:spacing w:before="240" w:after="160"/>
      </w:pPr>
      <w:r>
        <w:rPr>
          <w:rFonts w:ascii="Calibri" w:hAnsi="微软雅黑" w:eastAsia="微软雅黑"/>
          <w:b/>
          <w:color w:val="0048A0"/>
          <w:sz w:val="27"/>
        </w:rPr>
        <w:t>10.3  渠道字典与流程</w:t>
      </w:r>
    </w:p>
    <w:p w14:paraId="5166579F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渠道编码全局唯一，禁止重复。</w:t>
      </w:r>
    </w:p>
    <w:p w14:paraId="1A6C65E8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字段包括层级、渠道部门、内部管理处室、申报材料、立项材料、全周期节点、审签链。</w:t>
      </w:r>
    </w:p>
    <w:p w14:paraId="5925372D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新增或终止渠道：责任单位科技部申请 → 总部审批 → 管理员维护，全程审计。</w:t>
      </w:r>
    </w:p>
    <w:p w14:paraId="34177F23">
      <w:pPr>
        <w:pStyle w:val="4"/>
        <w:spacing w:before="240" w:after="160"/>
      </w:pPr>
      <w:r>
        <w:rPr>
          <w:rFonts w:ascii="Calibri" w:hAnsi="微软雅黑" w:eastAsia="微软雅黑"/>
          <w:b/>
          <w:color w:val="0048A0"/>
          <w:sz w:val="27"/>
        </w:rPr>
        <w:t>10.4  审计日志</w:t>
      </w:r>
    </w:p>
    <w:p w14:paraId="4B18B689">
      <w:pPr>
        <w:spacing w:before="0" w:after="160" w:line="324" w:lineRule="auto"/>
        <w:ind w:firstLine="420"/>
      </w:pPr>
      <w:r>
        <w:rPr>
          <w:rFonts w:ascii="Calibri" w:hAnsi="微软雅黑" w:eastAsia="微软雅黑"/>
          <w:b w:val="0"/>
          <w:color w:val="1F1F1F"/>
          <w:sz w:val="22"/>
        </w:rPr>
        <w:t>申报、审批、转办、导入导出、销项、账号离岗等动作写入审计，供查询与溯源。业务争议以审计记录为准。</w:t>
      </w:r>
    </w:p>
    <w:p w14:paraId="60181869">
      <w:pPr>
        <w:pStyle w:val="3"/>
        <w:spacing w:before="320" w:after="160"/>
      </w:pPr>
      <w:r>
        <w:rPr>
          <w:rFonts w:ascii="Calibri" w:hAnsi="微软雅黑" w:eastAsia="微软雅黑"/>
          <w:b/>
          <w:color w:val="0048A0"/>
          <w:sz w:val="32"/>
        </w:rPr>
        <w:t>11  一级专业 / 二级专业填写规则</w:t>
      </w:r>
    </w:p>
    <w:p w14:paraId="55F00F52">
      <w:pPr>
        <w:spacing w:before="0" w:after="160" w:line="324" w:lineRule="auto"/>
        <w:ind w:firstLine="420"/>
      </w:pPr>
      <w:r>
        <w:rPr>
          <w:rFonts w:ascii="Calibri" w:hAnsi="微软雅黑" w:eastAsia="微软雅黑"/>
          <w:b w:val="0"/>
          <w:color w:val="1F1F1F"/>
          <w:sz w:val="22"/>
        </w:rPr>
        <w:t>预先研究项目「一级专业」「二级专业」以《附件1.预先研究项目信息》下拉选项为唯一口径。展示与入库必须使用完整值（编码+名称），不要只填中文简称。</w:t>
      </w:r>
    </w:p>
    <w:p w14:paraId="7A568F84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一级专业：两位编码 + 名称，格式 NN-名称，例如 10-总体气动。</w:t>
      </w:r>
    </w:p>
    <w:p w14:paraId="4AE9E29F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二级专业：四位编码 + 名称，格式 NNNN-名称，例如 1001-总体与气动。</w:t>
      </w:r>
    </w:p>
    <w:p w14:paraId="2AB24888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严格对应：二级编码前两位必须等于所属一级编码（1001 属于 10）。</w:t>
      </w:r>
    </w:p>
    <w:p w14:paraId="337DDD9F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界面先选一级，二级下拉仅出现该一级下的子集。导入文件若组合非法，校验会提示不属于该一级。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6C36CF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0048A0"/>
            <w:vAlign w:val="center"/>
          </w:tcPr>
          <w:p w14:paraId="7EDFE1AA">
            <w:pPr>
              <w:spacing w:before="40" w:after="40" w:line="276" w:lineRule="auto"/>
              <w:jc w:val="center"/>
            </w:pPr>
            <w:r>
              <w:rPr>
                <w:rFonts w:ascii="Calibri" w:hAnsi="微软雅黑" w:eastAsia="微软雅黑"/>
                <w:b/>
                <w:color w:val="FFFFFF"/>
                <w:sz w:val="20"/>
              </w:rPr>
              <w:t>一级专业</w:t>
            </w:r>
          </w:p>
        </w:tc>
        <w:tc>
          <w:tcPr>
            <w:tcW w:w="4592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0048A0"/>
            <w:vAlign w:val="center"/>
          </w:tcPr>
          <w:p w14:paraId="57CEA95B">
            <w:pPr>
              <w:spacing w:before="40" w:after="40" w:line="276" w:lineRule="auto"/>
              <w:jc w:val="center"/>
            </w:pPr>
            <w:r>
              <w:rPr>
                <w:rFonts w:ascii="Calibri" w:hAnsi="微软雅黑" w:eastAsia="微软雅黑"/>
                <w:b/>
                <w:color w:val="FFFFFF"/>
                <w:sz w:val="20"/>
              </w:rPr>
              <w:t>二级专业（须前两位一致）</w:t>
            </w:r>
          </w:p>
        </w:tc>
      </w:tr>
      <w:tr w14:paraId="2FB6D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2C9DB90F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10-总体气动</w:t>
            </w:r>
          </w:p>
        </w:tc>
        <w:tc>
          <w:tcPr>
            <w:tcW w:w="4592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789035E5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1001-总体与气动；1002-需求与验证；1003-适航与四性；1004-舱室</w:t>
            </w:r>
          </w:p>
        </w:tc>
      </w:tr>
      <w:tr w14:paraId="44F0A5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7BA4755D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20-机体</w:t>
            </w:r>
          </w:p>
        </w:tc>
        <w:tc>
          <w:tcPr>
            <w:tcW w:w="4592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5F9DD9D7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2001-材料与工艺；2002-强度；2003-结构</w:t>
            </w:r>
          </w:p>
        </w:tc>
      </w:tr>
      <w:tr w14:paraId="3EDBC541">
        <w:trPr>
          <w:jc w:val="center"/>
        </w:trPr>
        <w:tc>
          <w:tcPr>
            <w:tcW w:w="4592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7E721E64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30-系统</w:t>
            </w:r>
          </w:p>
        </w:tc>
        <w:tc>
          <w:tcPr>
            <w:tcW w:w="4592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75D60247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3001-航电电气；3002-飞控；3003-液压起落架刹车；3004-动力机APU；3005-燃油与防火；3006-环控与氧气</w:t>
            </w:r>
          </w:p>
        </w:tc>
      </w:tr>
      <w:tr w14:paraId="045AB2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086DA97D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40-制造</w:t>
            </w:r>
          </w:p>
        </w:tc>
        <w:tc>
          <w:tcPr>
            <w:tcW w:w="4592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461AF09D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4001-系统工艺；4002-冷工艺技术；4003-热工艺技术；4004-工艺装备；4005-增材制造</w:t>
            </w:r>
          </w:p>
        </w:tc>
      </w:tr>
      <w:tr w14:paraId="1FA421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57F813A8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50-复合材料</w:t>
            </w:r>
          </w:p>
        </w:tc>
        <w:tc>
          <w:tcPr>
            <w:tcW w:w="4592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05E04B6D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5001-复合材料设计；5002-复合材料与工艺</w:t>
            </w:r>
          </w:p>
        </w:tc>
      </w:tr>
      <w:tr w14:paraId="3EDD52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1F365070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60-飞行</w:t>
            </w:r>
          </w:p>
        </w:tc>
        <w:tc>
          <w:tcPr>
            <w:tcW w:w="4592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23452D7B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6001-试飞工程；6002-试飞测试；6003-试验飞行；6004-试飞运行与保障技术；6005-飞机运行安全</w:t>
            </w:r>
          </w:p>
        </w:tc>
      </w:tr>
      <w:tr w14:paraId="45F934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67DD61DD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70-运行支持</w:t>
            </w:r>
          </w:p>
        </w:tc>
        <w:tc>
          <w:tcPr>
            <w:tcW w:w="4592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1CAD6B9A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7001-运行支援；7002-维修工程；7003-飞行运行工程；7004-培训工程；7005-技术出版物</w:t>
            </w:r>
          </w:p>
        </w:tc>
      </w:tr>
      <w:tr w14:paraId="0A59C6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74A3D2CB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80-通用基础</w:t>
            </w:r>
          </w:p>
        </w:tc>
        <w:tc>
          <w:tcPr>
            <w:tcW w:w="4592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0DF91923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8001-市场技术；8002-质量工程；8003-情报档案；8004-标准化技术；8005-信息化；8006-工业工程；8007-5G与人工智能应用</w:t>
            </w:r>
          </w:p>
        </w:tc>
      </w:tr>
    </w:tbl>
    <w:p w14:paraId="24BB28A9"/>
    <w:p w14:paraId="594FD673">
      <w:pPr>
        <w:pStyle w:val="3"/>
        <w:spacing w:before="320" w:after="160"/>
      </w:pPr>
      <w:r>
        <w:rPr>
          <w:rFonts w:ascii="Calibri" w:hAnsi="微软雅黑" w:eastAsia="微软雅黑"/>
          <w:b/>
          <w:color w:val="0048A0"/>
          <w:sz w:val="32"/>
        </w:rPr>
        <w:t>12  演示与验收账号</w:t>
      </w:r>
    </w:p>
    <w:p w14:paraId="7A3ADCDF">
      <w:pPr>
        <w:spacing w:before="0" w:after="160" w:line="324" w:lineRule="auto"/>
        <w:ind w:firstLine="420"/>
      </w:pPr>
      <w:r>
        <w:rPr>
          <w:rFonts w:ascii="Calibri" w:hAnsi="微软雅黑" w:eastAsia="微软雅黑"/>
          <w:b w:val="0"/>
          <w:color w:val="1F1F1F"/>
          <w:sz w:val="22"/>
        </w:rPr>
        <w:t>以下 12 个账户在干净安装后可用，登录页不展示人员列表。初始密码 = 工号。生产环境请立即改密并按实际人员替换。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7"/>
        <w:gridCol w:w="1837"/>
        <w:gridCol w:w="1837"/>
        <w:gridCol w:w="1837"/>
        <w:gridCol w:w="1837"/>
      </w:tblGrid>
      <w:tr w14:paraId="5D093D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0048A0"/>
            <w:vAlign w:val="center"/>
          </w:tcPr>
          <w:p w14:paraId="18428845">
            <w:pPr>
              <w:spacing w:before="40" w:after="40" w:line="276" w:lineRule="auto"/>
              <w:jc w:val="center"/>
            </w:pPr>
            <w:r>
              <w:rPr>
                <w:rFonts w:ascii="Calibri" w:hAnsi="微软雅黑" w:eastAsia="微软雅黑"/>
                <w:b/>
                <w:color w:val="FFFFFF"/>
                <w:sz w:val="20"/>
              </w:rPr>
              <w:t>工号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0048A0"/>
            <w:vAlign w:val="center"/>
          </w:tcPr>
          <w:p w14:paraId="1B7EE80A">
            <w:pPr>
              <w:spacing w:before="40" w:after="40" w:line="276" w:lineRule="auto"/>
              <w:jc w:val="center"/>
            </w:pPr>
            <w:r>
              <w:rPr>
                <w:rFonts w:ascii="Calibri" w:hAnsi="微软雅黑" w:eastAsia="微软雅黑"/>
                <w:b/>
                <w:color w:val="FFFFFF"/>
                <w:sz w:val="20"/>
              </w:rPr>
              <w:t>姓名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0048A0"/>
            <w:vAlign w:val="center"/>
          </w:tcPr>
          <w:p w14:paraId="22266EC6">
            <w:pPr>
              <w:spacing w:before="40" w:after="40" w:line="276" w:lineRule="auto"/>
              <w:jc w:val="center"/>
            </w:pPr>
            <w:r>
              <w:rPr>
                <w:rFonts w:ascii="Calibri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0048A0"/>
            <w:vAlign w:val="center"/>
          </w:tcPr>
          <w:p w14:paraId="3B084152">
            <w:pPr>
              <w:spacing w:before="40" w:after="40" w:line="276" w:lineRule="auto"/>
              <w:jc w:val="center"/>
            </w:pPr>
            <w:r>
              <w:rPr>
                <w:rFonts w:ascii="Calibri" w:hAnsi="微软雅黑" w:eastAsia="微软雅黑"/>
                <w:b/>
                <w:color w:val="FFFFFF"/>
                <w:sz w:val="20"/>
              </w:rPr>
              <w:t>岗位摘要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0048A0"/>
            <w:vAlign w:val="center"/>
          </w:tcPr>
          <w:p w14:paraId="2450641D">
            <w:pPr>
              <w:spacing w:before="40" w:after="40" w:line="276" w:lineRule="auto"/>
              <w:jc w:val="center"/>
            </w:pPr>
            <w:r>
              <w:rPr>
                <w:rFonts w:ascii="Calibri" w:hAnsi="微软雅黑" w:eastAsia="微软雅黑"/>
                <w:b/>
                <w:color w:val="FFFFFF"/>
                <w:sz w:val="20"/>
              </w:rPr>
              <w:t>表单维护</w:t>
            </w:r>
          </w:p>
        </w:tc>
      </w:tr>
      <w:tr w14:paraId="2BB4FD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62F4C4C2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100001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53BE5F80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系统管理员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782A5DC2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系统管理员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09CD6407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平台运维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4959E0AF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是（全部）</w:t>
            </w:r>
          </w:p>
        </w:tc>
      </w:tr>
      <w:tr w14:paraId="0E15D3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5BE5DD9D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100002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51B459BA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周明远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0EF77B86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领导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423E9057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科技管理数智大屏决策查看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65B950E6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否</w:t>
            </w:r>
          </w:p>
        </w:tc>
      </w:tr>
      <w:tr w14:paraId="0A7261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203BB8E1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100003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0491AEDB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王建国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3CABCD11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管理团队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3C08527A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总部责任处室处长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46FD0D16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是（总部）</w:t>
            </w:r>
          </w:p>
        </w:tc>
      </w:tr>
      <w:tr w14:paraId="3E9C84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1B4FBF7C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100004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5F367F25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何雨桐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3D639A14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管理团队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753713A8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总部科研项目主管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6213D336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是（总部）</w:t>
            </w:r>
          </w:p>
        </w:tc>
      </w:tr>
      <w:tr w14:paraId="3CDE7C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02500678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100005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742EFBD6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方致远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22D903FF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管理团队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36708715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单位科研管理部门负责人（上飞院）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24103EE2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否</w:t>
            </w:r>
          </w:p>
        </w:tc>
      </w:tr>
      <w:tr w14:paraId="0EAE7D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1CB1A8B6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100006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241EEB38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田念慈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5DFF13CD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管理团队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4B11255A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单位项目主管（上飞院）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398BB5D2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否</w:t>
            </w:r>
          </w:p>
        </w:tc>
      </w:tr>
      <w:tr w14:paraId="76C1DD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42222FD4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100007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6F81E9C2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陈铁军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4E164FEA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责任总师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67C4751D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一级总师（公司级）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46B99D31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否</w:t>
            </w:r>
          </w:p>
        </w:tc>
      </w:tr>
      <w:tr w14:paraId="5F2A6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734B4658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100008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316E5FC4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蔡文渊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57F37C04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责任总师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60700CFF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二级总师（单位级）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58AC15D4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否</w:t>
            </w:r>
          </w:p>
        </w:tc>
      </w:tr>
      <w:tr w14:paraId="2D2806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61A321C7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100009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0D14EBF5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赵美玲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6A559E4D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财务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5D82AF4D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上飞公司财务主管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0A197BFF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否</w:t>
            </w:r>
          </w:p>
        </w:tc>
      </w:tr>
      <w:tr w14:paraId="321F68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2F5C4DA1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100010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393E88BA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毕仲文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20129E31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财务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4537323D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二级单位财务负责人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6C68CF50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否</w:t>
            </w:r>
          </w:p>
        </w:tc>
      </w:tr>
      <w:tr w14:paraId="1DC88C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68BF98F2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100011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3A8EC5E1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龚雪君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1FD93E9B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财务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1D71C919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经费核销经办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275773C6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否</w:t>
            </w:r>
          </w:p>
        </w:tc>
      </w:tr>
      <w:tr w14:paraId="6C3BC6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7522AA28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100012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7BAFB686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林晚晴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1B235F01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项目团队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2D30C968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项目责任人</w:t>
            </w:r>
          </w:p>
        </w:tc>
        <w:tc>
          <w:tcPr>
            <w:tcW w:w="1837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5BD06D9F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否</w:t>
            </w:r>
          </w:p>
        </w:tc>
      </w:tr>
    </w:tbl>
    <w:p w14:paraId="3A01EDE7"/>
    <w:p w14:paraId="52077BA1">
      <w:pPr>
        <w:spacing w:before="0" w:after="160" w:line="324" w:lineRule="auto"/>
        <w:ind w:firstLine="420"/>
      </w:pPr>
      <w:r>
        <w:rPr>
          <w:rFonts w:ascii="Calibri" w:hAnsi="微软雅黑" w:eastAsia="微软雅黑"/>
          <w:b w:val="0"/>
          <w:color w:val="1F1F1F"/>
          <w:sz w:val="22"/>
        </w:rPr>
        <w:t>建议验收路径：100001 核对成员与表单维护；100003 核对全量台账与驾驶舱；100005 核对本单位过滤；100007 核对评审只读；100012 核对仅本人项目且无全量导出；100002 核对数智大屏。</w:t>
      </w:r>
    </w:p>
    <w:p w14:paraId="54925544">
      <w:pPr>
        <w:pStyle w:val="3"/>
        <w:spacing w:before="320" w:after="160"/>
      </w:pPr>
      <w:r>
        <w:rPr>
          <w:rFonts w:ascii="Calibri" w:hAnsi="微软雅黑" w:eastAsia="微软雅黑"/>
          <w:b/>
          <w:color w:val="0048A0"/>
          <w:sz w:val="32"/>
        </w:rPr>
        <w:t>13  常见问题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2180DC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0048A0"/>
            <w:vAlign w:val="center"/>
          </w:tcPr>
          <w:p w14:paraId="39117FBF">
            <w:pPr>
              <w:spacing w:before="40" w:after="40" w:line="276" w:lineRule="auto"/>
              <w:jc w:val="center"/>
            </w:pPr>
            <w:r>
              <w:rPr>
                <w:rFonts w:ascii="Calibri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w="4592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0048A0"/>
            <w:vAlign w:val="center"/>
          </w:tcPr>
          <w:p w14:paraId="2D987C40">
            <w:pPr>
              <w:spacing w:before="40" w:after="40" w:line="276" w:lineRule="auto"/>
              <w:jc w:val="center"/>
            </w:pPr>
            <w:r>
              <w:rPr>
                <w:rFonts w:ascii="Calibri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0D7B13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782AE09D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浏览器兼容</w:t>
            </w:r>
          </w:p>
        </w:tc>
        <w:tc>
          <w:tcPr>
            <w:tcW w:w="4592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1D8E9ED4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请使用 Chrome / Edge 最新版；IE 不受理。</w:t>
            </w:r>
          </w:p>
        </w:tc>
      </w:tr>
      <w:tr w14:paraId="5E8786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562B18D1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菜单与现场培训不一致</w:t>
            </w:r>
          </w:p>
        </w:tc>
        <w:tc>
          <w:tcPr>
            <w:tcW w:w="4592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43C57795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菜单按角色隐藏。用对应工号登录后再对照。</w:t>
            </w:r>
          </w:p>
        </w:tc>
      </w:tr>
      <w:tr w14:paraId="2F683E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10742D69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驾驶舱有数、台账为空</w:t>
            </w:r>
          </w:p>
        </w:tc>
        <w:tc>
          <w:tcPr>
            <w:tcW w:w="4592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2F50B264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强制刷新；确认当前筛选条件；确认角色数据范围。</w:t>
            </w:r>
          </w:p>
        </w:tc>
      </w:tr>
      <w:tr w14:paraId="78F178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79B46DFD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导入 Excel 失败</w:t>
            </w:r>
          </w:p>
        </w:tc>
        <w:tc>
          <w:tcPr>
            <w:tcW w:w="4592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166C333A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使用平台导出的表头模板；专业字段填完整编码名称；总表覆盖需总部权限。</w:t>
            </w:r>
          </w:p>
        </w:tc>
      </w:tr>
      <w:tr w14:paraId="4661C0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78B518C0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选不到某位同事</w:t>
            </w:r>
          </w:p>
        </w:tc>
        <w:tc>
          <w:tcPr>
            <w:tcW w:w="4592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41FC48EF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人员须在名录且在岗；管理员先同步人员或补录名录，再开通登录账号。</w:t>
            </w:r>
          </w:p>
        </w:tc>
      </w:tr>
      <w:tr w14:paraId="1289E3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2D289B4E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误清空表单</w:t>
            </w:r>
          </w:p>
        </w:tc>
        <w:tc>
          <w:tcPr>
            <w:tcW w:w="4592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01F561AE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高危操作前应导出备份。数据卷删除属于运维事故，业务人员不要执行 Docker 删卷。</w:t>
            </w:r>
          </w:p>
        </w:tc>
      </w:tr>
      <w:tr w14:paraId="776256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07D84970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8092 与本平台数字不一致</w:t>
            </w:r>
          </w:p>
        </w:tc>
        <w:tc>
          <w:tcPr>
            <w:tcW w:w="4592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417C6DE5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台账为拷贝合并，不是双库实时查询。8092 新变更需运维再次执行接入脚本。</w:t>
            </w:r>
          </w:p>
        </w:tc>
      </w:tr>
    </w:tbl>
    <w:p w14:paraId="6B72E22D"/>
    <w:p w14:paraId="556E6DD3">
      <w:pPr>
        <w:spacing w:before="0" w:after="160" w:line="324" w:lineRule="auto"/>
        <w:ind w:firstLine="420"/>
      </w:pPr>
      <w:r>
        <w:rPr>
          <w:rFonts w:ascii="Calibri" w:hAnsi="微软雅黑" w:eastAsia="微软雅黑"/>
          <w:b w:val="0"/>
          <w:color w:val="1F1F1F"/>
          <w:sz w:val="22"/>
        </w:rPr>
        <w:t>运维禁令（业务人员亦须知晓，以免误导现场操作）：不要执行 docker compose down -v；不要删除数据卷 platform_srpm-data；不要把 8092 整库文件拷进本平台；不要停、不要改 8092 容器与数据卷。</w:t>
      </w:r>
    </w:p>
    <w:p w14:paraId="2B272617">
      <w:pPr>
        <w:pStyle w:val="3"/>
        <w:spacing w:before="320" w:after="160"/>
      </w:pPr>
      <w:r>
        <w:rPr>
          <w:rFonts w:ascii="Calibri" w:hAnsi="微软雅黑" w:eastAsia="微软雅黑"/>
          <w:b/>
          <w:color w:val="0048A0"/>
          <w:sz w:val="32"/>
        </w:rPr>
        <w:t>14  附录  目标栈（Vue3 + Spring Boot）对照</w:t>
      </w:r>
    </w:p>
    <w:p w14:paraId="1F25A99D">
      <w:pPr>
        <w:spacing w:before="0" w:after="160" w:line="324" w:lineRule="auto"/>
        <w:ind w:firstLine="420"/>
      </w:pPr>
      <w:bookmarkStart w:id="0" w:name="_GoBack"/>
      <w:bookmarkEnd w:id="0"/>
      <w:r>
        <w:rPr>
          <w:rFonts w:ascii="Calibri" w:hAnsi="微软雅黑" w:eastAsia="微软雅黑"/>
          <w:b w:val="0"/>
          <w:color w:val="1F1F1F"/>
          <w:sz w:val="22"/>
        </w:rPr>
        <w:t>前端 Vue3 + TypeScript + Ant Design Vue，后端 Java 17 + Spring Boot 3。人员名录 person_directory 与登录账号 sys_user 分离。</w:t>
      </w:r>
    </w:p>
    <w:p w14:paraId="155BEBC0">
      <w:pPr>
        <w:pStyle w:val="4"/>
        <w:spacing w:before="240" w:after="160"/>
      </w:pPr>
      <w:r>
        <w:rPr>
          <w:rFonts w:ascii="Calibri" w:hAnsi="微软雅黑" w:eastAsia="微软雅黑"/>
          <w:b/>
          <w:color w:val="0048A0"/>
          <w:sz w:val="27"/>
        </w:rPr>
        <w:t>14.1  访问</w:t>
      </w:r>
    </w:p>
    <w:p w14:paraId="06526F88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本地开发：前端 http://127.0.0.1:5173 ，后端 Maven 启动；账号 100001 / 100001。</w:t>
      </w:r>
    </w:p>
    <w:p w14:paraId="3345C7C6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容器示例：docker-compose 映射 18101；18086 组合用于指定环境并行。</w:t>
      </w:r>
    </w:p>
    <w:p w14:paraId="638BDB19">
      <w:pPr>
        <w:pStyle w:val="16"/>
        <w:spacing w:after="60" w:line="300" w:lineRule="auto"/>
        <w:ind w:left="425"/>
      </w:pPr>
      <w:r>
        <w:rPr>
          <w:rFonts w:ascii="Calibri" w:hAnsi="微软雅黑" w:eastAsia="微软雅黑"/>
          <w:b w:val="0"/>
          <w:color w:val="1F1F1F"/>
          <w:sz w:val="22"/>
        </w:rPr>
        <w:t>健康检查：GET /api/healthz 返回 status=ok、stack=spring-boot。</w:t>
      </w:r>
    </w:p>
    <w:p w14:paraId="6BB56D58">
      <w:pPr>
        <w:pStyle w:val="4"/>
        <w:spacing w:before="240" w:after="160"/>
      </w:pPr>
      <w:r>
        <w:rPr>
          <w:rFonts w:ascii="Calibri" w:hAnsi="微软雅黑" w:eastAsia="微软雅黑"/>
          <w:b/>
          <w:color w:val="0048A0"/>
          <w:sz w:val="27"/>
        </w:rPr>
        <w:t>14.2  已提供页面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29EA43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0048A0"/>
            <w:vAlign w:val="center"/>
          </w:tcPr>
          <w:p w14:paraId="29C00E82">
            <w:pPr>
              <w:spacing w:before="40" w:after="40" w:line="276" w:lineRule="auto"/>
              <w:jc w:val="center"/>
            </w:pPr>
            <w:r>
              <w:rPr>
                <w:rFonts w:ascii="Calibri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0048A0"/>
            <w:vAlign w:val="center"/>
          </w:tcPr>
          <w:p w14:paraId="1AA32260">
            <w:pPr>
              <w:spacing w:before="40" w:after="40" w:line="276" w:lineRule="auto"/>
              <w:jc w:val="center"/>
            </w:pPr>
            <w:r>
              <w:rPr>
                <w:rFonts w:ascii="Calibri" w:hAnsi="微软雅黑" w:eastAsia="微软雅黑"/>
                <w:b/>
                <w:color w:val="FFFFFF"/>
                <w:sz w:val="20"/>
              </w:rPr>
              <w:t>页面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0048A0"/>
            <w:vAlign w:val="center"/>
          </w:tcPr>
          <w:p w14:paraId="5688FB13">
            <w:pPr>
              <w:spacing w:before="40" w:after="40" w:line="276" w:lineRule="auto"/>
              <w:jc w:val="center"/>
            </w:pPr>
            <w:r>
              <w:rPr>
                <w:rFonts w:ascii="Calibri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76A2CA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61FD9A4A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/login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35446215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登录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2186B300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工号 + 密码，JWT 会话</w:t>
            </w:r>
          </w:p>
        </w:tc>
      </w:tr>
      <w:tr w14:paraId="38A205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345E6DCB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/cockpit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3DA3DF74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可视化驾驶舱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71226ABA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可见项目数等 KPI，接口 /api/dashboard</w:t>
            </w:r>
          </w:p>
        </w:tc>
      </w:tr>
      <w:tr w14:paraId="4A569A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780A2BED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/projects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6BDCF554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项目台账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20675213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编号/名称/状态/层级，接口 /api/projects</w:t>
            </w:r>
          </w:p>
        </w:tc>
      </w:tr>
      <w:tr w14:paraId="1E9FAE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71CD4D3D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/ledger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17D74130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表单维护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6BADDEDB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占位页，后续对齐 /api/transition-tool</w:t>
            </w:r>
          </w:p>
        </w:tc>
      </w:tr>
      <w:tr w14:paraId="40B60C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4F1F3BDA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/admin/members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63F2610A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成员管理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05E36740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仅 admin；登录账号列表</w:t>
            </w:r>
          </w:p>
        </w:tc>
      </w:tr>
      <w:tr w14:paraId="6D8576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4234C52F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/admin/people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49EC5E36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人员名录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5F7FA"/>
            <w:vAlign w:val="center"/>
          </w:tcPr>
          <w:p w14:paraId="38B5457C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admin/mgmt；支持从原平台同步</w:t>
            </w:r>
          </w:p>
        </w:tc>
      </w:tr>
    </w:tbl>
    <w:p w14:paraId="72E4B3E5"/>
    <w:p w14:paraId="06DF7EEB">
      <w:pPr>
        <w:pStyle w:val="16"/>
        <w:numPr>
          <w:numId w:val="0"/>
        </w:numPr>
        <w:spacing w:after="60" w:line="300" w:lineRule="auto"/>
        <w:ind w:left="65" w:leftChars="0"/>
      </w:pPr>
    </w:p>
    <w:p w14:paraId="6BB84745">
      <w:pPr>
        <w:pStyle w:val="3"/>
        <w:spacing w:before="320" w:after="160"/>
      </w:pPr>
      <w:r>
        <w:rPr>
          <w:rFonts w:ascii="Calibri" w:hAnsi="微软雅黑" w:eastAsia="微软雅黑"/>
          <w:b/>
          <w:color w:val="0048A0"/>
          <w:sz w:val="32"/>
        </w:rPr>
        <w:t>15  修订记录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0A66DA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0048A0"/>
            <w:vAlign w:val="center"/>
          </w:tcPr>
          <w:p w14:paraId="42096F5E">
            <w:pPr>
              <w:spacing w:before="40" w:after="40" w:line="276" w:lineRule="auto"/>
              <w:jc w:val="center"/>
            </w:pPr>
            <w:r>
              <w:rPr>
                <w:rFonts w:ascii="Calibri" w:hAnsi="微软雅黑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0048A0"/>
            <w:vAlign w:val="center"/>
          </w:tcPr>
          <w:p w14:paraId="4318DD27">
            <w:pPr>
              <w:spacing w:before="40" w:after="40" w:line="276" w:lineRule="auto"/>
              <w:jc w:val="center"/>
            </w:pPr>
            <w:r>
              <w:rPr>
                <w:rFonts w:ascii="Calibri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0048A0"/>
            <w:vAlign w:val="center"/>
          </w:tcPr>
          <w:p w14:paraId="19CA9D9C">
            <w:pPr>
              <w:spacing w:before="40" w:after="40" w:line="276" w:lineRule="auto"/>
              <w:jc w:val="center"/>
            </w:pPr>
            <w:r>
              <w:rPr>
                <w:rFonts w:ascii="Calibri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724502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14770BA9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2026-08-28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358F8194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V1.0</w:t>
            </w:r>
          </w:p>
        </w:tc>
        <w:tc>
          <w:tcPr>
            <w:tcW w:w="3061" w:type="dxa"/>
            <w:tcBorders>
              <w:top w:val="single" w:color="E8E8E8" w:sz="4" w:space="0"/>
              <w:left w:val="single" w:color="E8E8E8" w:sz="4" w:space="0"/>
              <w:bottom w:val="single" w:color="E8E8E8" w:sz="4" w:space="0"/>
              <w:right w:val="single" w:color="E8E8E8" w:sz="4" w:space="0"/>
            </w:tcBorders>
            <w:shd w:val="clear" w:color="auto" w:fill="FFFFFF"/>
            <w:vAlign w:val="center"/>
          </w:tcPr>
          <w:p w14:paraId="0C25C3CF">
            <w:pPr>
              <w:spacing w:before="40" w:after="40" w:line="276" w:lineRule="auto"/>
              <w:jc w:val="left"/>
            </w:pPr>
            <w:r>
              <w:rPr>
                <w:rFonts w:ascii="Calibri" w:hAnsi="微软雅黑" w:eastAsia="微软雅黑"/>
                <w:b w:val="0"/>
                <w:color w:val="1F1F1F"/>
                <w:sz w:val="20"/>
              </w:rPr>
              <w:t>首版：按现网 18087 业务操作编写，并附录 Vue3+Spring Boot 目标栈</w:t>
            </w:r>
          </w:p>
        </w:tc>
      </w:tr>
    </w:tbl>
    <w:p w14:paraId="48719550"/>
    <w:p w14:paraId="73E2C1AE">
      <w:pPr>
        <w:spacing w:before="0" w:after="160" w:line="324" w:lineRule="auto"/>
        <w:ind w:firstLine="420"/>
      </w:pPr>
      <w:r>
        <w:rPr>
          <w:rFonts w:ascii="Calibri" w:hAnsi="微软雅黑" w:eastAsia="微软雅黑"/>
          <w:b w:val="0"/>
          <w:color w:val="1F1F1F"/>
          <w:sz w:val="22"/>
        </w:rPr>
        <w:t>本文档随平台菜单与权限策略更新。若现场入口地址、端口或账号清单与本文不一致，以现场管理员通知为准。</w:t>
      </w:r>
    </w:p>
    <w:sectPr>
      <w:headerReference r:id="rId5" w:type="default"/>
      <w:footerReference r:id="rId6" w:type="default"/>
      <w:pgSz w:w="11906" w:h="16838"/>
      <w:pgMar w:top="1247" w:right="1361" w:bottom="1247" w:left="1361" w:header="68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529BEB">
    <w:pPr>
      <w:pStyle w:val="24"/>
      <w:jc w:val="center"/>
    </w:pPr>
    <w:r>
      <w:rPr>
        <w:rFonts w:ascii="微软雅黑" w:hAnsi="微软雅黑" w:eastAsia="微软雅黑"/>
        <w:color w:val="8C8C8C"/>
        <w:sz w:val="18"/>
      </w:rPr>
      <w:t xml:space="preserve">内部资料　·　使用说明　·　第 </w:t>
    </w:r>
    <w:r>
      <w:rPr>
        <w:rFonts w:ascii="微软雅黑" w:hAnsi="微软雅黑"/>
        <w:color w:val="8C8C8C"/>
        <w:sz w:val="18"/>
      </w:rPr>
      <w:fldChar w:fldCharType="begin"/>
    </w:r>
    <w:r>
      <w:rPr>
        <w:rFonts w:ascii="微软雅黑" w:hAnsi="微软雅黑"/>
        <w:color w:val="8C8C8C"/>
        <w:sz w:val="18"/>
      </w:rPr>
      <w:instrText xml:space="preserve"> PAGE </w:instrText>
    </w:r>
    <w:r>
      <w:rPr>
        <w:rFonts w:ascii="微软雅黑" w:hAnsi="微软雅黑"/>
        <w:color w:val="8C8C8C"/>
        <w:sz w:val="18"/>
      </w:rPr>
      <w:fldChar w:fldCharType="end"/>
    </w:r>
    <w:r>
      <w:rPr>
        <w:rFonts w:ascii="微软雅黑" w:hAnsi="微软雅黑" w:eastAsia="微软雅黑"/>
        <w:color w:val="8C8C8C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E35CB1">
    <w:pPr>
      <w:pStyle w:val="25"/>
      <w:pBdr>
        <w:bottom w:val="single" w:color="0048A0" w:sz="12" w:space="4"/>
      </w:pBdr>
      <w:jc w:val="left"/>
    </w:pPr>
    <w:r>
      <w:rPr>
        <w:rFonts w:ascii="微软雅黑" w:hAnsi="微软雅黑" w:eastAsia="微软雅黑"/>
        <w:color w:val="0048A0"/>
        <w:sz w:val="18"/>
      </w:rPr>
      <w:t>中国商用飞机有限责任公司　·　科研项目信息化管理平台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39341C"/>
    <w:rsid w:val="3E5F0F6A"/>
    <w:rsid w:val="44344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1F1F1F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889</Words>
  <Characters>992</Characters>
  <Lines>0</Lines>
  <Paragraphs>0</Paragraphs>
  <TotalTime>6</TotalTime>
  <ScaleCrop>false</ScaleCrop>
  <LinksUpToDate>false</LinksUpToDate>
  <CharactersWithSpaces>1059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棋卒</cp:lastModifiedBy>
  <dcterms:modified xsi:type="dcterms:W3CDTF">2026-08-28T07:29:24Z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eyJoZGlkIjoiOGQ1OGQ3ZDhlNjg4M2M2ZmIyOGMzODU5MzQwZGU0MDMiLCJ1c2VySWQiOiI2Njg4OTcwNzYifQ==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D1EC9E9DF16E40F9AD483AA69AE9AFAB_12</vt:lpwstr>
  </property>
</Properties>
</file>