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Calibri" w:hAnsi="Calibri"/>
          <w:b/>
          <w:color w:val="0048A0"/>
          <w:sz w:val="44"/>
          <w:eastAsian w:val="黑体"/>
        </w:rPr>
        <w:t>科研项目信息化管理平台</w:t>
      </w:r>
    </w:p>
    <w:p>
      <w:pPr>
        <w:jc w:val="center"/>
      </w:pPr>
      <w:r>
        <w:rPr>
          <w:rFonts w:ascii="Calibri" w:hAnsi="Calibri"/>
          <w:b/>
          <w:color w:val="0064EF"/>
          <w:sz w:val="36"/>
          <w:eastAsian w:val="黑体"/>
        </w:rPr>
        <w:t>接入 Vue3 + Vite + TypeScript</w:t>
      </w:r>
    </w:p>
    <w:p>
      <w:pPr>
        <w:jc w:val="center"/>
      </w:pPr>
      <w:r>
        <w:rPr>
          <w:rFonts w:ascii="Calibri" w:hAnsi="Calibri"/>
          <w:b/>
          <w:color w:val="0064EF"/>
          <w:sz w:val="36"/>
          <w:eastAsian w:val="黑体"/>
        </w:rPr>
        <w:t>与 Java Spring Boot 技术框架</w:t>
      </w:r>
    </w:p>
    <w:p>
      <w:pPr>
        <w:spacing w:before="160"/>
        <w:jc w:val="center"/>
      </w:pPr>
      <w:r>
        <w:rPr>
          <w:rFonts w:ascii="Calibri" w:hAnsi="Calibri"/>
          <w:b/>
          <w:color w:val="1F1F1F"/>
          <w:sz w:val="32"/>
          <w:eastAsian w:val="黑体"/>
        </w:rPr>
        <w:t>可行性与问题分析</w:t>
      </w:r>
    </w:p>
    <w:p>
      <w:pPr>
        <w:spacing w:before="240"/>
        <w:jc w:val="center"/>
      </w:pPr>
      <w:r>
        <w:rPr>
          <w:rFonts w:ascii="Calibri" w:hAnsi="Calibri"/>
          <w:b w:val="0"/>
          <w:color w:val="595959"/>
          <w:sz w:val="24"/>
          <w:eastAsian w:val="楷体"/>
        </w:rPr>
        <w:t>对照对象：现网 SRPM（React 构建产物 + Node/Express + SQLite）</w:t>
      </w:r>
    </w:p>
    <w:p>
      <w:pPr>
        <w:spacing w:before="5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2041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2"/>
                <w:eastAsian w:val="黑体"/>
              </w:rPr>
              <w:t>文档版本</w:t>
            </w:r>
          </w:p>
        </w:tc>
        <w:tc>
          <w:tcPr>
            <w:tcW w:type="dxa" w:w="7143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2"/>
                <w:eastAsian w:val="宋体"/>
              </w:rPr>
              <w:t>V1.0</w:t>
            </w:r>
          </w:p>
        </w:tc>
      </w:tr>
      <w:tr>
        <w:tc>
          <w:tcPr>
            <w:tcW w:type="dxa" w:w="2041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2"/>
                <w:eastAsian w:val="黑体"/>
              </w:rPr>
              <w:t>编制日期</w:t>
            </w:r>
          </w:p>
        </w:tc>
        <w:tc>
          <w:tcPr>
            <w:tcW w:type="dxa" w:w="7143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2"/>
                <w:eastAsian w:val="宋体"/>
              </w:rPr>
              <w:t>2026-08-28</w:t>
            </w:r>
          </w:p>
        </w:tc>
      </w:tr>
      <w:tr>
        <w:tc>
          <w:tcPr>
            <w:tcW w:type="dxa" w:w="2041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2"/>
                <w:eastAsian w:val="黑体"/>
              </w:rPr>
              <w:t>现网基线</w:t>
            </w:r>
          </w:p>
        </w:tc>
        <w:tc>
          <w:tcPr>
            <w:tcW w:type="dxa" w:w="7143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2"/>
                <w:eastAsian w:val="宋体"/>
              </w:rPr>
              <w:t>迁移包 2026-08-27；36 服务器 18095 实例</w:t>
            </w:r>
          </w:p>
        </w:tc>
      </w:tr>
      <w:tr>
        <w:tc>
          <w:tcPr>
            <w:tcW w:type="dxa" w:w="2041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2"/>
                <w:eastAsian w:val="黑体"/>
              </w:rPr>
              <w:t>目标框架</w:t>
            </w:r>
          </w:p>
        </w:tc>
        <w:tc>
          <w:tcPr>
            <w:tcW w:type="dxa" w:w="7143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2"/>
                <w:eastAsian w:val="宋体"/>
              </w:rPr>
              <w:t>前端 Vue3 + Vite + TypeScript；后端 Java + Spring Boot</w:t>
            </w:r>
          </w:p>
        </w:tc>
      </w:tr>
      <w:tr>
        <w:tc>
          <w:tcPr>
            <w:tcW w:type="dxa" w:w="2041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/>
                <w:color w:val="FFFFFF"/>
                <w:sz w:val="22"/>
                <w:eastAsian w:val="黑体"/>
              </w:rPr>
              <w:t>结论先行</w:t>
            </w:r>
          </w:p>
        </w:tc>
        <w:tc>
          <w:tcPr>
            <w:tcW w:type="dxa" w:w="7143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2"/>
                <w:eastAsian w:val="宋体"/>
              </w:rPr>
              <w:t>可接入，但不建议一次性重写。推荐网关+同域嵌入，再按模块绞杀迁移。</w:t>
            </w:r>
          </w:p>
        </w:tc>
      </w:tr>
    </w:tbl>
    <w:p>
      <w:r>
        <w:br w:type="page"/>
      </w:r>
    </w:p>
    <w:p>
      <w:pPr>
        <w:spacing w:before="320" w:after="120" w:line="312" w:lineRule="auto"/>
      </w:pPr>
      <w:r>
        <w:rPr>
          <w:rFonts w:ascii="Calibri" w:hAnsi="Calibri"/>
          <w:b/>
          <w:color w:val="0048A0"/>
          <w:sz w:val="32"/>
          <w:eastAsian w:val="黑体"/>
        </w:rPr>
        <w:t>1  结论摘要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将本科研项目信息化管理平台（SRPM）纳入「前端 Vue3 + Vite + TypeScript、后端 Java + Spring Boot」技术框架，技术上可行，但性质是系统集成与逐步重构，不是改依赖版本或换一层皮肤。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一次性把前端改写成 Vue、把后端改写成 Spring Boot，在当前交付物条件下风险高、周期长、业务口径易丢。原因不是 Vue/Java 做不了这套业务，而是：本包前端只有 web/dist 构建产物、没有可维护的 React 源码工程；后端约 90 余个接口、近 5000 行领域逻辑与 SQLite/JSON 半结构化模型高度耦合；鉴权、iframe、8092 台账、三层权限都与现网运行方式绑在一起。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接入路径</w:t>
            </w:r>
          </w:p>
        </w:tc>
        <w:tc>
          <w:tcPr>
            <w:tcW w:type="dxa" w:w="2256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可行性</w:t>
            </w:r>
          </w:p>
        </w:tc>
        <w:tc>
          <w:tcPr>
            <w:tcW w:type="dxa" w:w="2256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周期量级（粗估）</w:t>
            </w:r>
          </w:p>
        </w:tc>
        <w:tc>
          <w:tcPr>
            <w:tcW w:type="dxa" w:w="2256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适用</w:t>
            </w:r>
          </w:p>
        </w:tc>
      </w:tr>
      <w:tr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A. 统一门户同域反向代理 + iframe/外壳（Node 服务继续跑）</w:t>
            </w:r>
          </w:p>
        </w:tc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高</w:t>
            </w:r>
          </w:p>
        </w:tc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2～6 周可打通菜单与单点</w:t>
            </w:r>
          </w:p>
        </w:tc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要尽快进统一平台、先保业务</w:t>
            </w:r>
          </w:p>
        </w:tc>
      </w:tr>
      <w:tr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B. Spring Cloud Gateway 反代 Node，身份由 Java 签发、Node 验票</w:t>
            </w:r>
          </w:p>
        </w:tc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高</w:t>
            </w:r>
          </w:p>
        </w:tc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1～3 个月</w:t>
            </w:r>
          </w:p>
        </w:tc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统一登录与审计，业务逻辑暂不搬</w:t>
            </w:r>
          </w:p>
        </w:tc>
      </w:tr>
      <w:tr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C. 后端按域迁到 Spring Boot，前端 Vue 逐步替换页面</w:t>
            </w:r>
          </w:p>
        </w:tc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中</w:t>
            </w:r>
          </w:p>
        </w:tc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6～18 个月分域</w:t>
            </w:r>
          </w:p>
        </w:tc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中长期技术归一</w:t>
            </w:r>
          </w:p>
        </w:tc>
      </w:tr>
      <w:tr>
        <w:tc>
          <w:tcPr>
            <w:tcW w:type="dxa" w:w="2256"/>
            <w:shd w:fill="FFF7E6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D. 停机全量重写 Vue + Spring Boot + 关系库</w:t>
            </w:r>
          </w:p>
        </w:tc>
        <w:tc>
          <w:tcPr>
            <w:tcW w:type="dxa" w:w="2256"/>
            <w:shd w:fill="FFF7E6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低（作为首期）</w:t>
            </w:r>
          </w:p>
        </w:tc>
        <w:tc>
          <w:tcPr>
            <w:tcW w:type="dxa" w:w="2256"/>
            <w:shd w:fill="FFF7E6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12 个月以上且易回退</w:t>
            </w:r>
          </w:p>
        </w:tc>
        <w:tc>
          <w:tcPr>
            <w:tcW w:type="dxa" w:w="2256"/>
            <w:shd w:fill="FFF7E6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不建议作为接入第一步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hAnsi="Times New Roman"/>
          <w:b w:val="0"/>
          <w:color w:val="595959"/>
          <w:sz w:val="21"/>
          <w:eastAsian w:val="楷体"/>
        </w:rPr>
        <w:t>表 1  路径对比（工期依目标平台成熟度与人力，仅作量级）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建议决策：短期走 A+B（接入不等于重写）；中期按「台账/驾驶舱 → 配置中心 → 生命周期办理 → 经费审批」顺序绞杀迁移到 C；明确拒绝把 D 当第一个里程碑。</w:t>
      </w:r>
    </w:p>
    <w:p>
      <w:pPr>
        <w:spacing w:before="320" w:after="120" w:line="312" w:lineRule="auto"/>
      </w:pPr>
      <w:r>
        <w:rPr>
          <w:rFonts w:ascii="Calibri" w:hAnsi="Calibri"/>
          <w:b/>
          <w:color w:val="0048A0"/>
          <w:sz w:val="32"/>
          <w:eastAsian w:val="黑体"/>
        </w:rPr>
        <w:t>2  现状与目标栈对照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维度</w:t>
            </w:r>
          </w:p>
        </w:tc>
        <w:tc>
          <w:tcPr>
            <w:tcW w:type="dxa" w:w="2256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现网 SRPM</w:t>
            </w:r>
          </w:p>
        </w:tc>
        <w:tc>
          <w:tcPr>
            <w:tcW w:type="dxa" w:w="2256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目标统一框架</w:t>
            </w:r>
          </w:p>
        </w:tc>
        <w:tc>
          <w:tcPr>
            <w:tcW w:type="dxa" w:w="2256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差距性质</w:t>
            </w:r>
          </w:p>
        </w:tc>
      </w:tr>
      <w:tr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前端语言/框架</w:t>
            </w:r>
          </w:p>
        </w:tc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React 18 + react-router（Vite 产物）；大量独立 HTML + 原生 JS</w:t>
            </w:r>
          </w:p>
        </w:tc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Vue3 + Vite + TypeScript</w:t>
            </w:r>
          </w:p>
        </w:tc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框架与工程形态双重更换</w:t>
            </w:r>
          </w:p>
        </w:tc>
      </w:tr>
      <w:tr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前端源码</w:t>
            </w:r>
          </w:p>
        </w:tc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包内仅 web/dist，无 src</w:t>
            </w:r>
          </w:p>
        </w:tc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标准 Vue SFC/TS 工程</w:t>
            </w:r>
          </w:p>
        </w:tc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无法「翻译组件」，只能对照重写</w:t>
            </w:r>
          </w:p>
        </w:tc>
      </w:tr>
      <w:tr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后端</w:t>
            </w:r>
          </w:p>
        </w:tc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Node 20 + Express 4，单文件 api.js 为主</w:t>
            </w:r>
          </w:p>
        </w:tc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Java + Spring Boot（通常分层 + JPA）</w:t>
            </w:r>
          </w:p>
        </w:tc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语言、运行时、分层、事务模型全换</w:t>
            </w:r>
          </w:p>
        </w:tc>
      </w:tr>
      <w:tr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数据</w:t>
            </w:r>
          </w:p>
        </w:tc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SQLite + WAL；kv/JSON 列存流程与台账</w:t>
            </w:r>
          </w:p>
        </w:tc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Spring 常见 MySQL/PostgreSQL + ORM</w:t>
            </w:r>
          </w:p>
        </w:tc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库引擎与模型范式都要迁</w:t>
            </w:r>
          </w:p>
        </w:tc>
      </w:tr>
      <w:tr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鉴权</w:t>
            </w:r>
          </w:p>
        </w:tc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工号密码；x-session；login_sessions 哈希</w:t>
            </w:r>
          </w:p>
        </w:tc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通常 JWT/OAuth2/统一 IAM + Spring Security</w:t>
            </w:r>
          </w:p>
        </w:tc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会话模型不兼容，必须做适配层</w:t>
            </w:r>
          </w:p>
        </w:tc>
      </w:tr>
      <w:tr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页面嵌入</w:t>
            </w:r>
          </w:p>
        </w:tc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主站 iframe 嵌成员管理/表单维护等；X-Frame-Options=SAMEORIGIN</w:t>
            </w:r>
          </w:p>
        </w:tc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Vue 路由 + 布局壳</w:t>
            </w:r>
          </w:p>
        </w:tc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跨源 iframe 会被现网头拦住</w:t>
            </w:r>
          </w:p>
        </w:tc>
      </w:tr>
      <w:tr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协同系统</w:t>
            </w:r>
          </w:p>
        </w:tc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本机 8092 表单工具；/form-tool 代理</w:t>
            </w:r>
          </w:p>
        </w:tc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统一平台未必同宿主机 Docker</w:t>
            </w:r>
          </w:p>
        </w:tc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网络与数据同步假设被打破</w:t>
            </w:r>
          </w:p>
        </w:tc>
      </w:tr>
      <w:tr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接口形态</w:t>
            </w:r>
          </w:p>
        </w:tc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无 OpenAPI；动态 JSON；权限逻辑写在路由里</w:t>
            </w:r>
          </w:p>
        </w:tc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常见 Controller + DTO + 权限注解</w:t>
            </w:r>
          </w:p>
        </w:tc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契约要先冻结再迁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hAnsi="Times New Roman"/>
          <w:b w:val="0"/>
          <w:color w:val="595959"/>
          <w:sz w:val="21"/>
          <w:eastAsian w:val="楷体"/>
        </w:rPr>
        <w:t>表 2  技术栈差距</w:t>
      </w:r>
    </w:p>
    <w:p>
      <w:pPr>
        <w:spacing w:before="320" w:after="120" w:line="312" w:lineRule="auto"/>
      </w:pPr>
      <w:r>
        <w:rPr>
          <w:rFonts w:ascii="Calibri" w:hAnsi="Calibri"/>
          <w:b/>
          <w:color w:val="0048A0"/>
          <w:sz w:val="32"/>
          <w:eastAsian w:val="黑体"/>
        </w:rPr>
        <w:t>3  「接入」的三种含义（必须先定口径）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可行性完全取决于「接入」指哪一种。三种不要混在一个项目计划里当同一件事。</w:t>
      </w:r>
    </w:p>
    <w:p>
      <w:pPr>
        <w:spacing w:before="200" w:after="12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3.1  产品接入（推荐首期）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SRPM 作为统一技术平台里的一个业务子系统：统一门户出菜单、统一账号登录、统一域名和网关，页面仍由现网 Node 提供。用户感知是「进了公司技术平台」，研发感知是「多了一个路由前缀和身份桥」。业务功能可继续按现网演进。</w:t>
      </w:r>
    </w:p>
    <w:p>
      <w:pPr>
        <w:spacing w:before="200" w:after="12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3.2  工程接入（中期）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代码进同一 Git 与流水线，前端逐步 Vue 化，后端逐步 Spring 化，数据进统一库。这是重构，需要按限界上下文拆分，而不是把 api.js 用工具生成 Java。</w:t>
      </w:r>
    </w:p>
    <w:p>
      <w:pPr>
        <w:spacing w:before="200" w:after="12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3.3  数据接入（可并行）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不改界面，只把台账/项目主数据同步或查询进统一平台的主数据、驾驶舱或报表。对 8092→V19 kv 的一本账口径要单独设计，避免第三套真相源。</w:t>
      </w:r>
    </w:p>
    <w:p>
      <w:pPr>
        <w:spacing w:before="320" w:after="120" w:line="312" w:lineRule="auto"/>
      </w:pPr>
      <w:r>
        <w:rPr>
          <w:rFonts w:ascii="Calibri" w:hAnsi="Calibri"/>
          <w:b/>
          <w:color w:val="0048A0"/>
          <w:sz w:val="32"/>
          <w:eastAsian w:val="黑体"/>
        </w:rPr>
        <w:t>4  可行性分析</w:t>
      </w:r>
    </w:p>
    <w:p>
      <w:pPr>
        <w:spacing w:before="200" w:after="12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4.1  产品接入：可行且应作为第一阶段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现网已是「浏览器 + HTTP JSON + 静态资源」，网关按路径把 /srpm/ 转到 Node:8787 即可，不必先改 Java。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前端资源与 API 已同域部署；只要统一平台也用同域反代，现有 fetch('/api/...') 与 iframe 相对路径仍可用。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ECharts、表单维护 HTML、驾驶舱均可原样托管，Vue 壳只负责顶栏/菜单/退出。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健康检查已有 GET /healthz，便于 Spring Actuator 或网关做存活探测。</w:t>
      </w:r>
    </w:p>
    <w:p>
      <w:pPr>
        <w:spacing w:before="200" w:after="12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4.2  身份打通：可行，但必须做适配，不能「共用一个 localStorage 键」了事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现网登录把 sessionToken 写入 localStorage['srpm.user']，请求头 x-session（亦可 Bearer）。嵌入页（成员管理、表单维护、渠道字典、基本信息、生命周期脚本）都读这个键。目标平台若用 Cookie + Spring Session 或标准 JWT，SRPM 看不见票，会全员掉回登录页。可行做法：Java 认证成功后，由网关或 BFF 为 SRPM 签发等价会话（调 Node 内部换票接口，或让 Node 改验统一 JWT）。</w:t>
      </w:r>
    </w:p>
    <w:p>
      <w:pPr>
        <w:spacing w:before="200" w:after="12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4.3  后端迁 Spring Boot：业务可表达，工程成本高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科研项目、审批流、经费、渠道字典用 Java 完全能实现，Spring Boot 在事务、连接池、权限框架、运维规范上更贴企业技术平台。但现网领域逻辑集中在 server/src/api.js（约 90+ 路由、近 5000 行），权限、过滤、台账合并、岗位矩阵缠在一起，没有现成的 OpenAPI 与分层。迁 Java 等于对照行为重写 + 补测试，不是「Express 注解换成 Controller」。</w:t>
      </w:r>
    </w:p>
    <w:p>
      <w:pPr>
        <w:spacing w:before="200" w:after="12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4.4  前端迁 Vue3+TS：可行，但当前包不具备「迁移源码」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目标栈对中后台很合适（Vite、TS、组合式 API、与 Ant Design Vue / Element Plus 常见）。障碍是本交付物没有 React/TSX 源码，只有压缩后的 index-StageFill01.js 与若干 HTML。Vue 化只能：对照页面与接口重写，或先找回历史源码仓再转写。iframe 里的 admin-members.html、form-maintenance.html 等本身是原生 JS，接入 Vue 壳后仍可暂时保留，这是降低首期成本的关键。</w:t>
      </w:r>
    </w:p>
    <w:p>
      <w:pPr>
        <w:spacing w:before="200" w:after="12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4.5  数据迁入统一库：可行，但不能当「导出 sqlite 再导入 mysql」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表结构含大量 *_json 文本列与 kv 大 JSON（V19 台账、岗位矩阵）。JPA 实体一对一映射会失去动态字段弹性，或变成 CLOB 地狱。需要先做模型治理：哪些升成真正的表（项目、用户、审批步骤），哪些继续 JSON（渠道流程模板、台账行）。SQLite WAL 单文件与 Spring 多实例部署也不兼容，迁库是上集群的前提。</w:t>
      </w:r>
    </w:p>
    <w:p>
      <w:pPr>
        <w:spacing w:before="320" w:after="120" w:line="312" w:lineRule="auto"/>
      </w:pPr>
      <w:r>
        <w:rPr>
          <w:rFonts w:ascii="Calibri" w:hAnsi="Calibri"/>
          <w:b/>
          <w:color w:val="0048A0"/>
          <w:sz w:val="32"/>
          <w:eastAsian w:val="黑体"/>
        </w:rPr>
        <w:t>5  主要问题与风险</w:t>
      </w:r>
    </w:p>
    <w:p>
      <w:pPr>
        <w:spacing w:before="200" w:after="12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5.1  前端源码缺失（最高优先级工程风险）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迁移包设计目标是「装到 Linux 上能跑」，不是「交给 Vue 团队继续开发」。web/dist 可运行、难演进。若统一平台要求 TypeScript 规范与组件库统一，必须另立 Vue 工程，按路由逐页重建，并准备视觉/交互回归清单（驾驶舱筛选联动、表单维护导入导出、成员授权显示等）。</w:t>
      </w:r>
    </w:p>
    <w:p>
      <w:pPr>
        <w:spacing w:before="200" w:after="12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5.2  iframe 与安全头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Node 设置 X-Frame-Options: SAMEORIGIN。父页若是另一域名的 Vue 应用，SRPM 整页或内嵌 HTML 会被浏览器拒绝。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解法只能是同域反代（https://portal.xxx/srpm/ 与 /api 同源），或放宽 CSP/frame-ancestors 到明确的父源——后者扩大点击劫持面，需安全评审。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即使同域，Vue history 路由与 iframe 内路由、浏览器后退按钮容易打架。</w:t>
      </w:r>
    </w:p>
    <w:p>
      <w:pPr>
        <w:spacing w:before="200" w:after="12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5.3  双重前端形态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主站 SPA + 6 类以上独立 HTML/脚本（表单维护、成员、渠道、基本信息、预研大屏、生命周期/申报补丁）。只把外壳换成 Vue 不够；这些页都绑死 srpm.user 与 /api。微前端（qiankun/wujie/Module Federation）对「已编译 React + 裸 HTML」收益有限，首期用 iframe 比硬上微前端更稳。</w:t>
      </w:r>
    </w:p>
    <w:p>
      <w:pPr>
        <w:spacing w:before="200" w:after="12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5.4  鉴权与权限模型冲突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三层授权：平台身份（role/scope/unit）≠ 项目岗位矩阵 ≠ 表单维护 form_access。统一 IAM 往往只有「角色+菜单」，对不上「同一人在 A 项目负责人、B 项目联系人」。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领导只读、管理员默认全 perm、总部科技部才开表单授权等规则写在 Node 里，迁 Spring Security 时必须原样搬，否则现场会认为「接入后权限丢了」。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统一登录后应关闭 SRPM 自有登录页，避免两套口令。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表单入口曾因会话未就绪被脚本永久隐藏——接入后若网关偶发 401，同类问题会再现，要在 Vue 壳与 Node 两侧都防。</w:t>
      </w:r>
    </w:p>
    <w:p>
      <w:pPr>
        <w:spacing w:before="200" w:after="12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5.5  接口契约不适合直接给 Java 生成代码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无 OpenAPI；成功/失败体为 {error} 或业务 JSON，字段名 camelCase 与 snake_case 混用（form_access、emp_no、sessionToken）。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大量逻辑依赖 SQLite 动态 SQL 与 JSON.parse，Spring 侧若先上严格 DTO 会把现网「宽松字段」打爆。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Excel 导出（exceljs）、上传抽取（multer/mammoth/pdf-parse）在 Java 要换 Apache POI、Tika 等，版式与成果格分行规则需对照回归。</w:t>
      </w:r>
    </w:p>
    <w:p>
      <w:pPr>
        <w:spacing w:before="200" w:after="12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5.6  数据与 8092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V19 台账在 kv，与 projects 表可能同时存在；驾驶舱读台账投影。Java 若只迁 projects 表会让驾驶舱变空。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接入脚本假定 8092 与平台在同一 Docker 主机。进统一 K8s/多机房后，172.17.0.1:8092 代理失效，要改服务发现与网络策略。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8092 与 SRPM 非实时双写。再接入第三套 Spring 主数据，极易变成三源。必须书面指定「台账唯一写入点」。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better-sqlite3 为原生模块，不能当 jar 依赖；Java 读 sqlite 可用 JDBC，但生产统一平台通常不允许 sqlite 当主库。</w:t>
      </w:r>
    </w:p>
    <w:p>
      <w:pPr>
        <w:spacing w:before="200" w:after="12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5.7  运行与运维差异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现网单容器 Node 同时出页面和 API；Spring 常见是 nginx/网关 + 多实例。SQLite 不能多实例写，迁 Java 前必须换库。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现网 CORS 白名单、JSON 2MB 上限、上传目录要在网关和 Spring 重新配置。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AI 抽数：环境变量/ai.config.json，mock 降级。统一平台若已有模型网关，应改适配器，不要在 Vue 里直连密钥。</w:t>
      </w:r>
    </w:p>
    <w:p>
      <w:pPr>
        <w:spacing w:before="200" w:after="12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5.8  组织与交付风险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两套技术栈并存期间，缺陷要分清「门户壳 / Node 业务 / 8092」。值班若不切分，会互相踢皮球。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「技术框架统一」容易被理解成考核项，从而压缩成不切实际的全量重写进度。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商飞经营管理 UI 规范（商飞蓝、Ant Design 尺度）与目标平台组件库若不一致，Vue 重写时会二次改视觉。</w:t>
      </w:r>
    </w:p>
    <w:p>
      <w:pPr>
        <w:spacing w:before="320" w:after="120" w:line="312" w:lineRule="auto"/>
      </w:pPr>
      <w:r>
        <w:rPr>
          <w:rFonts w:ascii="Calibri" w:hAnsi="Calibri"/>
          <w:b/>
          <w:color w:val="0048A0"/>
          <w:sz w:val="32"/>
          <w:eastAsian w:val="黑体"/>
        </w:rPr>
        <w:t>6  推荐接入架构（第一阶段）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浏览器 → 统一门户（Vue3）→ 反向代理/Spring Cloud Gateway → 路径 /srpm/** 到现网 Node 容器；/api 可保留前缀或由网关剥前缀。门户登录后，BFF 调用 SRPM「用统一用户换发 x-session」（需新增一小段 Node 接口，校验内部密钥），把 token 写入 iframe 可读的同域 localStorage，或改为 Node 直接校验门户 JWT。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组件</w:t>
            </w:r>
          </w:p>
        </w:tc>
        <w:tc>
          <w:tcPr>
            <w:tcW w:type="dxa" w:w="3009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职责</w:t>
            </w:r>
          </w:p>
        </w:tc>
        <w:tc>
          <w:tcPr>
            <w:tcW w:type="dxa" w:w="3009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改动量</w:t>
            </w:r>
          </w:p>
        </w:tc>
      </w:tr>
      <w:tr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Vue 门户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菜单「科研项目」、顶栏用户、退出时清 srpm.user 并调双方 logout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小：一个路由视图 + iframe</w:t>
            </w:r>
          </w:p>
        </w:tc>
      </w:tr>
      <w:tr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网关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同域、TLS、会话 Cookie、限流、把 Authorization 传给 Node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中：路由与头传递</w:t>
            </w:r>
          </w:p>
        </w:tc>
      </w:tr>
      <w:tr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SRPM Node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继续业务；可选：验 JWT、关自有登录页、放宽 frame-ancestors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小到中</w:t>
            </w:r>
          </w:p>
        </w:tc>
      </w:tr>
      <w:tr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8092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仍只读接入或同机代理；跨机则改 FORM_TOOL_UPSTREAM</w:t>
            </w:r>
          </w:p>
        </w:tc>
        <w:tc>
          <w:tcPr>
            <w:tcW w:type="dxa" w:w="3009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视部署拓扑</w:t>
            </w:r>
          </w:p>
        </w:tc>
      </w:tr>
      <w:tr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统一用户中心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工号映射到 SRPM users.emp_no；岗位/单位主数据后期再对</w:t>
            </w:r>
          </w:p>
        </w:tc>
        <w:tc>
          <w:tcPr>
            <w:tcW w:type="dxa" w:w="300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中：账号映射表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hAnsi="Times New Roman"/>
          <w:b w:val="0"/>
          <w:color w:val="595959"/>
          <w:sz w:val="21"/>
          <w:eastAsian w:val="楷体"/>
        </w:rPr>
        <w:t>表 3  第一阶段职责切分</w:t>
      </w:r>
    </w:p>
    <w:p>
      <w:pPr>
        <w:spacing w:before="320" w:after="120" w:line="312" w:lineRule="auto"/>
      </w:pPr>
      <w:r>
        <w:rPr>
          <w:rFonts w:ascii="Calibri" w:hAnsi="Calibri"/>
          <w:b/>
          <w:color w:val="0048A0"/>
          <w:sz w:val="32"/>
          <w:eastAsian w:val="黑体"/>
        </w:rPr>
        <w:t>7  第二阶段：绞杀式迁移到 Vue / Spring Boot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在第一阶段稳定后，按「用户可感知、接口边界清晰」的模块迁移，每迁一块就关掉 Node 上对应路由。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批次</w:t>
            </w:r>
          </w:p>
        </w:tc>
        <w:tc>
          <w:tcPr>
            <w:tcW w:type="dxa" w:w="2256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内容</w:t>
            </w:r>
          </w:p>
        </w:tc>
        <w:tc>
          <w:tcPr>
            <w:tcW w:type="dxa" w:w="2256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理由</w:t>
            </w:r>
          </w:p>
        </w:tc>
        <w:tc>
          <w:tcPr>
            <w:tcW w:type="dxa" w:w="2256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主要坑</w:t>
            </w:r>
          </w:p>
        </w:tc>
      </w:tr>
      <w:tr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1</w:t>
            </w:r>
          </w:p>
        </w:tc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只读：项目台账列表、驾驶舱只读 KPI</w:t>
            </w:r>
          </w:p>
        </w:tc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读多写少，可先定义 API</w:t>
            </w:r>
          </w:p>
        </w:tc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过滤条件与经费口径、V19 投影</w:t>
            </w:r>
          </w:p>
        </w:tc>
      </w:tr>
      <w:tr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2</w:t>
            </w:r>
          </w:p>
        </w:tc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配置中心只读 + 成员查询</w:t>
            </w:r>
          </w:p>
        </w:tc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给门户管理员一个 Vue 页</w:t>
            </w:r>
          </w:p>
        </w:tc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form_access 显示与会话不同步</w:t>
            </w:r>
          </w:p>
        </w:tc>
      </w:tr>
      <w:tr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3</w:t>
            </w:r>
          </w:p>
        </w:tc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表单维护</w:t>
            </w:r>
          </w:p>
        </w:tc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业务价值高但 Excel/范围过滤复杂</w:t>
            </w:r>
          </w:p>
        </w:tc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exceljs 版式、8092 再导入</w:t>
            </w:r>
          </w:p>
        </w:tc>
      </w:tr>
      <w:tr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4</w:t>
            </w:r>
          </w:p>
        </w:tc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成员写、岗位矩阵、渠道字典</w:t>
            </w:r>
          </w:p>
        </w:tc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写配置，影响面大</w:t>
            </w:r>
          </w:p>
        </w:tc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授权三层规则</w:t>
            </w:r>
          </w:p>
        </w:tc>
      </w:tr>
      <w:tr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5</w:t>
            </w:r>
          </w:p>
        </w:tc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项目生命周期办理与审批</w:t>
            </w:r>
          </w:p>
        </w:tc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状态机+附件</w:t>
            </w:r>
          </w:p>
        </w:tc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步骤办理人、只读台账项目</w:t>
            </w:r>
          </w:p>
        </w:tc>
      </w:tr>
      <w:tr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6</w:t>
            </w:r>
          </w:p>
        </w:tc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经费拨付与财务</w:t>
            </w:r>
          </w:p>
        </w:tc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审批链长</w:t>
            </w:r>
          </w:p>
        </w:tc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不允许单点直拨等规则</w:t>
            </w:r>
          </w:p>
        </w:tc>
      </w:tr>
      <w:tr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7</w:t>
            </w:r>
          </w:p>
        </w:tc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下线 Node 与 SQLite</w:t>
            </w:r>
          </w:p>
        </w:tc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技术归一</w:t>
            </w:r>
          </w:p>
        </w:tc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双写期数据对账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hAnsi="Times New Roman"/>
          <w:b w:val="0"/>
          <w:color w:val="595959"/>
          <w:sz w:val="21"/>
          <w:eastAsian w:val="楷体"/>
        </w:rPr>
        <w:t>表 4  建议迁移批次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每一批应先冻结 HTTP 契约（即使手工写 OpenAPI），用同一套验收：登录角色、台账行数、驾驶舱合计、表单行数、8092 未停。Vue 页面用 TypeScript 调用该契约；Spring 实现后做流量镜像对比，再切流。</w:t>
      </w:r>
    </w:p>
    <w:p>
      <w:pPr>
        <w:spacing w:before="320" w:after="120" w:line="312" w:lineRule="auto"/>
      </w:pPr>
      <w:r>
        <w:rPr>
          <w:rFonts w:ascii="Calibri" w:hAnsi="Calibri"/>
          <w:b/>
          <w:color w:val="0048A0"/>
          <w:sz w:val="32"/>
          <w:eastAsian w:val="黑体"/>
        </w:rPr>
        <w:t>8  不宜采用的做法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用转换工具把压缩 React 打成 Vue SFC，或把 api.js 自动生成 Spring Controller——不可维护，权限分支会错。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让 Vue 直连 Node、Java 再直连同一 sqlite 文件——锁与损坏风险。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先迁库到 MySQL 再让 Node 与 Java 同时写 V19 kv——双写无协调。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跨域 iframe 嵌 SRPM 却不改 SAMEORIGIN——页面空白，会被当成「接入失败」。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用统一平台「一个角色一个菜单」替换项目岗位矩阵——现场办理按钮会大面积 403。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把 8092 整库 JDBC 进 Spring——与 srpm.db 表结构不同，这是已禁止的合并方式。</w:t>
      </w:r>
    </w:p>
    <w:p>
      <w:pPr>
        <w:spacing w:before="320" w:after="120" w:line="312" w:lineRule="auto"/>
      </w:pPr>
      <w:r>
        <w:rPr>
          <w:rFonts w:ascii="Calibri" w:hAnsi="Calibri"/>
          <w:b/>
          <w:color w:val="0048A0"/>
          <w:sz w:val="32"/>
          <w:eastAsian w:val="黑体"/>
        </w:rPr>
        <w:t>9  工作量与前置条件</w:t>
      </w:r>
    </w:p>
    <w:p>
      <w:pPr>
        <w:spacing w:before="200" w:after="12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9.1  前置条件（没有这些不要启动全量 Vue/Java 重写）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找回或重建前端源码仓；否则 Vue 工作量按「新产品」估，不要按「迁移 30%」估。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输出 OpenAPI 或至少按模块的请求/响应样例（含错误码）。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统一用户与 SRPM 工号映射表；明确哪些人继续用 12 个预置演示账号。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确定台账唯一写入点（表单维护 vs 8092 vs 未来 Java 服务）。</w:t>
      </w:r>
    </w:p>
    <w:p>
      <w:pPr>
        <w:spacing w:after="60" w:line="336" w:lineRule="auto"/>
        <w:ind w:left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•  目标平台提供同域网关、测试环境与 8092 网络策略。</w:t>
      </w:r>
    </w:p>
    <w:p>
      <w:pPr>
        <w:spacing w:before="200" w:after="120" w:line="312" w:lineRule="auto"/>
      </w:pPr>
      <w:r>
        <w:rPr>
          <w:rFonts w:ascii="Calibri" w:hAnsi="Calibri"/>
          <w:b/>
          <w:color w:val="0048A0"/>
          <w:sz w:val="28"/>
          <w:eastAsian w:val="黑体"/>
        </w:rPr>
        <w:t>9.2  技能与团队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第一阶段以熟悉现网 Node 的人为主 + 门户 Vue 一人即可。第二阶段需要同时懂现网口径和 Spring 的人做对照测试，否则「接口 200 但驾驶舱口径错」会在验收爆发。</w:t>
      </w:r>
    </w:p>
    <w:p>
      <w:pPr>
        <w:spacing w:before="320" w:after="120" w:line="312" w:lineRule="auto"/>
      </w:pPr>
      <w:r>
        <w:rPr>
          <w:rFonts w:ascii="Calibri" w:hAnsi="Calibri"/>
          <w:b/>
          <w:color w:val="0048A0"/>
          <w:sz w:val="32"/>
          <w:eastAsian w:val="黑体"/>
        </w:rPr>
        <w:t>10  问题清单（供立项评审勾选）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256"/>
        <w:gridCol w:w="2256"/>
        <w:gridCol w:w="2256"/>
        <w:gridCol w:w="2256"/>
      </w:tblGrid>
      <w:tr>
        <w:tc>
          <w:tcPr>
            <w:tcW w:type="dxa" w:w="2256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编号</w:t>
            </w:r>
          </w:p>
        </w:tc>
        <w:tc>
          <w:tcPr>
            <w:tcW w:type="dxa" w:w="2256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问题</w:t>
            </w:r>
          </w:p>
        </w:tc>
        <w:tc>
          <w:tcPr>
            <w:tcW w:type="dxa" w:w="2256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不处理的后果</w:t>
            </w:r>
          </w:p>
        </w:tc>
        <w:tc>
          <w:tcPr>
            <w:tcW w:type="dxa" w:w="2256"/>
            <w:shd w:fill="0048A0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21"/>
                <w:eastAsian w:val="黑体"/>
              </w:rPr>
              <w:t>建议</w:t>
            </w:r>
          </w:p>
        </w:tc>
      </w:tr>
      <w:tr>
        <w:tc>
          <w:tcPr>
            <w:tcW w:type="dxa" w:w="2256"/>
            <w:shd w:fill="FFF7E6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P1</w:t>
            </w:r>
          </w:p>
        </w:tc>
        <w:tc>
          <w:tcPr>
            <w:tcW w:type="dxa" w:w="2256"/>
            <w:shd w:fill="FFF7E6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无前端源码</w:t>
            </w:r>
          </w:p>
        </w:tc>
        <w:tc>
          <w:tcPr>
            <w:tcW w:type="dxa" w:w="2256"/>
            <w:shd w:fill="FFF7E6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Vue 重写无对照基线</w:t>
            </w:r>
          </w:p>
        </w:tc>
        <w:tc>
          <w:tcPr>
            <w:tcW w:type="dxa" w:w="2256"/>
            <w:shd w:fill="FFF7E6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先源码或接受按产品重做</w:t>
            </w:r>
          </w:p>
        </w:tc>
      </w:tr>
      <w:tr>
        <w:tc>
          <w:tcPr>
            <w:tcW w:type="dxa" w:w="2256"/>
            <w:shd w:fill="FFF7E6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P2</w:t>
            </w:r>
          </w:p>
        </w:tc>
        <w:tc>
          <w:tcPr>
            <w:tcW w:type="dxa" w:w="2256"/>
            <w:shd w:fill="FFF7E6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SAMEORIGIN + 跨域门户</w:t>
            </w:r>
          </w:p>
        </w:tc>
        <w:tc>
          <w:tcPr>
            <w:tcW w:type="dxa" w:w="2256"/>
            <w:shd w:fill="FFF7E6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白屏</w:t>
            </w:r>
          </w:p>
        </w:tc>
        <w:tc>
          <w:tcPr>
            <w:tcW w:type="dxa" w:w="2256"/>
            <w:shd w:fill="FFF7E6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同域反代</w:t>
            </w:r>
          </w:p>
        </w:tc>
      </w:tr>
      <w:tr>
        <w:tc>
          <w:tcPr>
            <w:tcW w:type="dxa" w:w="2256"/>
            <w:shd w:fill="FFF7E6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P3</w:t>
            </w:r>
          </w:p>
        </w:tc>
        <w:tc>
          <w:tcPr>
            <w:tcW w:type="dxa" w:w="2256"/>
            <w:shd w:fill="FFF7E6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srpm.user 与门户会话两套</w:t>
            </w:r>
          </w:p>
        </w:tc>
        <w:tc>
          <w:tcPr>
            <w:tcW w:type="dxa" w:w="2256"/>
            <w:shd w:fill="FFF7E6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嵌页未登录/权限闪烁</w:t>
            </w:r>
          </w:p>
        </w:tc>
        <w:tc>
          <w:tcPr>
            <w:tcW w:type="dxa" w:w="2256"/>
            <w:shd w:fill="FFF7E6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换票或验统一 JWT</w:t>
            </w:r>
          </w:p>
        </w:tc>
      </w:tr>
      <w:tr>
        <w:tc>
          <w:tcPr>
            <w:tcW w:type="dxa" w:w="2256"/>
            <w:shd w:fill="FFF7E6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P4</w:t>
            </w:r>
          </w:p>
        </w:tc>
        <w:tc>
          <w:tcPr>
            <w:tcW w:type="dxa" w:w="2256"/>
            <w:shd w:fill="FFF7E6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三层权限 vs IAM 菜单</w:t>
            </w:r>
          </w:p>
        </w:tc>
        <w:tc>
          <w:tcPr>
            <w:tcW w:type="dxa" w:w="2256"/>
            <w:shd w:fill="FFF7E6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办理按钮错误</w:t>
            </w:r>
          </w:p>
        </w:tc>
        <w:tc>
          <w:tcPr>
            <w:tcW w:type="dxa" w:w="2256"/>
            <w:shd w:fill="FFF7E6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IAM 只控入口，办理仍走 SRPM 规则</w:t>
            </w:r>
          </w:p>
        </w:tc>
      </w:tr>
      <w:tr>
        <w:tc>
          <w:tcPr>
            <w:tcW w:type="dxa" w:w="2256"/>
            <w:shd w:fill="FFF7E6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P5</w:t>
            </w:r>
          </w:p>
        </w:tc>
        <w:tc>
          <w:tcPr>
            <w:tcW w:type="dxa" w:w="2256"/>
            <w:shd w:fill="FFF7E6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SQLite 无法多实例</w:t>
            </w:r>
          </w:p>
        </w:tc>
        <w:tc>
          <w:tcPr>
            <w:tcW w:type="dxa" w:w="2256"/>
            <w:shd w:fill="FFF7E6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Spring 集群写坏库</w:t>
            </w:r>
          </w:p>
        </w:tc>
        <w:tc>
          <w:tcPr>
            <w:tcW w:type="dxa" w:w="2256"/>
            <w:shd w:fill="FFF7E6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迁库前保持单实例 Node</w:t>
            </w:r>
          </w:p>
        </w:tc>
      </w:tr>
      <w:tr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P6</w:t>
            </w:r>
          </w:p>
        </w:tc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V19 在 kv 非表</w:t>
            </w:r>
          </w:p>
        </w:tc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只迁 projects 驾驶舱为空</w:t>
            </w:r>
          </w:p>
        </w:tc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台账 API 原样保留</w:t>
            </w:r>
          </w:p>
        </w:tc>
      </w:tr>
      <w:tr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P7</w:t>
            </w:r>
          </w:p>
        </w:tc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8092 同机假设</w:t>
            </w:r>
          </w:p>
        </w:tc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代理 502</w:t>
            </w:r>
          </w:p>
        </w:tc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改 Upstream 与安全组</w:t>
            </w:r>
          </w:p>
        </w:tc>
      </w:tr>
      <w:tr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P8</w:t>
            </w:r>
          </w:p>
        </w:tc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JSON 列 + 动态字段</w:t>
            </w:r>
          </w:p>
        </w:tc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JPA 过严导致导入失败</w:t>
            </w:r>
          </w:p>
        </w:tc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台账行继续 JSON，外围表关系化</w:t>
            </w:r>
          </w:p>
        </w:tc>
      </w:tr>
      <w:tr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P9</w:t>
            </w:r>
          </w:p>
        </w:tc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导出/上传生态不同</w:t>
            </w:r>
          </w:p>
        </w:tc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Excel 版式回归失败</w:t>
            </w:r>
          </w:p>
        </w:tc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对照样例表做自动化对比</w:t>
            </w:r>
          </w:p>
        </w:tc>
      </w:tr>
      <w:tr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P10</w:t>
            </w:r>
          </w:p>
        </w:tc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无 OpenAPI</w:t>
            </w:r>
          </w:p>
        </w:tc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前后端并行对不齐</w:t>
            </w:r>
          </w:p>
        </w:tc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按批次补契约</w:t>
            </w:r>
          </w:p>
        </w:tc>
      </w:tr>
      <w:tr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P11</w:t>
            </w:r>
          </w:p>
        </w:tc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演示账号与正式 IAM</w:t>
            </w:r>
          </w:p>
        </w:tc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口令双轨</w:t>
            </w:r>
          </w:p>
        </w:tc>
        <w:tc>
          <w:tcPr>
            <w:tcW w:type="dxa" w:w="225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生产关闭 SRPM 自登录</w:t>
            </w:r>
          </w:p>
        </w:tc>
      </w:tr>
      <w:tr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P12</w:t>
            </w:r>
          </w:p>
        </w:tc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技术归一压力</w:t>
            </w:r>
          </w:p>
        </w:tc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未稳先重写</w:t>
            </w:r>
          </w:p>
        </w:tc>
        <w:tc>
          <w:tcPr>
            <w:tcW w:type="dxa" w:w="2256"/>
            <w:shd w:fill="F5F7FA" w:val="clea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/>
            <w:r>
              <w:rPr>
                <w:rFonts w:ascii="Calibri" w:hAnsi="Calibri"/>
                <w:b w:val="0"/>
                <w:color w:val="1F1F1F"/>
                <w:sz w:val="21"/>
                <w:eastAsian w:val="宋体"/>
              </w:rPr>
              <w:t>A+B 先行，C 分批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hAnsi="Times New Roman"/>
          <w:b w:val="0"/>
          <w:color w:val="595959"/>
          <w:sz w:val="21"/>
          <w:eastAsian w:val="楷体"/>
        </w:rPr>
        <w:t>表 5  问题清单（黄底为第一阶段必须关闭项）</w:t>
      </w:r>
    </w:p>
    <w:p>
      <w:pPr>
        <w:spacing w:before="320" w:after="120" w:line="312" w:lineRule="auto"/>
      </w:pPr>
      <w:r>
        <w:rPr>
          <w:rFonts w:ascii="Calibri" w:hAnsi="Calibri"/>
          <w:b/>
          <w:color w:val="0048A0"/>
          <w:sz w:val="32"/>
          <w:eastAsian w:val="黑体"/>
        </w:rPr>
        <w:t>11  结论与建议批复稿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可以接入统一技术框架，而且应该接入（菜单、域名、账号、审计）。不可以把「接入」等同于「立刻改成 Vue3 + Spring Boot 单体」。在现有交付物条件下，全量重写可行性低；同域网关 + 身份桥 + 保留 Node 业务，可行性高。待契约、源码、账号映射和台账主写点明确后，再按模块迁到 Vue 与 Spring Boot，才能既满足技术框架要求，又不把现场一本账打散。</w:t>
      </w:r>
    </w:p>
    <w:p>
      <w:pPr>
        <w:spacing w:after="120" w:line="360" w:lineRule="auto"/>
        <w:ind w:firstLine="420"/>
      </w:pPr>
      <w:r>
        <w:rPr>
          <w:rFonts w:ascii="Times New Roman" w:hAnsi="Times New Roman"/>
          <w:b w:val="0"/>
          <w:color w:val="1F1F1F"/>
          <w:sz w:val="24"/>
          <w:eastAsian w:val="宋体"/>
        </w:rPr>
        <w:t>建议组织决策三句话：① 批准第一阶段产品接入；② 明确不批准无源码条件下的前端全量转 Vue 作为下个迭代唯一目标；③ 设立第二阶段专项，按表 4 批次与验收口径执行。</w:t>
      </w:r>
    </w:p>
    <w:p>
      <w:pPr>
        <w:spacing w:before="320"/>
      </w:pPr>
      <w:r>
        <w:rPr>
          <w:rFonts w:ascii="Times New Roman" w:hAnsi="Times New Roman"/>
          <w:b w:val="0"/>
          <w:color w:val="595959"/>
          <w:sz w:val="22"/>
          <w:eastAsian w:val="楷体"/>
        </w:rPr>
        <w:t>本文基于迁移包 2026-08-27 与 36 服务器 18095 现网实现。目标 Spring/Vue 平台的具体组件版本、是否已有 IAM/网关，会改变工期，但不改变「先接入、后绞杀、勿一次性重写」的判断。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color w:val="595959"/>
        <w:sz w:val="18"/>
        <w:eastAsian w:val="宋体"/>
      </w:rPr>
      <w:t>内部资料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 w:val="0"/>
        <w:color w:val="595959"/>
        <w:sz w:val="18"/>
        <w:eastAsian w:val="宋体"/>
      </w:rPr>
      <w:t>SRPM 接入 Vue3 + Spring Boot  ·  可行性分析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n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