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48A0"/>
          <w:sz w:val="44"/>
          <w:eastAsian w:val="黑体"/>
        </w:rPr>
        <w:t>科研项目信息化管理平台</w:t>
      </w:r>
    </w:p>
    <w:p>
      <w:pPr>
        <w:jc w:val="center"/>
      </w:pPr>
      <w:r>
        <w:rPr>
          <w:rFonts w:ascii="Calibri" w:hAnsi="Calibri"/>
          <w:b/>
          <w:color w:val="0064EF"/>
          <w:sz w:val="36"/>
          <w:eastAsian w:val="黑体"/>
        </w:rPr>
        <w:t>概要设计说明书</w:t>
      </w:r>
    </w:p>
    <w:p>
      <w:pPr>
        <w:jc w:val="center"/>
      </w:pPr>
      <w:r>
        <w:rPr>
          <w:rFonts w:ascii="Calibri" w:hAnsi="Calibri"/>
          <w:b w:val="0"/>
          <w:color w:val="595959"/>
          <w:sz w:val="24"/>
          <w:eastAsian w:val="楷体"/>
        </w:rPr>
        <w:t>目标技术框架：Vue3 + Vite + TypeScript  /  Java + Spring Boot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版本</w:t>
            </w:r>
          </w:p>
        </w:tc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V2.0 目标架构（相对现网 Node/React 迁移包）</w:t>
            </w:r>
          </w:p>
        </w:tc>
      </w:tr>
      <w:tr>
        <w:tc>
          <w:tcPr>
            <w:tcW w:type="dxa" w:w="468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日期</w:t>
            </w:r>
          </w:p>
        </w:tc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2026-08-28</w:t>
            </w:r>
          </w:p>
        </w:tc>
      </w:tr>
      <w:tr>
        <w:tc>
          <w:tcPr>
            <w:tcW w:type="dxa" w:w="468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现网对照</w:t>
            </w:r>
          </w:p>
        </w:tc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36 服务器 18095；迁移包 2026-08-27</w:t>
            </w:r>
          </w:p>
        </w:tc>
      </w:tr>
      <w:tr>
        <w:tc>
          <w:tcPr>
            <w:tcW w:type="dxa" w:w="468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工程目录</w:t>
            </w:r>
          </w:p>
        </w:tc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srpm-vue-springboot/（frontend + backend）</w:t>
            </w:r>
          </w:p>
        </w:tc>
      </w:tr>
      <w:tr>
        <w:tc>
          <w:tcPr>
            <w:tcW w:type="dxa" w:w="468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设计原则</w:t>
            </w:r>
          </w:p>
        </w:tc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业务口径不变；技术栈替换；人员主数据来自原平台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1  设计目标与范围</w:t>
      </w:r>
    </w:p>
    <w:p>
      <w:pPr>
        <w:spacing w:line="360" w:lineRule="auto" w:after="120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将科研项目信息化管理平台从「React 构建产物 + Node/Express + SQLite」调整为统一技术框架：前端 Vue3 + Vite + TypeScript，后端 Java 17 + Spring Boot 3。业务能力与现网对齐（一本账、全生命周期、三层权限、8092 台账口径、商飞经营管理 UI），不在本期改变科研管理制度本身。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范围内：登录与会话、单位/人员、项目台账与驾驶舱、表单维护、配置中心、岗位矩阵、与原平台人员主数据对接。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范围外（后续迭代按模块搬迁）：经费拨付全链、AI 抽数、CMOS 同步等，接口先留扩展点。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明确不做：用工具把压缩 React 转成 Vue；把 api.js 自动生成 Controller。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2  总体架构</w:t>
      </w:r>
    </w:p>
    <w:p>
      <w:pPr>
        <w:spacing w:line="360" w:lineRule="auto" w:after="120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浏览器访问 Vue 单页应用；开发期 Vite 将 /api 代理到 Spring Boot；生产由 Nginx 或网关同域反代静态资源与 /api。Spring Boot 提供 REST，JPA 访问 MySQL（开发可用 H2）。人员名录通过 OrgPeopleClient 调用原平台（Spring）人员接口，落库 person_directory，与 sys_user（可登录账号）分离。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层次</w:t>
            </w:r>
          </w:p>
        </w:tc>
        <w:tc>
          <w:tcPr>
            <w:tcW w:type="dxa" w:w="312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技术</w:t>
            </w:r>
          </w:p>
        </w:tc>
        <w:tc>
          <w:tcPr>
            <w:tcW w:type="dxa" w:w="312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职责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展现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Vue3、Vite、TS、Vue Router、Pinia、Ant Design Vue、ECharts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登录、布局（商飞蓝顶栏）、台账、驾驶舱、表单维护、配置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网关/接入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Nginx 或 Spring Cloud Gateway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TLS、同域、限流；可选统一 IAM 换票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应用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Spring Boot 3、Spring Security、JWT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鉴权、三层权限、业务服务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集成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WebClient / OpenFeign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原平台人员；预留 8092/台账导入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数据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MySQL 8（开发 H2）；对象存储或本地盘附件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关系表 + 台账 JSON（ledger_kv）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1  逻辑架构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3  与现网的映射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现网</w:t>
            </w:r>
          </w:p>
        </w:tc>
        <w:tc>
          <w:tcPr>
            <w:tcW w:type="dxa" w:w="468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目标设计</w:t>
            </w:r>
          </w:p>
        </w:tc>
      </w:tr>
      <w:t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web/dist React SPA + iframe HTML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Vue 路由页面，不再 iframe 嵌独立 HTML</w:t>
            </w:r>
          </w:p>
        </w:tc>
      </w:tr>
      <w:tr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Express /api + x-session</w:t>
            </w:r>
          </w:p>
        </w:tc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Spring /api + Authorization: Bearer JWT（兼容头 x-session）</w:t>
            </w:r>
          </w:p>
        </w:tc>
      </w:tr>
      <w:t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users 表身兼登录与通讯录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sys_user 登录账号；person_directory 全员名录（源自原平台）</w:t>
            </w:r>
          </w:p>
        </w:tc>
      </w:tr>
      <w:tr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kv transition.records.v19</w:t>
            </w:r>
          </w:p>
        </w:tc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ledger_record 表或 ledger_kv，接口形态保持行数组</w:t>
            </w:r>
          </w:p>
        </w:tc>
      </w:tr>
      <w:t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project_members + team_json 存姓名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任职表强制 emp_no；展示姓名；禁止仅姓名匹配</w:t>
            </w:r>
          </w:p>
        </w:tc>
      </w:tr>
      <w:tr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better-sqlite3 单文件</w:t>
            </w:r>
          </w:p>
        </w:tc>
        <w:tc>
          <w:tcPr>
            <w:tcW w:type="dxa" w:w="468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MySQL，支持后续多实例（附件与会话进 Redis 再议）</w:t>
            </w:r>
          </w:p>
        </w:tc>
      </w:tr>
      <w:tr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12 个预置工号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DataInitializer 种子账号，生产对接 IAM 后可关闭本地密码登录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2  映射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4  后端模块划分（Spring Boot）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包/模块</w:t>
            </w:r>
          </w:p>
        </w:tc>
        <w:tc>
          <w:tcPr>
            <w:tcW w:type="dxa" w:w="312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对应现网</w:t>
            </w:r>
          </w:p>
        </w:tc>
        <w:tc>
          <w:tcPr>
            <w:tcW w:type="dxa" w:w="312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主要内容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auth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login/session/logout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JWT、登录失败锁定、工号登录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org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units、roster、meta/people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单位；人员同步与查询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iam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users.role/scope/form_access、rbac.dutyPerms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平台身份、表单维护授权、岗位矩阵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project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projects、members、lifecycle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项目主数据、岗位、范围过滤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ledger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transition-tool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V19 台账 CRUD/导入导出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dashboard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/dashboard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KPI，按可见项目与级联条件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workflow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approvals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审批（二期）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finance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finance/funding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经费（二期）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file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uploads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附件（二期）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3  模块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5  前端信息架构（Vue）</w:t>
      </w:r>
    </w:p>
    <w:p>
      <w:pPr>
        <w:spacing w:line="360" w:lineRule="auto" w:after="120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布局：顶栏商飞蓝 #0048A0，主色 #0064EF，内容底 #F5F7FA，组件 Ant Design Vue（对齐经营管理规范）。菜单仍按平台身份生成；表单维护受 canFormMaintain 控制，禁止在登录完成前永久隐藏。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路由</w:t>
            </w:r>
          </w:p>
        </w:tc>
        <w:tc>
          <w:tcPr>
            <w:tcW w:type="dxa" w:w="312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页面</w:t>
            </w:r>
          </w:p>
        </w:tc>
        <w:tc>
          <w:tcPr>
            <w:tcW w:type="dxa" w:w="3120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权限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/login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工号登录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匿名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/cockpit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可视化驾驶舱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已登录（领导/管理/管理员等）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/projects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项目台账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已登录，数据按 scope 过滤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/projects/:id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项目详情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可见范围内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/ledger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表单维护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admin 或 formAccess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/admin/members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成员与登录账号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admin</w:t>
            </w:r>
          </w:p>
        </w:tc>
      </w:tr>
      <w:tr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/admin/people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人员名录（原平台同步）</w:t>
            </w:r>
          </w:p>
        </w:tc>
        <w:tc>
          <w:tcPr>
            <w:tcW w:type="dxa" w:w="31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admin / mgmt</w:t>
            </w:r>
          </w:p>
        </w:tc>
      </w:tr>
      <w:tr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/admin/rbac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项目岗位矩阵</w:t>
            </w:r>
          </w:p>
        </w:tc>
        <w:tc>
          <w:tcPr>
            <w:tcW w:type="dxa" w:w="3120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admin</w:t>
            </w:r>
          </w:p>
        </w:tc>
      </w:tr>
    </w:tbl>
    <w:p>
      <w:pPr>
        <w:spacing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4  路由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6  人员主数据（原平台接入）</w:t>
      </w:r>
    </w:p>
    <w:p>
      <w:pPr>
        <w:spacing w:line="360" w:lineRule="auto" w:after="120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原平台（Vue+Spring）持有单位全员。本平台不再以 12 人 users 当通讯录。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person_directory：emp_no（主键约定）、name、unit_code、dept_name、on_job、synced_at。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sys_user：仅本系统登录者；emp_no 外键关联名录；role/scope/form_access 只存在本表。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OrgPeopleClient：GET 增量（since）与关键字搜索；服务账号调用，不转发浏览器 Cookie。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选人组件只查名录；resolvePerson 只用工号，禁止姓名唯一匹配。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工号规则与原平台对齐；若非 6 位数字，取消现网 isEmpNo 的硬限制，登录仍可用工号字符串。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7  权限设计（保持三层，实现换栈）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平台身份：sys_user.role / scope / unit_id → 菜单与项目可见范围。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项目岗位：project_member(emp_no, slot) + duty_perm_matrix → 办理按钮。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表单维护：form_access / form_scope / form_scope_keys；总部科技单位才允许开通。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领导只读；IAM 若存在只控制「能否进入本系统」，不覆盖岗位矩阵。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8  数据要点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项目、单位、渠道、任职、登录、审计用关系表。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渠道流程 JSON、台账行可 JSON 列或独立 ledger_record，避免首期过度范式化导致导入失败。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专业字典 major1/major2 继续文件或字典表，级联校验不变。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9  安全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密码 BCrypt；JWT 短期访问令牌；失败次数锁定。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CORS 仅门户域；生产同域可关跨域。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接口鉴权在 Spring Security，不依赖前端隐藏菜单。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10  实施步骤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本期：本目录脚手架可运行（登录、单位、名录同步桩、台账/项目空列表、驾驶舱壳）。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再按台账→驾驶舱口径→表单维护→岗位矩阵→生命周期→经费 搬迁现网规则。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现网 18095 Node 实例保持运行直至切流验收（行数、KPI、登录角色一致）。</w:t>
      </w:r>
    </w:p>
    <w:p>
      <w:pPr>
        <w:spacing w:before="280" w:after="120"/>
      </w:pPr>
      <w:r>
        <w:rPr>
          <w:rFonts w:ascii="Calibri" w:hAnsi="Calibri"/>
          <w:b/>
          <w:color w:val="0048A0"/>
          <w:sz w:val="32"/>
          <w:eastAsian w:val="黑体"/>
        </w:rPr>
        <w:t>11  工程说明</w:t>
      </w:r>
    </w:p>
    <w:p>
      <w:pPr>
        <w:spacing w:line="360" w:lineRule="auto" w:after="120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代码位于工作区 srpm-vue-springboot。后端默认端口 8080，前端 Vite 5173 代理 /api。演示账号仍为 100001 / 100001。人员同步接口默认返回桩数据，配置 org.platform.base-url 后对接原平台。</w:t>
      </w:r>
    </w:p>
    <w:p>
      <w:pPr>
        <w:spacing w:before="240"/>
      </w:pPr>
      <w:r>
        <w:rPr>
          <w:rFonts w:ascii="Times New Roman" w:hAnsi="Times New Roman"/>
          <w:b w:val="0"/>
          <w:color w:val="595959"/>
          <w:sz w:val="22"/>
          <w:eastAsian w:val="楷体"/>
        </w:rPr>
        <w:t>现网 Node 包仍用于 18095 生产；本设计是目标框架下的平台重构基线，不是对 18095 容器的原地替换。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8"/>
        <w:eastAsian w:val="宋体"/>
      </w:rPr>
      <w:t>SRPM 概要设计  ·  Vue3 + Spring Boot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n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