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  <w:highlight w:val="none"/>
        </w:rPr>
      </w:pPr>
      <w:r>
        <w:rPr>
          <w:sz w:val="28"/>
          <w:szCs w:val="28"/>
          <w:lang w:val="en-US"/>
        </w:rPr>
        <w:t xml:space="preserve">Лабораторная </w:t>
      </w:r>
      <w:r>
        <w:rPr>
          <w:sz w:val="28"/>
          <w:szCs w:val="28"/>
          <w:lang w:val="ru-RU"/>
        </w:rPr>
        <w:t xml:space="preserve">работа №7</w:t>
      </w:r>
      <w:r>
        <w:rPr>
          <w:sz w:val="28"/>
          <w:szCs w:val="28"/>
        </w:rPr>
      </w:r>
    </w:p>
    <w:p>
      <w:pPr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Динамическая маршрутизация по протоколу RIP. </w:t>
      </w:r>
      <w:r>
        <w:rPr>
          <w:b/>
          <w:bCs/>
          <w:highlight w:val="none"/>
          <w:lang w:val="ru-RU"/>
        </w:rPr>
        <w:t xml:space="preserve">Получение сетевых настроек по DHCP</w:t>
      </w:r>
      <w:r>
        <w:rPr>
          <w:b/>
          <w:bCs/>
          <w:highlight w:val="none"/>
          <w:lang w:val="ru-RU"/>
        </w:rPr>
      </w:r>
      <w:r>
        <w:rPr>
          <w:highlight w:val="none"/>
          <w:lang w:val="ru-RU"/>
        </w:rPr>
      </w:r>
    </w:p>
    <w:p>
      <w:r>
        <w:rPr>
          <w:b/>
          <w:bCs/>
          <w:highlight w:val="none"/>
          <w:lang w:val="ru-RU"/>
        </w:rPr>
        <w:t xml:space="preserve">Цель работы</w:t>
      </w:r>
      <w:r/>
    </w:p>
    <w:p>
      <w:pPr>
        <w:pStyle w:val="601"/>
        <w:rPr>
          <w:b w:val="0"/>
          <w:bCs w:val="0"/>
        </w:rPr>
      </w:pPr>
      <w:r>
        <w:rPr>
          <w:b w:val="0"/>
          <w:bCs w:val="0"/>
          <w:highlight w:val="none"/>
          <w:lang w:val="ru-RU"/>
        </w:rPr>
        <w:t xml:space="preserve">Ознакомиться с механизмом динамической маршрутизации по прото-</w:t>
      </w:r>
      <w:r>
        <w:rPr>
          <w:b w:val="0"/>
          <w:bCs w:val="0"/>
        </w:rPr>
      </w:r>
    </w:p>
    <w:p>
      <w:pPr>
        <w:pStyle w:val="601"/>
        <w:rPr>
          <w:b w:val="0"/>
          <w:bCs w:val="0"/>
        </w:rPr>
      </w:pPr>
      <w:r>
        <w:rPr>
          <w:b w:val="0"/>
          <w:bCs w:val="0"/>
          <w:highlight w:val="none"/>
          <w:lang w:val="ru-RU"/>
        </w:rPr>
        <w:t xml:space="preserve">колу RIP. Научиться настраивать компьютеры и серверы для автоматизации</w:t>
      </w:r>
      <w:r>
        <w:rPr>
          <w:b w:val="0"/>
          <w:bCs w:val="0"/>
        </w:rPr>
      </w:r>
    </w:p>
    <w:p>
      <w:pPr>
        <w:pStyle w:val="601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получения компьютерами сетевых настроек.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Порядок выполнения работы</w:t>
      </w:r>
      <w:r>
        <w:rPr>
          <w:b/>
          <w:bCs/>
          <w:highlight w:val="none"/>
          <w:lang w:val="ru-RU"/>
        </w:rPr>
      </w:r>
    </w:p>
    <w:p>
      <w:pPr>
        <w:pStyle w:val="601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601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Построение модели сети</w:t>
      </w:r>
      <w:r>
        <w:rPr>
          <w:b/>
          <w:bCs/>
        </w:rPr>
      </w:r>
    </w:p>
    <w:p>
      <w:pPr>
        <w:pStyle w:val="601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601"/>
      </w:pPr>
      <w:r>
        <w:rPr>
          <w:b w:val="0"/>
          <w:bCs w:val="0"/>
          <w:highlight w:val="none"/>
          <w:lang w:val="ru-RU"/>
        </w:rPr>
        <w:t xml:space="preserve">1. Выбрать исходные данные для выполнения работы согласно своему</w:t>
      </w:r>
      <w:r/>
    </w:p>
    <w:p>
      <w:pPr>
        <w:pStyle w:val="601"/>
      </w:pPr>
      <w:r>
        <w:rPr>
          <w:b w:val="0"/>
          <w:bCs w:val="0"/>
          <w:highlight w:val="none"/>
          <w:lang w:val="ru-RU"/>
        </w:rPr>
        <w:t xml:space="preserve">варианту. Полученную согласно варианту сеть с маской /26 разбить на 8 под-</w:t>
      </w:r>
      <w:r/>
    </w:p>
    <w:p>
      <w:pPr>
        <w:pStyle w:val="601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сетей с маской /29 каждая.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center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2105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48190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905374" cy="2105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6.2pt;height:165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center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2. Используя соответствующие инструменты на панели эмулятора, по-</w:t>
      </w:r>
      <w:r/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строить сеть в соответствии с рис. </w:t>
      </w:r>
      <w:r/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center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6315" cy="334621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092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26315" cy="33462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4.3pt;height:263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3. Распределить полученные ранее адреса сетей между сетями SR1–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SR5 и SH11–SH13. Добавить возле каждой сети надпись с ее IP-адресом.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4. Настроить интерфейсы маршрутизаторов, задав каждому IP-адрес и</w:t>
      </w:r>
      <w:r/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маску подсети в соответствии с выбранным распределением.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Настройка динамической маршрутизации по протоколу RIP</w:t>
      </w:r>
      <w:r>
        <w:rPr>
          <w:b/>
          <w:bCs/>
        </w:rPr>
      </w:r>
    </w:p>
    <w:p>
      <w:pPr>
        <w:pStyle w:val="601"/>
        <w:jc w:val="left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1. На каждом маршрутизаторе добавить и запустить программу RIP.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Пункт контекстного меню «Программы». Кнопка «Добавить». Не забудьте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поставить флаг для активации программы.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2. Включить маршрутизацию на маршрутизаторе.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3. Открыть журнал одного из маршрутизаторов. Проследить за переме-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щением пакетов протокола RIP по сети.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4. Поочередно открыть таблицы маршрутизации каждого маршрутиза-</w:t>
      </w:r>
      <w:r/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тора и убедиться, что таблица заполнилась.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  <w:rPr>
          <w:b/>
          <w:bCs/>
        </w:rPr>
      </w:pPr>
      <w:r>
        <w:rPr>
          <w:b/>
          <w:bCs/>
          <w:highlight w:val="none"/>
          <w:lang w:val="ru-RU"/>
        </w:rPr>
        <w:t xml:space="preserve">Настройка автоматического получения сетевых настроек по</w:t>
      </w:r>
      <w:r>
        <w:rPr>
          <w:b/>
          <w:bCs/>
        </w:rPr>
      </w:r>
    </w:p>
    <w:p>
      <w:pPr>
        <w:pStyle w:val="601"/>
        <w:jc w:val="left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протоколу DHCP</w:t>
      </w:r>
      <w:r>
        <w:rPr>
          <w:b/>
          <w:bCs/>
        </w:rPr>
      </w:r>
    </w:p>
    <w:p>
      <w:pPr>
        <w:pStyle w:val="601"/>
        <w:jc w:val="left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1. На маршрутизаторах, которые отвечают за сети SH11–SH13 добавить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и запустить программу DHCP-сервер. Не забудьте поставить флаг для акти-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вации программы.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2. В настройках каждого DHCP-сервера указать интерфейс, «смотря-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щий» в сторону сети SH, тип адресов — динамические, диапазон адресов,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выделяемых для динамической адресации, маску подсети и IP-адрес шлюза.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3. На каждом компьютере добавить и запустить программу DHCP-клиент.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Не забудьте поставить флаг для активации программы.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4. В настройках каждого DHCP-клиента укажите интерфейс, который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должен автоматически получать сетевые настройки.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5. Открыть диалог настройки интерфейсов каждого компьютера и убе-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диться, что стоит флаг «Получать настройки автоматически».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6. Дождаться, пока все компьютеры не получат сетевые настройки.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7. Проверить работоспособность построенной модели ЛВС, передав па-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кеты (TCP, 5 KB) между компьютерами в разных подсетях.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После выполнения работы продемонстрировать преподавателю работо-</w:t>
      </w:r>
      <w:r/>
    </w:p>
    <w:p>
      <w:pPr>
        <w:pStyle w:val="601"/>
        <w:jc w:val="left"/>
      </w:pPr>
      <w:r>
        <w:rPr>
          <w:b w:val="0"/>
          <w:bCs w:val="0"/>
          <w:highlight w:val="none"/>
          <w:lang w:val="ru-RU"/>
        </w:rPr>
        <w:t xml:space="preserve">способность построенной модели.</w:t>
      </w:r>
      <w:r/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Проект сохранить для отчета.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Отчет по работе присылать в виде проекта  NetEmul</w:t>
      </w:r>
      <w:r>
        <w:rPr>
          <w:b w:val="0"/>
          <w:bCs w:val="0"/>
          <w:highlight w:val="none"/>
          <w:lang w:val="ru-RU"/>
        </w:rPr>
      </w:r>
    </w:p>
    <w:p>
      <w:pPr>
        <w:pStyle w:val="601"/>
        <w:jc w:val="left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и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вордовского файла с настройками DHCP</w:t>
      </w:r>
      <w:r>
        <w:rPr>
          <w:b w:val="0"/>
          <w:bCs w:val="0"/>
          <w:highlight w:val="none"/>
          <w:lang w:val="en-US"/>
        </w:rPr>
        <w:t xml:space="preserve"> сер</w:t>
      </w:r>
      <w:r>
        <w:rPr>
          <w:b w:val="0"/>
          <w:bCs w:val="0"/>
          <w:highlight w:val="none"/>
          <w:lang w:val="ru-RU"/>
        </w:rPr>
        <w:t xml:space="preserve">веров (можно в виде скринов)</w:t>
      </w:r>
      <w:r>
        <w:rPr>
          <w:b w:val="0"/>
          <w:bCs w:val="0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2022-12-03T20:07:27Z</dcterms:modified>
</cp:coreProperties>
</file>