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A35F" w14:textId="77777777" w:rsidR="00C04D3A" w:rsidRPr="009E7F98" w:rsidRDefault="00E8370C" w:rsidP="001F7CE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F9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№5</w:t>
      </w:r>
    </w:p>
    <w:p w14:paraId="12ECC91C" w14:textId="2D0B9ABA" w:rsidR="00C04D3A" w:rsidRPr="009E7F98" w:rsidRDefault="00E8370C" w:rsidP="001F7CE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F98">
        <w:rPr>
          <w:rFonts w:ascii="Times New Roman" w:hAnsi="Times New Roman" w:cs="Times New Roman"/>
          <w:b/>
          <w:bCs/>
          <w:sz w:val="28"/>
          <w:szCs w:val="28"/>
        </w:rPr>
        <w:t>Количественный анализ рисков. Анализ чувствительности</w:t>
      </w:r>
    </w:p>
    <w:p w14:paraId="17DA59DB" w14:textId="25619E88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CE5">
        <w:rPr>
          <w:rFonts w:ascii="Times New Roman" w:hAnsi="Times New Roman" w:cs="Times New Roman"/>
          <w:b/>
          <w:bCs/>
          <w:sz w:val="28"/>
          <w:szCs w:val="28"/>
        </w:rPr>
        <w:t>Задание 1. Провести калькуляцию стоимости проекта.</w:t>
      </w:r>
    </w:p>
    <w:p w14:paraId="2EB5E520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7CE5">
        <w:rPr>
          <w:rFonts w:ascii="Times New Roman" w:hAnsi="Times New Roman" w:cs="Times New Roman"/>
          <w:i/>
          <w:iCs/>
          <w:sz w:val="28"/>
          <w:szCs w:val="28"/>
        </w:rPr>
        <w:t>1.1 Объем реализации продукта</w:t>
      </w:r>
    </w:p>
    <w:p w14:paraId="1323C9CE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7CE5">
        <w:rPr>
          <w:rFonts w:ascii="Times New Roman" w:hAnsi="Times New Roman" w:cs="Times New Roman"/>
          <w:i/>
          <w:iCs/>
          <w:sz w:val="28"/>
          <w:szCs w:val="28"/>
        </w:rPr>
        <w:t>1.2 Переменные издержки</w:t>
      </w:r>
    </w:p>
    <w:p w14:paraId="5F019AC2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 xml:space="preserve">Переменные издержки </w:t>
      </w:r>
      <w:proofErr w:type="gramStart"/>
      <w:r w:rsidRPr="001F7CE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7CE5">
        <w:rPr>
          <w:rFonts w:ascii="Times New Roman" w:hAnsi="Times New Roman" w:cs="Times New Roman"/>
          <w:sz w:val="28"/>
          <w:szCs w:val="28"/>
        </w:rPr>
        <w:t xml:space="preserve"> издержки, </w:t>
      </w:r>
      <w:r w:rsidRPr="001F7CE5">
        <w:rPr>
          <w:rFonts w:ascii="Times New Roman" w:eastAsia="Trebuchet MS" w:hAnsi="Times New Roman" w:cs="Times New Roman"/>
          <w:sz w:val="28"/>
          <w:szCs w:val="28"/>
        </w:rPr>
        <w:t xml:space="preserve">составляющие собственно себестоимость производства (прямые расходы на производство продукции). </w:t>
      </w:r>
    </w:p>
    <w:p w14:paraId="5B9AE3C9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  <w:shd w:val="clear" w:color="auto" w:fill="FBFCFF"/>
        </w:rPr>
        <w:t>В качестве переменных затрат учитывают те расходы, количество которых изменяется при изменении объема производства или объем</w:t>
      </w:r>
      <w:r w:rsidRPr="001F7CE5">
        <w:rPr>
          <w:rFonts w:ascii="Times New Roman" w:hAnsi="Times New Roman" w:cs="Times New Roman"/>
          <w:sz w:val="28"/>
          <w:szCs w:val="28"/>
          <w:shd w:val="clear" w:color="auto" w:fill="FBFCFF"/>
        </w:rPr>
        <w:t xml:space="preserve">а предоставляемых услуг. Среди таких затрат стоит отметить расходы на печатающее оборудование, отопление, электричество или бумагу. Если объемы производства увеличиваются, то и количество подобных затрат становится большим. </w:t>
      </w:r>
    </w:p>
    <w:p w14:paraId="602171A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7CE5">
        <w:rPr>
          <w:rFonts w:ascii="Times New Roman" w:hAnsi="Times New Roman" w:cs="Times New Roman"/>
          <w:i/>
          <w:iCs/>
          <w:sz w:val="28"/>
          <w:szCs w:val="28"/>
        </w:rPr>
        <w:t>1.3 Постоянные издержки</w:t>
      </w:r>
    </w:p>
    <w:p w14:paraId="7E12197D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Постоян</w:t>
      </w:r>
      <w:r w:rsidRPr="001F7CE5">
        <w:rPr>
          <w:rFonts w:ascii="Times New Roman" w:hAnsi="Times New Roman" w:cs="Times New Roman"/>
          <w:sz w:val="28"/>
          <w:szCs w:val="28"/>
        </w:rPr>
        <w:t>ные затраты</w:t>
      </w:r>
      <w:r w:rsidRPr="001F7CE5">
        <w:rPr>
          <w:rFonts w:ascii="Times New Roman" w:hAnsi="Times New Roman" w:cs="Times New Roman"/>
          <w:sz w:val="28"/>
          <w:szCs w:val="28"/>
        </w:rPr>
        <w:t xml:space="preserve"> – это затраты, которые не зависят от величины объёма выпуска продукции, работ, услуг, в отличие от переменных затрат.</w:t>
      </w:r>
    </w:p>
    <w:p w14:paraId="1768B9FD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CFF"/>
        </w:rPr>
      </w:pPr>
      <w:r w:rsidRPr="001F7CE5">
        <w:rPr>
          <w:rFonts w:ascii="Times New Roman" w:hAnsi="Times New Roman" w:cs="Times New Roman"/>
          <w:sz w:val="28"/>
          <w:szCs w:val="28"/>
          <w:shd w:val="clear" w:color="auto" w:fill="FBFCFF"/>
        </w:rPr>
        <w:t>К видам постоянных ИТ затрат относят типы инвестиций, направленных на аппаратное обеспечение, строительство, программное обесп</w:t>
      </w:r>
      <w:r w:rsidRPr="001F7CE5">
        <w:rPr>
          <w:rFonts w:ascii="Times New Roman" w:hAnsi="Times New Roman" w:cs="Times New Roman"/>
          <w:sz w:val="28"/>
          <w:szCs w:val="28"/>
          <w:shd w:val="clear" w:color="auto" w:fill="FBFCFF"/>
        </w:rPr>
        <w:t>ечение. Такие виды затрат никак не зависят от объема предоставленных услуг. Даже если снижаются объемы производства, происходит их прерывание, постоянные виды затрат все равно присутствуют.</w:t>
      </w:r>
    </w:p>
    <w:p w14:paraId="27B3CFD7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BFCFF"/>
        </w:rPr>
      </w:pPr>
      <w:r w:rsidRPr="001F7CE5">
        <w:rPr>
          <w:rFonts w:ascii="Times New Roman" w:hAnsi="Times New Roman" w:cs="Times New Roman"/>
          <w:i/>
          <w:iCs/>
          <w:sz w:val="28"/>
          <w:szCs w:val="28"/>
          <w:shd w:val="clear" w:color="auto" w:fill="FBFCFF"/>
        </w:rPr>
        <w:t xml:space="preserve">1.4 Себестоимость </w:t>
      </w:r>
    </w:p>
    <w:p w14:paraId="38393609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Себестоимость – это сумма, которую предприятие 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расходует на производство товара и продвижение его до конечного потребителя. </w:t>
      </w:r>
    </w:p>
    <w:p w14:paraId="05DAC353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i/>
          <w:iCs/>
          <w:sz w:val="28"/>
          <w:szCs w:val="28"/>
        </w:rPr>
      </w:pPr>
      <w:r w:rsidRPr="001F7CE5">
        <w:rPr>
          <w:rFonts w:ascii="Times New Roman" w:eastAsia="Roboto" w:hAnsi="Times New Roman" w:cs="Times New Roman"/>
          <w:i/>
          <w:iCs/>
          <w:sz w:val="28"/>
          <w:szCs w:val="28"/>
        </w:rPr>
        <w:t>1.5 Цена реализации</w:t>
      </w:r>
    </w:p>
    <w:p w14:paraId="348408A4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Нижней границей ценового коридора будет сумма всех затрат на производство единицы продукта, иначе и не стоило начинать бизнес совсем. </w:t>
      </w:r>
    </w:p>
    <w:p w14:paraId="484C4BFA" w14:textId="63ED4AA5" w:rsidR="00C04D3A" w:rsidRPr="001F7CE5" w:rsidRDefault="001F7CE5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Существует</w:t>
      </w:r>
      <w:r w:rsidR="00E8370C" w:rsidRPr="001F7CE5">
        <w:rPr>
          <w:rFonts w:ascii="Times New Roman" w:eastAsia="Roboto" w:hAnsi="Times New Roman" w:cs="Times New Roman"/>
          <w:sz w:val="28"/>
          <w:szCs w:val="28"/>
        </w:rPr>
        <w:t xml:space="preserve"> несколько мет</w:t>
      </w:r>
      <w:r w:rsidR="00E8370C" w:rsidRPr="001F7CE5">
        <w:rPr>
          <w:rFonts w:ascii="Times New Roman" w:eastAsia="Roboto" w:hAnsi="Times New Roman" w:cs="Times New Roman"/>
          <w:sz w:val="28"/>
          <w:szCs w:val="28"/>
        </w:rPr>
        <w:t xml:space="preserve">одов расчета конечной цены единицы продукции: </w:t>
      </w:r>
    </w:p>
    <w:p w14:paraId="320B8BD7" w14:textId="2711ACA5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Метод снятия сливок. Применяется в том случае, если у выпускаемого товара 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отсутствуют </w:t>
      </w:r>
      <w:r w:rsidRPr="001F7CE5">
        <w:rPr>
          <w:rFonts w:ascii="Times New Roman" w:eastAsia="Roboto" w:hAnsi="Times New Roman" w:cs="Times New Roman"/>
          <w:sz w:val="28"/>
          <w:szCs w:val="28"/>
        </w:rPr>
        <w:t>конкуренты. Таким образом, производитель вправе устанавливать любую цену. Такой метод буде эффективен лишь при наличии устойчивого спроса на товар, при этом сам товар долже</w:t>
      </w:r>
      <w:r w:rsidRPr="001F7CE5">
        <w:rPr>
          <w:rFonts w:ascii="Times New Roman" w:eastAsia="Roboto" w:hAnsi="Times New Roman" w:cs="Times New Roman"/>
          <w:sz w:val="28"/>
          <w:szCs w:val="28"/>
        </w:rPr>
        <w:t>н иметь высокое качество.</w:t>
      </w:r>
    </w:p>
    <w:p w14:paraId="00007EAB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Метод прорыва на рынок. В этом случае товар начинает продаваться с достаточно низкой цены, способной в максимально короткие сроки привлечь значительное число покупателей. Товар очень быстро становится известным и популярным. Такой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 метод применяется не просто для нового товара, а для товара неизвестного и никогда до этого на рынке не появлявшегося. Данная методика опасна тем, что, если производитель товара не завоюет массовый рынок, он может разориться. Метод будет успешен, если про</w:t>
      </w:r>
      <w:r w:rsidRPr="001F7CE5">
        <w:rPr>
          <w:rFonts w:ascii="Times New Roman" w:eastAsia="Roboto" w:hAnsi="Times New Roman" w:cs="Times New Roman"/>
          <w:sz w:val="28"/>
          <w:szCs w:val="28"/>
        </w:rPr>
        <w:t>изводитель чутко реагирует на изменение спроса, рост продаж устойчив и позволяет развивать производство, а низкая цена отпугнет возможных конкурентов.</w:t>
      </w:r>
    </w:p>
    <w:p w14:paraId="2E080525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Затратный метод. Цена устанавливается так: из суммы полных затрат на производство товара и его внедрения 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на рынок (постоянные и переменные затраты) к ним прибавляется сумма ожидаемой прибыли и все делится на запланированное количество продукции. </w:t>
      </w:r>
    </w:p>
    <w:p w14:paraId="04BA1791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Метод определения конкурентоспособной цены. Можно установить более высокую цену по сравнению с ценой аналогичного </w:t>
      </w:r>
      <w:r w:rsidRPr="001F7CE5">
        <w:rPr>
          <w:rFonts w:ascii="Times New Roman" w:eastAsia="Roboto" w:hAnsi="Times New Roman" w:cs="Times New Roman"/>
          <w:sz w:val="28"/>
          <w:szCs w:val="28"/>
        </w:rPr>
        <w:t>товара у конкурентов, если удастся доказать, что ваш товар лучше, функциональнее, удобнее и т. д. Если же особых отличий от товаров-аналогов нет, то и цена должна быть такая же, а то и ниже, чтобы завоевать себе место на рынке.</w:t>
      </w:r>
    </w:p>
    <w:p w14:paraId="7226BCA3" w14:textId="21557B54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Метод удельного показателя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>.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 И</w:t>
      </w:r>
      <w:r w:rsidRPr="001F7CE5">
        <w:rPr>
          <w:rFonts w:ascii="Times New Roman" w:eastAsia="Roboto" w:hAnsi="Times New Roman" w:cs="Times New Roman"/>
          <w:sz w:val="28"/>
          <w:szCs w:val="28"/>
        </w:rPr>
        <w:t>спользуется, когда аналоговые товары отличаются только одним параметром. Тогда:</w:t>
      </w:r>
    </w:p>
    <w:p w14:paraId="531FA470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Цена = Цена аналогичного товара / Параметр аналогичного товара × Параметр нового товара.</w:t>
      </w:r>
    </w:p>
    <w:p w14:paraId="7FF433D3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Метод регрессионного анализа. Когда у нового товара значимыми являются несколько техник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о-экономических параметров, его сравнивают с </w:t>
      </w:r>
      <w:r w:rsidRPr="001F7CE5">
        <w:rPr>
          <w:rFonts w:ascii="Times New Roman" w:eastAsia="Roboto" w:hAnsi="Times New Roman" w:cs="Times New Roman"/>
          <w:sz w:val="28"/>
          <w:szCs w:val="28"/>
        </w:rPr>
        <w:lastRenderedPageBreak/>
        <w:t>рядом товаров, имеющих подобные характеристики, и рассчитывают соотношение цен на весь ряд товаров на основании их параметров по формуле:</w:t>
      </w:r>
    </w:p>
    <w:p w14:paraId="56752F5F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Цена = </w:t>
      </w:r>
      <w:proofErr w:type="gramStart"/>
      <w:r w:rsidRPr="001F7CE5">
        <w:rPr>
          <w:rFonts w:ascii="Times New Roman" w:eastAsia="Roboto" w:hAnsi="Times New Roman" w:cs="Times New Roman"/>
          <w:sz w:val="28"/>
          <w:szCs w:val="28"/>
        </w:rPr>
        <w:t>f</w:t>
      </w:r>
      <w:r w:rsidRPr="001F7CE5">
        <w:rPr>
          <w:rFonts w:ascii="Times New Roman" w:eastAsia="Roboto" w:hAnsi="Times New Roman" w:cs="Times New Roman"/>
          <w:sz w:val="28"/>
          <w:szCs w:val="28"/>
        </w:rPr>
        <w:t>(</w:t>
      </w:r>
      <w:proofErr w:type="gramEnd"/>
      <w:r w:rsidRPr="001F7CE5">
        <w:rPr>
          <w:rFonts w:ascii="Times New Roman" w:eastAsia="Roboto" w:hAnsi="Times New Roman" w:cs="Times New Roman"/>
          <w:sz w:val="28"/>
          <w:szCs w:val="28"/>
        </w:rPr>
        <w:t>X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1, </w:t>
      </w:r>
      <w:r w:rsidRPr="001F7CE5">
        <w:rPr>
          <w:rFonts w:ascii="Times New Roman" w:eastAsia="Roboto" w:hAnsi="Times New Roman" w:cs="Times New Roman"/>
          <w:sz w:val="28"/>
          <w:szCs w:val="28"/>
        </w:rPr>
        <w:t>X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2, … </w:t>
      </w:r>
      <w:proofErr w:type="spellStart"/>
      <w:r w:rsidRPr="001F7CE5">
        <w:rPr>
          <w:rFonts w:ascii="Times New Roman" w:eastAsia="Roboto" w:hAnsi="Times New Roman" w:cs="Times New Roman"/>
          <w:sz w:val="28"/>
          <w:szCs w:val="28"/>
        </w:rPr>
        <w:t>X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n</w:t>
      </w:r>
      <w:proofErr w:type="spellEnd"/>
      <w:r w:rsidRPr="001F7CE5">
        <w:rPr>
          <w:rFonts w:ascii="Times New Roman" w:eastAsia="Roboto" w:hAnsi="Times New Roman" w:cs="Times New Roman"/>
          <w:sz w:val="28"/>
          <w:szCs w:val="28"/>
        </w:rPr>
        <w:t>),</w:t>
      </w:r>
    </w:p>
    <w:p w14:paraId="68A723F4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где Х — это количественный показатель одного из параметров товара.</w:t>
      </w:r>
    </w:p>
    <w:p w14:paraId="6F1B3CAD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На основании приведенной формулы можно получить уравнения регрессии, из которых потом выбрать наиболее подходящие под наши условия:</w:t>
      </w:r>
    </w:p>
    <w:p w14:paraId="02F3AE6A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линейное уравнение: f = а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0</w:t>
      </w:r>
      <w:r w:rsidRPr="001F7CE5">
        <w:rPr>
          <w:rFonts w:ascii="Times New Roman" w:eastAsia="Arial Unicode MS" w:hAnsi="Times New Roman" w:cs="Times New Roman"/>
          <w:sz w:val="28"/>
          <w:szCs w:val="28"/>
        </w:rPr>
        <w:t>+∑</w:t>
      </w:r>
      <w:proofErr w:type="spellStart"/>
      <w:r w:rsidRPr="001F7CE5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r w:rsidRPr="001F7CE5">
        <w:rPr>
          <w:rFonts w:ascii="Times New Roman" w:eastAsia="Roboto" w:hAnsi="Times New Roman" w:cs="Times New Roman"/>
          <w:sz w:val="28"/>
          <w:szCs w:val="28"/>
        </w:rPr>
        <w:t>х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proofErr w:type="spellEnd"/>
      <w:r w:rsidRPr="001F7CE5">
        <w:rPr>
          <w:rFonts w:ascii="Times New Roman" w:eastAsia="Roboto" w:hAnsi="Times New Roman" w:cs="Times New Roman"/>
          <w:sz w:val="28"/>
          <w:szCs w:val="28"/>
        </w:rPr>
        <w:t>,</w:t>
      </w:r>
    </w:p>
    <w:p w14:paraId="5976CBD5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степенное уравнение: f </w:t>
      </w:r>
      <w:r w:rsidRPr="001F7CE5">
        <w:rPr>
          <w:rFonts w:ascii="Times New Roman" w:eastAsia="Roboto" w:hAnsi="Times New Roman" w:cs="Times New Roman"/>
          <w:sz w:val="28"/>
          <w:szCs w:val="28"/>
        </w:rPr>
        <w:t>= a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0</w:t>
      </w:r>
      <w:r w:rsidRPr="001F7CE5">
        <w:rPr>
          <w:rFonts w:ascii="Times New Roman" w:eastAsia="Roboto" w:hAnsi="Times New Roman" w:cs="Times New Roman"/>
          <w:sz w:val="28"/>
          <w:szCs w:val="28"/>
        </w:rPr>
        <w:t>Πx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r w:rsidRPr="001F7CE5">
        <w:rPr>
          <w:rFonts w:ascii="Times New Roman" w:eastAsia="Roboto" w:hAnsi="Times New Roman" w:cs="Times New Roman"/>
          <w:sz w:val="28"/>
          <w:szCs w:val="28"/>
          <w:vertAlign w:val="superscript"/>
        </w:rPr>
        <w:t>ni</w:t>
      </w:r>
      <w:r w:rsidRPr="001F7CE5">
        <w:rPr>
          <w:rFonts w:ascii="Times New Roman" w:eastAsia="Roboto" w:hAnsi="Times New Roman" w:cs="Times New Roman"/>
          <w:sz w:val="28"/>
          <w:szCs w:val="28"/>
        </w:rPr>
        <w:t>,</w:t>
      </w:r>
    </w:p>
    <w:p w14:paraId="3D76947B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параболическое уравнение: f = a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0</w:t>
      </w:r>
      <w:r w:rsidRPr="001F7CE5">
        <w:rPr>
          <w:rFonts w:ascii="Times New Roman" w:eastAsia="Nova Mono" w:hAnsi="Times New Roman" w:cs="Times New Roman"/>
          <w:sz w:val="28"/>
          <w:szCs w:val="28"/>
        </w:rPr>
        <w:t>+∑</w:t>
      </w:r>
      <w:proofErr w:type="spellStart"/>
      <w:r w:rsidRPr="001F7CE5">
        <w:rPr>
          <w:rFonts w:ascii="Times New Roman" w:eastAsia="Nova Mono" w:hAnsi="Times New Roman" w:cs="Times New Roman"/>
          <w:sz w:val="28"/>
          <w:szCs w:val="28"/>
        </w:rPr>
        <w:t>a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r w:rsidRPr="001F7CE5">
        <w:rPr>
          <w:rFonts w:ascii="Times New Roman" w:eastAsia="Roboto" w:hAnsi="Times New Roman" w:cs="Times New Roman"/>
          <w:sz w:val="28"/>
          <w:szCs w:val="28"/>
        </w:rPr>
        <w:t>x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proofErr w:type="spellEnd"/>
      <w:r w:rsidRPr="001F7CE5">
        <w:rPr>
          <w:rFonts w:ascii="Times New Roman" w:eastAsia="Nova Mono" w:hAnsi="Times New Roman" w:cs="Times New Roman"/>
          <w:sz w:val="28"/>
          <w:szCs w:val="28"/>
        </w:rPr>
        <w:t>+∑b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r w:rsidRPr="001F7CE5">
        <w:rPr>
          <w:rFonts w:ascii="Times New Roman" w:eastAsia="Roboto" w:hAnsi="Times New Roman" w:cs="Times New Roman"/>
          <w:sz w:val="28"/>
          <w:szCs w:val="28"/>
        </w:rPr>
        <w:t>x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i</w:t>
      </w:r>
      <w:r w:rsidRPr="001F7CE5">
        <w:rPr>
          <w:rFonts w:ascii="Times New Roman" w:eastAsia="Roboto" w:hAnsi="Times New Roman" w:cs="Times New Roman"/>
          <w:sz w:val="28"/>
          <w:szCs w:val="28"/>
          <w:vertAlign w:val="superscript"/>
        </w:rPr>
        <w:t>2</w:t>
      </w:r>
      <w:r w:rsidRPr="001F7CE5">
        <w:rPr>
          <w:rFonts w:ascii="Times New Roman" w:eastAsia="Roboto" w:hAnsi="Times New Roman" w:cs="Times New Roman"/>
          <w:sz w:val="28"/>
          <w:szCs w:val="28"/>
        </w:rPr>
        <w:t>.</w:t>
      </w:r>
    </w:p>
    <w:p w14:paraId="092B04F5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Регрессионный анализ работает, если цены на товары, с которыми сравнивается новый товар, не были получены с помощью такого же метода, а уже скорректированы условиями рынка. Такой метод хорошо применять при запуске на продажу новых моделей автомобилей, сото</w:t>
      </w:r>
      <w:r w:rsidRPr="001F7CE5">
        <w:rPr>
          <w:rFonts w:ascii="Times New Roman" w:eastAsia="Roboto" w:hAnsi="Times New Roman" w:cs="Times New Roman"/>
          <w:sz w:val="28"/>
          <w:szCs w:val="28"/>
        </w:rPr>
        <w:t>вых телефонов, различной бытовой техники и т. д.</w:t>
      </w:r>
    </w:p>
    <w:p w14:paraId="5269EF6A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Метод баллов. Данный метод применяется при сравнении нового товара с существующим на рынке аналогом путем присвоения определенного веса каждому параметру существующего и нового товара в зависимости от его це</w:t>
      </w:r>
      <w:r w:rsidRPr="001F7CE5">
        <w:rPr>
          <w:rFonts w:ascii="Times New Roman" w:eastAsia="Roboto" w:hAnsi="Times New Roman" w:cs="Times New Roman"/>
          <w:sz w:val="28"/>
          <w:szCs w:val="28"/>
        </w:rPr>
        <w:t>нности для покупателей. Сумма весов не должна превышать единицы. Суммирование цен всех баллов оценивает технико-экономический уровень нового товара по следующей формуле:</w:t>
      </w:r>
    </w:p>
    <w:p w14:paraId="45128921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proofErr w:type="spellStart"/>
      <w:r w:rsidRPr="001F7CE5">
        <w:rPr>
          <w:rFonts w:ascii="Times New Roman" w:eastAsia="Roboto" w:hAnsi="Times New Roman" w:cs="Times New Roman"/>
          <w:sz w:val="28"/>
          <w:szCs w:val="28"/>
        </w:rPr>
        <w:t>Цена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НТ</w:t>
      </w:r>
      <w:proofErr w:type="spellEnd"/>
      <w:r w:rsidRPr="001F7CE5">
        <w:rPr>
          <w:rFonts w:ascii="Times New Roman" w:eastAsia="Arial Unicode MS" w:hAnsi="Times New Roman" w:cs="Times New Roman"/>
          <w:sz w:val="28"/>
          <w:szCs w:val="28"/>
        </w:rPr>
        <w:t xml:space="preserve"> = </w:t>
      </w:r>
      <w:proofErr w:type="gramStart"/>
      <w:r w:rsidRPr="001F7CE5">
        <w:rPr>
          <w:rFonts w:ascii="Times New Roman" w:eastAsia="Arial Unicode MS" w:hAnsi="Times New Roman" w:cs="Times New Roman"/>
          <w:sz w:val="28"/>
          <w:szCs w:val="28"/>
        </w:rPr>
        <w:t>∑(</w:t>
      </w:r>
      <w:proofErr w:type="gramEnd"/>
      <w:r w:rsidRPr="001F7CE5">
        <w:rPr>
          <w:rFonts w:ascii="Times New Roman" w:eastAsia="Arial Unicode MS" w:hAnsi="Times New Roman" w:cs="Times New Roman"/>
          <w:sz w:val="28"/>
          <w:szCs w:val="28"/>
        </w:rPr>
        <w:t xml:space="preserve">Базовая </w:t>
      </w:r>
      <w:proofErr w:type="spellStart"/>
      <w:r w:rsidRPr="001F7CE5">
        <w:rPr>
          <w:rFonts w:ascii="Times New Roman" w:eastAsia="Arial Unicode MS" w:hAnsi="Times New Roman" w:cs="Times New Roman"/>
          <w:sz w:val="28"/>
          <w:szCs w:val="28"/>
        </w:rPr>
        <w:t>оценка</w:t>
      </w:r>
      <w:r w:rsidRPr="001F7CE5">
        <w:rPr>
          <w:rFonts w:ascii="Times New Roman" w:eastAsia="Roboto" w:hAnsi="Times New Roman" w:cs="Times New Roman"/>
          <w:sz w:val="28"/>
          <w:szCs w:val="28"/>
          <w:vertAlign w:val="subscript"/>
        </w:rPr>
        <w:t>НТ</w:t>
      </w:r>
      <w:proofErr w:type="spellEnd"/>
      <w:r w:rsidRPr="001F7CE5">
        <w:rPr>
          <w:rFonts w:ascii="Times New Roman" w:eastAsia="Arial Unicode MS" w:hAnsi="Times New Roman" w:cs="Times New Roman"/>
          <w:sz w:val="28"/>
          <w:szCs w:val="28"/>
        </w:rPr>
        <w:t xml:space="preserve"> × вес) × (Цена базового товара / (∑Базовая оценка × вес)),</w:t>
      </w:r>
    </w:p>
    <w:p w14:paraId="732385BC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где НТ — новый товар;</w:t>
      </w:r>
    </w:p>
    <w:p w14:paraId="34CE79D4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АТ — аналогичный товар.</w:t>
      </w:r>
    </w:p>
    <w:p w14:paraId="70248FA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i/>
          <w:iCs/>
          <w:sz w:val="28"/>
          <w:szCs w:val="28"/>
        </w:rPr>
      </w:pPr>
      <w:r w:rsidRPr="001F7CE5">
        <w:rPr>
          <w:rFonts w:ascii="Times New Roman" w:eastAsia="Roboto" w:hAnsi="Times New Roman" w:cs="Times New Roman"/>
          <w:i/>
          <w:iCs/>
          <w:sz w:val="28"/>
          <w:szCs w:val="28"/>
        </w:rPr>
        <w:t>1.6 Выручка и прибыль</w:t>
      </w:r>
    </w:p>
    <w:p w14:paraId="42754AD0" w14:textId="77777777" w:rsid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Выручка — это сумма, на которую бизнес продал товаров или оказал услуг. Ее можно рассчитать по формуле: </w:t>
      </w:r>
    </w:p>
    <w:p w14:paraId="45A81179" w14:textId="676901C2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Выручка = Цена одного товара × Количество проданных товаров.</w:t>
      </w:r>
    </w:p>
    <w:p w14:paraId="5BB3291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lastRenderedPageBreak/>
        <w:t>Прибыль — это доход минус расход, то есть сумма, которая осталась после всех затрат на производство и продвижение товара или сервиса.</w:t>
      </w:r>
    </w:p>
    <w:p w14:paraId="033C6B45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proofErr w:type="gramStart"/>
      <w:r w:rsidRPr="001F7CE5">
        <w:rPr>
          <w:rFonts w:ascii="Times New Roman" w:eastAsia="Roboto" w:hAnsi="Times New Roman" w:cs="Times New Roman"/>
          <w:sz w:val="28"/>
          <w:szCs w:val="28"/>
        </w:rPr>
        <w:t>Прибыль может быть</w:t>
      </w:r>
      <w:proofErr w:type="gramEnd"/>
      <w:r w:rsidRPr="001F7CE5">
        <w:rPr>
          <w:rFonts w:ascii="Times New Roman" w:eastAsia="Roboto" w:hAnsi="Times New Roman" w:cs="Times New Roman"/>
          <w:sz w:val="28"/>
          <w:szCs w:val="28"/>
        </w:rPr>
        <w:t xml:space="preserve"> разных видов — в зависимости от того, какие расходы вычитают. Например, валовая прибыль — это выручка м</w:t>
      </w:r>
      <w:r w:rsidRPr="001F7CE5">
        <w:rPr>
          <w:rFonts w:ascii="Times New Roman" w:eastAsia="Roboto" w:hAnsi="Times New Roman" w:cs="Times New Roman"/>
          <w:sz w:val="28"/>
          <w:szCs w:val="28"/>
        </w:rPr>
        <w:t>инус стоимость производства товара, а чистая — это выручка минус все расходы. Обычно, когда говорят о прибыли, подразумевают именно чистую прибыль.</w:t>
      </w:r>
    </w:p>
    <w:p w14:paraId="3FEBD89C" w14:textId="77777777" w:rsidR="00C04D3A" w:rsidRPr="001F7CE5" w:rsidRDefault="00E8370C" w:rsidP="001F7CE5">
      <w:pPr>
        <w:pBdr>
          <w:top w:val="none" w:sz="0" w:space="9" w:color="auto"/>
          <w:bottom w:val="none" w:sz="0" w:space="9" w:color="auto"/>
          <w:between w:val="none" w:sz="0" w:space="9" w:color="auto"/>
        </w:pBd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От выручки и прибыли следует отделить еще одно понятие — доход.</w:t>
      </w:r>
    </w:p>
    <w:p w14:paraId="7FE20DC8" w14:textId="5F2393A4" w:rsidR="00C04D3A" w:rsidRPr="001F7CE5" w:rsidRDefault="00E8370C" w:rsidP="001F7CE5">
      <w:pPr>
        <w:pBdr>
          <w:top w:val="none" w:sz="0" w:space="9" w:color="auto"/>
          <w:bottom w:val="none" w:sz="0" w:space="9" w:color="auto"/>
          <w:between w:val="none" w:sz="0" w:space="9" w:color="auto"/>
        </w:pBd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Доход, как и выручка, — это деньги, которые </w:t>
      </w:r>
      <w:r w:rsidRPr="001F7CE5">
        <w:rPr>
          <w:rFonts w:ascii="Times New Roman" w:eastAsia="Roboto" w:hAnsi="Times New Roman" w:cs="Times New Roman"/>
          <w:sz w:val="28"/>
          <w:szCs w:val="28"/>
        </w:rPr>
        <w:t>бизнес получает от деятельности. Но понятие дохода шире и делится на два вида: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r w:rsidRPr="001F7CE5">
        <w:rPr>
          <w:rFonts w:ascii="Times New Roman" w:eastAsia="Roboto" w:hAnsi="Times New Roman" w:cs="Times New Roman"/>
          <w:sz w:val="28"/>
          <w:szCs w:val="28"/>
        </w:rPr>
        <w:t>от реализации — от того, сколько продали товара или оказали услуг. Это и есть выручка;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r w:rsidRPr="001F7CE5">
        <w:rPr>
          <w:rFonts w:ascii="Times New Roman" w:eastAsia="Roboto" w:hAnsi="Times New Roman" w:cs="Times New Roman"/>
          <w:sz w:val="28"/>
          <w:szCs w:val="28"/>
        </w:rPr>
        <w:t>внереализационный доход — не связан с прямой деятельностью компании. К выручке уже не относится.</w:t>
      </w:r>
    </w:p>
    <w:p w14:paraId="7CA7CE76" w14:textId="750BF8DF" w:rsidR="00C04D3A" w:rsidRPr="001F7CE5" w:rsidRDefault="00E8370C" w:rsidP="001F7CE5">
      <w:pPr>
        <w:pBdr>
          <w:bottom w:val="none" w:sz="0" w:space="9" w:color="auto"/>
        </w:pBd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sz w:val="28"/>
          <w:szCs w:val="28"/>
        </w:rPr>
        <w:t>Если коротко: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r w:rsidRPr="001F7CE5">
        <w:rPr>
          <w:rFonts w:ascii="Times New Roman" w:eastAsia="Roboto" w:hAnsi="Times New Roman" w:cs="Times New Roman"/>
          <w:sz w:val="28"/>
          <w:szCs w:val="28"/>
        </w:rPr>
        <w:t>выручка — это заработанные деньги;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r w:rsidRPr="001F7CE5">
        <w:rPr>
          <w:rFonts w:ascii="Times New Roman" w:eastAsia="Roboto" w:hAnsi="Times New Roman" w:cs="Times New Roman"/>
          <w:sz w:val="28"/>
          <w:szCs w:val="28"/>
        </w:rPr>
        <w:t>доход — выручка плюс деньги, которые бизнес получил от неосновной деятельности;</w:t>
      </w:r>
      <w:r w:rsidR="001F7CE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прибыль — это деньги, которые </w:t>
      </w:r>
      <w:r w:rsidRPr="001F7CE5">
        <w:rPr>
          <w:rFonts w:ascii="Times New Roman" w:eastAsia="Roboto" w:hAnsi="Times New Roman" w:cs="Times New Roman"/>
          <w:sz w:val="28"/>
          <w:szCs w:val="28"/>
        </w:rPr>
        <w:t>остались после вычета расходов из дохода.</w:t>
      </w:r>
    </w:p>
    <w:p w14:paraId="4CA87E07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i/>
          <w:iCs/>
          <w:sz w:val="28"/>
          <w:szCs w:val="28"/>
        </w:rPr>
      </w:pPr>
      <w:r w:rsidRPr="001F7CE5">
        <w:rPr>
          <w:rFonts w:ascii="Times New Roman" w:eastAsia="Roboto" w:hAnsi="Times New Roman" w:cs="Times New Roman"/>
          <w:i/>
          <w:iCs/>
          <w:sz w:val="28"/>
          <w:szCs w:val="28"/>
        </w:rPr>
        <w:t xml:space="preserve">1.7 Коэффициент дисконтирования  </w:t>
      </w:r>
    </w:p>
    <w:p w14:paraId="76F7A170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Ставка дисконтирования — это эталонная величина, выраженная в процентах, применяемая для сравнительной оценки эффективности инвестиций.</w:t>
      </w:r>
    </w:p>
    <w:p w14:paraId="14F9502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Для решения этих задач используется прием, который называют дисконтированием. С помощью дисконтирования можно сопоставит</w:t>
      </w:r>
      <w:r w:rsidRPr="001F7CE5">
        <w:rPr>
          <w:rFonts w:ascii="Times New Roman" w:hAnsi="Times New Roman" w:cs="Times New Roman"/>
          <w:sz w:val="28"/>
          <w:szCs w:val="28"/>
        </w:rPr>
        <w:t>ь будущие денежные потоки и выбрать из нескольких вариантов инвестиций самый выгодный. А ставка дисконтирования — это ключевой элемент, используемый в приеме дисконтирования.</w:t>
      </w:r>
    </w:p>
    <w:p w14:paraId="3B84DBC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Ставка дисконтирования зависит от множества факторов: уровень инфляции, доступные</w:t>
      </w:r>
      <w:r w:rsidRPr="001F7CE5">
        <w:rPr>
          <w:rFonts w:ascii="Times New Roman" w:hAnsi="Times New Roman" w:cs="Times New Roman"/>
          <w:sz w:val="28"/>
          <w:szCs w:val="28"/>
        </w:rPr>
        <w:t xml:space="preserve"> для инвестора варианты вложений, риск вложений, стоимость вашего капитала и др. Но далеко не все внешние факторы можно достоверно учесть в ставке.</w:t>
      </w:r>
    </w:p>
    <w:p w14:paraId="72F06BE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lastRenderedPageBreak/>
        <w:t>Коэффициент дисконтирования денежных потоков – это цифровой показатель, используя который можно понять, скол</w:t>
      </w:r>
      <w:r w:rsidRPr="001F7CE5">
        <w:rPr>
          <w:rFonts w:ascii="Times New Roman" w:hAnsi="Times New Roman" w:cs="Times New Roman"/>
          <w:sz w:val="28"/>
          <w:szCs w:val="28"/>
        </w:rPr>
        <w:t>ько денег удастся получить через определенное время с учетом временного фактора и возможного риска. Таким образом, производится приведение потоков денег в будущем к состоянию на день анализа.</w:t>
      </w:r>
    </w:p>
    <w:p w14:paraId="0C68A4D6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Собственно, формула расчета коэффициента дисконтирования выгляди</w:t>
      </w:r>
      <w:r w:rsidRPr="001F7CE5">
        <w:rPr>
          <w:rFonts w:ascii="Times New Roman" w:hAnsi="Times New Roman" w:cs="Times New Roman"/>
          <w:sz w:val="28"/>
          <w:szCs w:val="28"/>
        </w:rPr>
        <w:t>т так:</w:t>
      </w:r>
    </w:p>
    <w:p w14:paraId="25885B78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КД = 1/(1+</w:t>
      </w:r>
      <w:proofErr w:type="gramStart"/>
      <w:r w:rsidRPr="001F7CE5">
        <w:rPr>
          <w:rFonts w:ascii="Times New Roman" w:hAnsi="Times New Roman" w:cs="Times New Roman"/>
          <w:sz w:val="28"/>
          <w:szCs w:val="28"/>
        </w:rPr>
        <w:t>R)</w:t>
      </w:r>
      <w:r w:rsidRPr="001F7CE5">
        <w:rPr>
          <w:rFonts w:ascii="Times New Roman" w:hAnsi="Times New Roman" w:cs="Times New Roman"/>
          <w:sz w:val="28"/>
          <w:szCs w:val="28"/>
        </w:rPr>
        <w:t>n</w:t>
      </w:r>
      <w:proofErr w:type="gramEnd"/>
    </w:p>
    <w:p w14:paraId="7B29C722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в которой:</w:t>
      </w:r>
    </w:p>
    <w:p w14:paraId="0CC95A91" w14:textId="77777777" w:rsidR="00C04D3A" w:rsidRPr="001F7CE5" w:rsidRDefault="00E8370C" w:rsidP="001F7CE5">
      <w:pPr>
        <w:numPr>
          <w:ilvl w:val="0"/>
          <w:numId w:val="3"/>
        </w:numPr>
        <w:pBdr>
          <w:top w:val="none" w:sz="0" w:space="4" w:color="auto"/>
          <w:bottom w:val="none" w:sz="0" w:space="4" w:color="auto"/>
          <w:right w:val="none" w:sz="0" w:space="4" w:color="auto"/>
          <w:between w:val="none" w:sz="0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 xml:space="preserve">R – установленное значение </w:t>
      </w:r>
      <w:hyperlink r:id="rId5">
        <w:r w:rsidRPr="001F7CE5">
          <w:rPr>
            <w:rFonts w:ascii="Times New Roman" w:hAnsi="Times New Roman" w:cs="Times New Roman"/>
            <w:sz w:val="28"/>
            <w:szCs w:val="28"/>
          </w:rPr>
          <w:t>нормы дисконта</w:t>
        </w:r>
      </w:hyperlink>
      <w:r w:rsidRPr="001F7CE5">
        <w:rPr>
          <w:rFonts w:ascii="Times New Roman" w:hAnsi="Times New Roman" w:cs="Times New Roman"/>
          <w:sz w:val="28"/>
          <w:szCs w:val="28"/>
        </w:rPr>
        <w:t xml:space="preserve"> (ставка дисконтирования);</w:t>
      </w:r>
    </w:p>
    <w:p w14:paraId="23A41FDB" w14:textId="77777777" w:rsidR="00C04D3A" w:rsidRPr="001F7CE5" w:rsidRDefault="00E8370C" w:rsidP="001F7CE5">
      <w:pPr>
        <w:numPr>
          <w:ilvl w:val="0"/>
          <w:numId w:val="3"/>
        </w:numPr>
        <w:pBdr>
          <w:top w:val="none" w:sz="0" w:space="4" w:color="auto"/>
          <w:bottom w:val="none" w:sz="0" w:space="4" w:color="auto"/>
          <w:right w:val="none" w:sz="0" w:space="4" w:color="auto"/>
          <w:between w:val="none" w:sz="0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n – количество периодов (шагов), представляющее собой число лет (месяцев) от будущего до текущего момента.</w:t>
      </w:r>
    </w:p>
    <w:p w14:paraId="6A66CA5B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CE5">
        <w:rPr>
          <w:rFonts w:ascii="Times New Roman" w:hAnsi="Times New Roman" w:cs="Times New Roman"/>
          <w:sz w:val="28"/>
          <w:szCs w:val="28"/>
        </w:rPr>
        <w:t>Получившийся показатель всегда имеет значение меньше единицы. Он показывает стоимость одной инвестированной денежной единицы (рубля, евро, доллара) ч</w:t>
      </w:r>
      <w:r w:rsidRPr="001F7CE5">
        <w:rPr>
          <w:rFonts w:ascii="Times New Roman" w:hAnsi="Times New Roman" w:cs="Times New Roman"/>
          <w:sz w:val="28"/>
          <w:szCs w:val="28"/>
        </w:rPr>
        <w:t>ерез определенное время при соответствии условий тем, которые приняты для вычисления.</w:t>
      </w:r>
    </w:p>
    <w:p w14:paraId="046DEEF0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7CE5">
        <w:rPr>
          <w:rFonts w:ascii="Times New Roman" w:hAnsi="Times New Roman" w:cs="Times New Roman"/>
          <w:i/>
          <w:iCs/>
          <w:sz w:val="28"/>
          <w:szCs w:val="28"/>
        </w:rPr>
        <w:t>1.8 Дисконтированный чистый денежный приток</w:t>
      </w:r>
    </w:p>
    <w:p w14:paraId="0874138E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Trebuchet MS" w:hAnsi="Times New Roman" w:cs="Times New Roman"/>
          <w:sz w:val="28"/>
          <w:szCs w:val="28"/>
        </w:rPr>
      </w:pPr>
      <w:r w:rsidRPr="001F7CE5">
        <w:rPr>
          <w:rFonts w:ascii="Times New Roman" w:eastAsia="Trebuchet MS" w:hAnsi="Times New Roman" w:cs="Times New Roman"/>
          <w:sz w:val="28"/>
          <w:szCs w:val="28"/>
        </w:rPr>
        <w:t>Чистый дисконтированный доход — показатель, позволяющий оценить инвестиционную привлекательность проекта. Основываясь на велич</w:t>
      </w:r>
      <w:r w:rsidRPr="001F7CE5">
        <w:rPr>
          <w:rFonts w:ascii="Times New Roman" w:eastAsia="Trebuchet MS" w:hAnsi="Times New Roman" w:cs="Times New Roman"/>
          <w:sz w:val="28"/>
          <w:szCs w:val="28"/>
        </w:rPr>
        <w:t>ине чистого дисконтированного дохода, инвестор может понять, насколько обоснованными являются его первоначальные капиталовложения с учетом запланированного уровня доходности проекта, не дожидаясь его завершения.</w:t>
      </w:r>
    </w:p>
    <w:p w14:paraId="60985A18" w14:textId="4D5406C5" w:rsidR="009E7F98" w:rsidRDefault="009E7F98" w:rsidP="009E7F98">
      <w:pPr>
        <w:rPr>
          <w:rFonts w:ascii="Times New Roman" w:eastAsia="Trebuchet MS" w:hAnsi="Times New Roman" w:cs="Times New Roman"/>
          <w:b/>
          <w:bCs/>
          <w:sz w:val="28"/>
          <w:szCs w:val="28"/>
        </w:rPr>
      </w:pPr>
      <w:r>
        <w:rPr>
          <w:rFonts w:ascii="Times New Roman" w:eastAsia="Trebuchet MS" w:hAnsi="Times New Roman" w:cs="Times New Roman"/>
          <w:b/>
          <w:bCs/>
          <w:sz w:val="28"/>
          <w:szCs w:val="28"/>
        </w:rPr>
        <w:br w:type="page"/>
      </w:r>
    </w:p>
    <w:p w14:paraId="14136E74" w14:textId="77777777" w:rsidR="009E7F98" w:rsidRDefault="009E7F98" w:rsidP="001F7CE5">
      <w:pPr>
        <w:spacing w:after="340" w:line="360" w:lineRule="auto"/>
        <w:ind w:firstLine="709"/>
        <w:jc w:val="both"/>
        <w:rPr>
          <w:rFonts w:ascii="Times New Roman" w:eastAsia="Trebuchet MS" w:hAnsi="Times New Roman" w:cs="Times New Roman"/>
          <w:sz w:val="28"/>
          <w:szCs w:val="28"/>
        </w:rPr>
        <w:sectPr w:rsidR="009E7F98" w:rsidSect="001F7CE5">
          <w:pgSz w:w="11909" w:h="16834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14:paraId="7A695684" w14:textId="77777777" w:rsidR="009E7F98" w:rsidRPr="001F7CE5" w:rsidRDefault="009E7F98" w:rsidP="009E7F98">
      <w:pPr>
        <w:spacing w:line="360" w:lineRule="auto"/>
        <w:ind w:firstLine="709"/>
        <w:jc w:val="right"/>
        <w:rPr>
          <w:rFonts w:ascii="Times New Roman" w:eastAsia="Trebuchet MS" w:hAnsi="Times New Roman" w:cs="Times New Roman"/>
          <w:b/>
          <w:bCs/>
          <w:sz w:val="28"/>
          <w:szCs w:val="28"/>
        </w:rPr>
      </w:pPr>
      <w:r w:rsidRPr="001F7CE5">
        <w:rPr>
          <w:rFonts w:ascii="Times New Roman" w:eastAsia="Trebuchet MS" w:hAnsi="Times New Roman" w:cs="Times New Roman"/>
          <w:b/>
          <w:bCs/>
          <w:sz w:val="28"/>
          <w:szCs w:val="28"/>
        </w:rPr>
        <w:lastRenderedPageBreak/>
        <w:t>Таблица 1 Итог выполнения задания 1</w:t>
      </w:r>
    </w:p>
    <w:tbl>
      <w:tblPr>
        <w:tblStyle w:val="a5"/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567"/>
        <w:gridCol w:w="1844"/>
        <w:gridCol w:w="992"/>
        <w:gridCol w:w="1558"/>
        <w:gridCol w:w="1741"/>
        <w:gridCol w:w="1803"/>
        <w:gridCol w:w="1275"/>
        <w:gridCol w:w="2410"/>
        <w:gridCol w:w="2694"/>
      </w:tblGrid>
      <w:tr w:rsidR="009E7F98" w:rsidRPr="001F7CE5" w14:paraId="2137137F" w14:textId="77777777" w:rsidTr="009E7F98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628F167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56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BC1C22D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84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343164F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FBBA5FF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CDC048C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FA751B1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0F5BD2E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E676B4C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08C176D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96BA21E" w14:textId="77777777" w:rsidR="009E7F98" w:rsidRPr="009E7F98" w:rsidRDefault="009E7F98" w:rsidP="009E7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113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9E7F98" w:rsidRPr="001F7CE5" w14:paraId="5666486D" w14:textId="77777777" w:rsidTr="009E7F98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A442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6FDD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3CBC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полные переменные издержки/реализация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F521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BDFE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8C4B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FCF9" w14:textId="24C4BDDB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D398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40DE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14:paraId="420A4589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7E26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9E7F98" w:rsidRPr="001F7CE5" w14:paraId="51EFB99B" w14:textId="77777777" w:rsidTr="009E7F98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886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97DF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32E1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DF05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9145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BE5D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B567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EC10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2C5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1B0F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9E7F98" w:rsidRPr="001F7CE5" w14:paraId="34663EC4" w14:textId="77777777" w:rsidTr="009E7F98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611F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DF18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66DF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59F9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5A95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D7A7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ED1E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94BA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9517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DF3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9E7F98" w:rsidRPr="001F7CE5" w14:paraId="3B6C912A" w14:textId="77777777" w:rsidTr="009E7F98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C23A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052D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3FE6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4F5E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A9E2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09AF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5C76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E533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9033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B09E" w14:textId="77777777" w:rsidR="009E7F98" w:rsidRPr="009E7F98" w:rsidRDefault="009E7F98" w:rsidP="00B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</w:p>
        </w:tc>
      </w:tr>
    </w:tbl>
    <w:p w14:paraId="1183FEFE" w14:textId="32842F32" w:rsidR="00C04D3A" w:rsidRDefault="00C04D3A" w:rsidP="001F7CE5">
      <w:pPr>
        <w:spacing w:after="340" w:line="360" w:lineRule="auto"/>
        <w:ind w:firstLine="709"/>
        <w:jc w:val="both"/>
        <w:rPr>
          <w:rFonts w:ascii="Times New Roman" w:eastAsia="Trebuchet MS" w:hAnsi="Times New Roman" w:cs="Times New Roman"/>
          <w:sz w:val="28"/>
          <w:szCs w:val="28"/>
        </w:rPr>
      </w:pPr>
    </w:p>
    <w:p w14:paraId="1A7954A2" w14:textId="25690325" w:rsidR="009E7F98" w:rsidRDefault="009E7F98" w:rsidP="009E7F98">
      <w:pPr>
        <w:rPr>
          <w:rFonts w:ascii="Times New Roman" w:eastAsia="Trebuchet MS" w:hAnsi="Times New Roman" w:cs="Times New Roman"/>
          <w:sz w:val="28"/>
          <w:szCs w:val="28"/>
        </w:rPr>
        <w:sectPr w:rsidR="009E7F98" w:rsidSect="009E7F98">
          <w:pgSz w:w="16834" w:h="11909" w:orient="landscape"/>
          <w:pgMar w:top="1701" w:right="1134" w:bottom="851" w:left="1134" w:header="720" w:footer="720" w:gutter="0"/>
          <w:pgNumType w:start="1"/>
          <w:cols w:space="720"/>
          <w:docGrid w:linePitch="299"/>
        </w:sectPr>
      </w:pPr>
    </w:p>
    <w:p w14:paraId="0FDA20E8" w14:textId="77777777" w:rsidR="00C04D3A" w:rsidRPr="001F7CE5" w:rsidRDefault="00E8370C" w:rsidP="009E7F98">
      <w:pPr>
        <w:spacing w:line="360" w:lineRule="auto"/>
        <w:ind w:firstLine="851"/>
        <w:jc w:val="both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1F7CE5">
        <w:rPr>
          <w:rFonts w:ascii="Times New Roman" w:eastAsia="Roboto" w:hAnsi="Times New Roman" w:cs="Times New Roman"/>
          <w:b/>
          <w:bCs/>
          <w:sz w:val="28"/>
          <w:szCs w:val="28"/>
        </w:rPr>
        <w:lastRenderedPageBreak/>
        <w:t>Задание 2. Определить, как риски повлияют на стоимость проекта (в %).</w:t>
      </w:r>
    </w:p>
    <w:p w14:paraId="3E2D1476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b/>
          <w:bCs/>
          <w:sz w:val="28"/>
          <w:szCs w:val="28"/>
        </w:rPr>
        <w:t>Итог выполнения задания 2: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 матрица рисков. В столбце “Влияние” описать, на какую составляющую стоимости проекта и на сколько процентов повлияет риск. </w:t>
      </w:r>
    </w:p>
    <w:p w14:paraId="6276C4D6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1F7CE5">
        <w:rPr>
          <w:rFonts w:ascii="Times New Roman" w:eastAsia="Roboto" w:hAnsi="Times New Roman" w:cs="Times New Roman"/>
          <w:b/>
          <w:bCs/>
          <w:sz w:val="28"/>
          <w:szCs w:val="28"/>
        </w:rPr>
        <w:t>Задание 3. Провести анализ чувствит</w:t>
      </w:r>
      <w:r w:rsidRPr="001F7CE5">
        <w:rPr>
          <w:rFonts w:ascii="Times New Roman" w:eastAsia="Roboto" w:hAnsi="Times New Roman" w:cs="Times New Roman"/>
          <w:b/>
          <w:bCs/>
          <w:sz w:val="28"/>
          <w:szCs w:val="28"/>
        </w:rPr>
        <w:t xml:space="preserve">ельности NPV к изменениям составляющих стоимости проекта, полученных в ходе выполнения задания 2. </w:t>
      </w:r>
    </w:p>
    <w:p w14:paraId="016A3B02" w14:textId="77777777" w:rsidR="00C04D3A" w:rsidRPr="001F7CE5" w:rsidRDefault="00E8370C" w:rsidP="001F7CE5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1F7CE5">
        <w:rPr>
          <w:rFonts w:ascii="Times New Roman" w:eastAsia="Roboto" w:hAnsi="Times New Roman" w:cs="Times New Roman"/>
          <w:b/>
          <w:bCs/>
          <w:sz w:val="28"/>
          <w:szCs w:val="28"/>
        </w:rPr>
        <w:t>Итог выполнения задания 3:</w:t>
      </w:r>
      <w:r w:rsidRPr="001F7CE5">
        <w:rPr>
          <w:rFonts w:ascii="Times New Roman" w:eastAsia="Roboto" w:hAnsi="Times New Roman" w:cs="Times New Roman"/>
          <w:sz w:val="28"/>
          <w:szCs w:val="28"/>
        </w:rPr>
        <w:t xml:space="preserve"> матрица рисков, содержащая риски ранжированные по силе влияния на NPV.</w:t>
      </w:r>
    </w:p>
    <w:p w14:paraId="63667977" w14:textId="77777777" w:rsidR="00C04D3A" w:rsidRPr="001F7CE5" w:rsidRDefault="00C04D3A" w:rsidP="001F7CE5">
      <w:pPr>
        <w:spacing w:after="340"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6D4EBDD8" w14:textId="77777777" w:rsidR="00C04D3A" w:rsidRPr="001F7CE5" w:rsidRDefault="00C04D3A" w:rsidP="001F7CE5">
      <w:pPr>
        <w:spacing w:after="340"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00D5F731" w14:textId="77777777" w:rsidR="00C04D3A" w:rsidRPr="001F7CE5" w:rsidRDefault="00C04D3A" w:rsidP="001F7CE5">
      <w:pPr>
        <w:spacing w:before="240" w:after="300"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2B78BFAF" w14:textId="77777777" w:rsidR="00C04D3A" w:rsidRPr="001F7CE5" w:rsidRDefault="00C04D3A" w:rsidP="001F7CE5">
      <w:pPr>
        <w:spacing w:before="240" w:after="300"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</w:p>
    <w:sectPr w:rsidR="00C04D3A" w:rsidRPr="001F7CE5" w:rsidSect="009E7F98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15374"/>
    <w:multiLevelType w:val="multilevel"/>
    <w:tmpl w:val="AC94516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33376D"/>
    <w:multiLevelType w:val="multilevel"/>
    <w:tmpl w:val="05F031F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F55BB6"/>
    <w:multiLevelType w:val="multilevel"/>
    <w:tmpl w:val="3A18239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3A"/>
    <w:rsid w:val="001F7CE5"/>
    <w:rsid w:val="009E7F98"/>
    <w:rsid w:val="00C04D3A"/>
    <w:rsid w:val="00E8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4ABF"/>
  <w15:docId w15:val="{A7DB1B84-A0E3-4D15-AB6F-43D53D44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swin.com/projects/ekonomika/norma-diskon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2023-04-14T11:28:00Z</dcterms:created>
  <dcterms:modified xsi:type="dcterms:W3CDTF">2023-04-14T11:49:00Z</dcterms:modified>
</cp:coreProperties>
</file>