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Практическая работа №6 </w:t>
      </w:r>
    </w:p>
    <w:p>
      <w:pPr>
        <w:pStyle w:val="Normal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Планирование реагирования на риски</w:t>
      </w:r>
    </w:p>
    <w:p>
      <w:pPr>
        <w:pStyle w:val="Normal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573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>Планирование реагирования на риски - это процесс разработки методов и процедур, способствующих повышению благоприятных возможностей и снижению угроз для достижения целей проекта. Способы реагирования рассматриваются для каждого риска отдельно.</w:t>
      </w:r>
    </w:p>
    <w:p>
      <w:pPr>
        <w:pStyle w:val="Normal1"/>
        <w:jc w:val="both"/>
        <w:rPr>
          <w:rFonts w:ascii="Times New Roman" w:hAnsi="Times New Roman" w:eastAsia="Verdana" w:cs="Verdan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>Процесс планирования реагирования на риски начинается после проведения качественного и количественного анализа рисков. На этом этапе следует назначить ответственных за реагирование и разработать предупреждающие действия для каждого риска.</w:t>
      </w:r>
    </w:p>
    <w:p>
      <w:pPr>
        <w:pStyle w:val="5"/>
        <w:keepNext w:val="false"/>
        <w:keepLines w:val="false"/>
        <w:pBdr/>
        <w:shd w:val="clear" w:fill="FFFFFF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bookmarkStart w:id="0" w:name="_tzqqw59249d6"/>
      <w:bookmarkEnd w:id="0"/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</w:r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Входы процесса планирования реагирования на риски</w:t>
      </w:r>
    </w:p>
    <w:p>
      <w:pPr>
        <w:pStyle w:val="Normal1"/>
        <w:pBdr/>
        <w:shd w:val="clear" w:fill="FFFFFF"/>
        <w:spacing w:lineRule="auto" w:line="259" w:before="100" w:after="10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>Входной информацией для планирования реагирования на риски является: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59" w:before="120" w:afterAutospacing="0" w:after="0"/>
        <w:ind w:left="820" w:hanging="360"/>
        <w:jc w:val="both"/>
        <w:rPr>
          <w:color w:val="000000"/>
        </w:rPr>
      </w:pPr>
      <w:r>
        <w:rPr>
          <w:rFonts w:eastAsia="Verdana" w:cs="Verdana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план управления рисками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- результат процесса планирования рисков;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59" w:beforeAutospacing="0" w:before="0" w:after="120"/>
        <w:ind w:left="820" w:hanging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реестр рисков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- результат процесса количественного анализа рисков.</w:t>
      </w:r>
    </w:p>
    <w:p>
      <w:pPr>
        <w:pStyle w:val="5"/>
        <w:keepNext w:val="false"/>
        <w:keepLines w:val="false"/>
        <w:pBdr/>
        <w:shd w:val="clear" w:fill="FFFFFF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bookmarkStart w:id="1" w:name="_exrwi8cj3bmn"/>
      <w:bookmarkEnd w:id="1"/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ab/>
        <w:t>Инструменты и методы процесса планирования реагирования на риски</w:t>
      </w:r>
    </w:p>
    <w:p>
      <w:pPr>
        <w:pStyle w:val="Normal1"/>
        <w:pBdr/>
        <w:shd w:val="clear" w:fill="FFFFFF"/>
        <w:spacing w:lineRule="auto" w:line="259" w:before="100" w:after="100"/>
        <w:jc w:val="both"/>
        <w:rPr>
          <w:color w:val="000000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 xml:space="preserve">Планирование реагирования на риски осуществляется с помощью стратегий реагирования на риски. </w:t>
      </w:r>
    </w:p>
    <w:p>
      <w:pPr>
        <w:pStyle w:val="Normal1"/>
        <w:pBdr/>
        <w:shd w:val="clear" w:fill="FFFFFF"/>
        <w:spacing w:lineRule="auto" w:line="259" w:before="100" w:after="100"/>
        <w:jc w:val="both"/>
        <w:rPr>
          <w:color w:val="000000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</w:r>
      <w:r>
        <w:rPr>
          <w:rFonts w:eastAsia="Verdana" w:cs="Verdana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Стратегия реагирования на риски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- это методы, которые будут использованы для снижения последствий или вероятности идентифицированных рисков. Для каждого риска необходимо выбрать свою стратегию (или комбинацию из различных стратегий), которая обеспечит наиболее эффективную работу с ним. Выбор стратегии осуществляется на основании результатов количественной и качественной оценок, позволяющих определить, сколько времени, денег и усилий потребуется затратить для ограничения риска.</w:t>
      </w:r>
    </w:p>
    <w:p>
      <w:pPr>
        <w:pStyle w:val="Normal1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 xml:space="preserve">Любая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стратегия работы с риском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направлена на управление вероятностью риска или его последствиями.</w:t>
      </w:r>
    </w:p>
    <w:p>
      <w:pPr>
        <w:pStyle w:val="Normal1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Стратегии реагирования на негативные риски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предусматривает несколько вариантов действий.</w:t>
      </w:r>
    </w:p>
    <w:p>
      <w:pPr>
        <w:pStyle w:val="Normal1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1. Уклонение от риска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предполагает изменение плана управления проектом таким образом, чтобы исключить угрозу, вызванную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негативным риском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, оградить цели проекта от последствий риска или ослабить цели, находящиеся под угрозой (например, уменьшить содержание проекта).</w:t>
      </w:r>
    </w:p>
    <w:p>
      <w:pPr>
        <w:pStyle w:val="Normal1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 xml:space="preserve">Некоторых рисков, возникающих на ранних стадиях проекта, можно избежать при помощи уточнения требований, получения информации,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улучшения коммуникации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или проведения экспертизы.</w:t>
      </w:r>
    </w:p>
    <w:p>
      <w:pPr>
        <w:pStyle w:val="Normal1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 xml:space="preserve">Риски избегаются путем простого невыполнения части проекта. При выборе стратегии уклонения команда проекта несет затраты до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реализации рискового события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, причем эти затраты меньше возможных последствий риска с учетом его вероятности.</w:t>
      </w:r>
    </w:p>
    <w:p>
      <w:pPr>
        <w:pStyle w:val="Normal1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2. Передача и разделение рисков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подразумевает переложение негативных последствий угрозы с ответственностью за реагирование на риск частично или полностью на третью сторону, но сам риск при этом не устраняется.</w:t>
      </w:r>
    </w:p>
    <w:p>
      <w:pPr>
        <w:pStyle w:val="Normal1"/>
        <w:pBdr/>
        <w:spacing w:lineRule="auto" w:line="240" w:before="80" w:after="100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>Передача ответственности за риск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наиболее эффективна в отношении финансовых рисков. Передача риска практически всегда предполагает выплату премии за риск стороне, принимающей на себя риск.</w:t>
        <w:br/>
        <w:tab/>
        <w:t>Инструменты передачи рисков включают в себя страхование, гарантии выполнения контракта, поручительства и гарантийные обязательства, прописывание условий в контракте.</w:t>
        <w:br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3. Снижение (смягчение) рисков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предполагает понижение вероятности реализации риска, понижение последствий негативного рискованного события до приемлемых пределов – риск либо не сбудется, либо сбудется, но с меньшими последствиями.</w:t>
        <w:br/>
        <w:tab/>
        <w:t>Принятие предупредительных мер по снижению вероятности наступления риска или его последствий часто оказывается более эффективным, нежели усилия по устранению негативных последствий, предпринимаемые после наступления события риска.</w:t>
      </w:r>
    </w:p>
    <w:p>
      <w:pPr>
        <w:pStyle w:val="Normal1"/>
        <w:pBdr/>
        <w:spacing w:lineRule="auto" w:line="240" w:before="80" w:after="100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 xml:space="preserve">Для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реагирования на позитивные риски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также существуют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определенные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 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стратегии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.</w:t>
        <w:br/>
        <w:tab/>
        <w:t xml:space="preserve">1) Так,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стратегия использования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может быть выбрана для реагирования на риски с позитивным воздействием, если необходимо, чтобы данная благоприятная возможность гарантированно была реализована.</w:t>
        <w:br/>
        <w:tab/>
        <w:t xml:space="preserve">Данная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стратегия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предназначена для устранения всех неопределенностей, связанных с риском верхнего уровня, при помощи мер, обеспечивающих появление данной благоприятной возможности в различных формах.</w:t>
        <w:br/>
        <w:tab/>
        <w:t xml:space="preserve">2)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Стратегия усиления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измеряет величину благоприятной возможности путем повышения вероятности возникновения и/или положительного воздействия, а также путем выявления и максимизации основных источников этих позитивных рисков.</w:t>
        <w:br/>
        <w:tab/>
        <w:t>Для повышения этой вероятности можно попытаться облегчить или укрепить причину, вызывающую благоприятную возможность, и целенаправленно усилить условия ее появления.</w:t>
        <w:br/>
        <w:tab/>
        <w:t>Можно также повлиять на источники воздействия, стараясь повысить чувствительность проекта к этой благоприятной возможности.</w:t>
      </w:r>
    </w:p>
    <w:p>
      <w:pPr>
        <w:pStyle w:val="Normal1"/>
        <w:pBdr/>
        <w:spacing w:lineRule="auto" w:line="240" w:before="80" w:after="10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ab/>
        <w:t xml:space="preserve">Существуют также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общие стратегии реагирования на риски.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br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Стратегия принятия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означает, что принято решение не изменять план проекта в связи с риском либо нет иной подходящей стратегии реагирования на риски. Такая тактика уместна если вероятность риска слишком мала, либо эффект от риска чересчур велик и его влияние на цели проекта в случае реализации ставит под вопрос ключевые цели проекта.</w:t>
        <w:br/>
        <w:tab/>
        <w:t>Эта стратегия применима как к угрозам, так и к благоприятным возможностям. Она может быть активной и пассивной и используется в следующих ситуациях:</w:t>
        <w:br/>
        <w:tab/>
        <w:t>- когда исключить все риски из проекта маловероятно;</w:t>
        <w:br/>
        <w:tab/>
        <w:t>- последствия риска настолько велики, что нецелесообразно разрабатывать варианты его передачи с целью уменьшения влияния на проект;</w:t>
        <w:br/>
        <w:tab/>
        <w:t>- вероятность риска и его последствия малы, его можно принять, поскольку стоимость разработки мероприятий по управлению риском превосходит стоимость последствий.</w:t>
      </w:r>
    </w:p>
    <w:p>
      <w:pPr>
        <w:pStyle w:val="5"/>
        <w:keepNext w:val="false"/>
        <w:keepLines w:val="false"/>
        <w:pBdr/>
        <w:shd w:val="clear" w:fill="FFFFFF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bookmarkStart w:id="2" w:name="_nv7os2b8yukt"/>
      <w:bookmarkEnd w:id="2"/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ab/>
        <w:t>Планирование реагирования на риски: выходы</w:t>
      </w:r>
    </w:p>
    <w:p>
      <w:pPr>
        <w:pStyle w:val="Normal1"/>
        <w:pBdr/>
        <w:shd w:val="clear" w:fill="FFFFFF"/>
        <w:spacing w:lineRule="auto" w:line="259" w:before="100" w:after="10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ab/>
        <w:t>Реестр рисков (обновления).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Способы реагирования на риски, разработанные и утвержденные в процессе планирования реагирования, включаются в Реестр рисков.</w:t>
      </w:r>
    </w:p>
    <w:p>
      <w:pPr>
        <w:pStyle w:val="Normal1"/>
        <w:pBdr/>
        <w:shd w:val="clear" w:fill="FFFFFF"/>
        <w:spacing w:lineRule="auto" w:line="259" w:before="100" w:after="10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  <w:u w:val="none"/>
        </w:rPr>
        <w:tab/>
        <w:t xml:space="preserve">План управления проектом (обновления).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Обновление плана управления проектом происходит за счет добавления операций реагирования на риски в процессе общего управления изменениями проекта.</w:t>
      </w:r>
    </w:p>
    <w:p>
      <w:pPr>
        <w:pStyle w:val="Normal1"/>
        <w:pBdr/>
        <w:shd w:val="clear" w:fill="FFFFFF"/>
        <w:spacing w:lineRule="auto" w:line="259" w:before="100" w:after="10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ab/>
        <w:t>Контрактные соглашения, касающиеся рисков.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Контрактные соглашения составляются для того, чтобы юридически определить ответственность каждой из сторон на случай возникновения каждого отдельного риска. Это могут быть договоры страхования или оказания услуг.</w:t>
      </w:r>
    </w:p>
    <w:p>
      <w:pPr>
        <w:pStyle w:val="Normal1"/>
        <w:jc w:val="center"/>
        <w:rPr>
          <w:rFonts w:eastAsia="Verdana" w:cs="Verdana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1"/>
        <w:jc w:val="center"/>
        <w:rPr>
          <w:rFonts w:eastAsia="Verdana" w:cs="Verdana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1"/>
        <w:jc w:val="center"/>
        <w:rPr>
          <w:rFonts w:eastAsia="Verdana" w:cs="Verdana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1"/>
        <w:jc w:val="center"/>
        <w:rPr>
          <w:rFonts w:eastAsia="Verdana" w:cs="Verdana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1"/>
        <w:jc w:val="center"/>
        <w:rPr>
          <w:rFonts w:eastAsia="Verdana" w:cs="Verdana"/>
          <w:highlight w:val="whit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Задание</w:t>
      </w:r>
    </w:p>
    <w:p>
      <w:pPr>
        <w:pStyle w:val="Normal1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Разработать план реагирования на каждый риск, идентифицированный в реестре рисков.</w:t>
      </w:r>
    </w:p>
    <w:p>
      <w:pPr>
        <w:pStyle w:val="Normal1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Т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аблица 1 - План реагирования на риски</w:t>
      </w:r>
    </w:p>
    <w:p>
      <w:pPr>
        <w:pStyle w:val="Normal1"/>
        <w:jc w:val="both"/>
        <w:rPr>
          <w:rFonts w:ascii="Times New Roman" w:hAnsi="Times New Roman" w:eastAsia="Verdana" w:cs="Verdan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64"/>
        <w:gridCol w:w="1645"/>
        <w:gridCol w:w="1505"/>
        <w:gridCol w:w="1505"/>
        <w:gridCol w:w="1504"/>
        <w:gridCol w:w="1505"/>
      </w:tblGrid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  <w:t xml:space="preserve">Риск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  <w:t>Стратегия реагирования на риск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  <w:t>План А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  <w:t>План Б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  <w:t>Триггер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4"/>
                <w:shd w:fill="999999" w:val="clear"/>
              </w:rPr>
              <w:t>Ответственный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>Название риска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 xml:space="preserve">Уклонение/передача и разделение/смягчение/использование/усиление/принятие 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>Что нужно сделать, чтобы данный риск не произошел?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>Что нужно сделать, если риск произошел?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>Признаки, по которым можно понять, что План А не сработал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Verdana" w:cs="Verdan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</w:pP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 xml:space="preserve">Кто из команды будет ответственным за </w:t>
            </w: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lang w:val="ru-RU"/>
              </w:rPr>
              <w:t xml:space="preserve">реагирование на </w:t>
            </w:r>
            <w:r>
              <w:rPr>
                <w:rFonts w:eastAsia="Verdana" w:cs="Verdana"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</w:rPr>
              <w:t>риск</w:t>
            </w:r>
          </w:p>
        </w:tc>
      </w:tr>
    </w:tbl>
    <w:p>
      <w:pPr>
        <w:pStyle w:val="Normal1"/>
        <w:jc w:val="both"/>
        <w:rPr>
          <w:rFonts w:eastAsia="Verdana" w:cs="Verdana"/>
          <w:b/>
          <w:b/>
          <w:bCs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</w:r>
    </w:p>
    <w:p>
      <w:pPr>
        <w:pStyle w:val="Normal1"/>
        <w:spacing w:lineRule="auto" w:line="240" w:before="57" w:after="57"/>
        <w:jc w:val="both"/>
        <w:rPr>
          <w:color w:val="000000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ab/>
        <w:t xml:space="preserve">План А.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Риск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– сотрудник может уволиться. План А – что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можно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сделать, чтобы сотрудник не уволился –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выписать премию, повысить зарплату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. Также в план А можно заложить подготовительные меры, которые упростят замену одного сотрудника другим. Так вы снижаете вероятность и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степень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влияни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я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риска на проект. </w:t>
      </w:r>
    </w:p>
    <w:p>
      <w:pPr>
        <w:pStyle w:val="Normal1"/>
        <w:shd w:val="clear" w:fill="FFFFFF"/>
        <w:spacing w:lineRule="auto" w:line="240" w:before="0" w:after="160"/>
        <w:jc w:val="both"/>
        <w:rPr>
          <w:color w:val="000000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ab/>
        <w:t>План Б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нужен на случай, если план А не помог.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Если сотрудник все равно уволился, то на его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место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 xml:space="preserve">необходимо взять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другого сотрудника.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Провести его обучение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, если есть необходимость. </w:t>
      </w:r>
    </w:p>
    <w:p>
      <w:pPr>
        <w:pStyle w:val="Normal1"/>
        <w:shd w:val="clear" w:fill="FFFFFF"/>
        <w:spacing w:lineRule="auto" w:line="240" w:before="0" w:after="160"/>
        <w:jc w:val="both"/>
        <w:rPr>
          <w:color w:val="000000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ab/>
        <w:t>Столбец «триггер»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это п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ризнак, что план А не сработал, и нужен план Б.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Зарплату сотруднику повысили, премию выплатили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, но он все равно собирается увольняться. Триггер – какие-то признаки, по которым 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ru-RU"/>
        </w:rPr>
        <w:t>можно понять</w:t>
      </w: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, что человек собирается уходить. Какие это могут быть признаки? Например, человек перестал активно работать; задерживается во время обеденного перерыва, потому что проходит в это время собеседование; обновляет резюме и т.п. </w:t>
      </w:r>
    </w:p>
    <w:p>
      <w:pPr>
        <w:pStyle w:val="Normal1"/>
        <w:jc w:val="both"/>
        <w:rPr>
          <w:rFonts w:ascii="Times New Roman" w:hAnsi="Times New Roman" w:eastAsia="Verdana" w:cs="Verdana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eastAsia="Verdana" w:cs="Verdana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1800"/>
        </w:tabs>
        <w:ind w:left="2520" w:hanging="360"/>
      </w:pPr>
      <w:rPr>
        <w:rFonts w:ascii="Verdana" w:hAnsi="Verdana" w:cs="Verdana" w:hint="default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LibreOffice/7.0.0.3$Windows_x86 LibreOffice_project/8061b3e9204bef6b321a21033174034a5e2ea88e</Application>
  <Pages>4</Pages>
  <Words>915</Words>
  <Characters>6342</Characters>
  <CharactersWithSpaces>7261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2023-04-27T17:15:49Z</dcterms:modified>
  <cp:revision>1</cp:revision>
  <dc:subject/>
  <dc:title/>
</cp:coreProperties>
</file>