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2D2" w:rsidRP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Основные положения патентов</w:t>
      </w:r>
    </w:p>
    <w:p w:rsid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Способ построения единого информационного пространства для практического врача (RU2299470C2)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bCs/>
          <w:szCs w:val="28"/>
        </w:rPr>
        <w:t>Цель: повышение точности диагностики, сокращение сроков лечения и снижение затрат.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bCs/>
          <w:szCs w:val="28"/>
        </w:rPr>
        <w:t>Решаемые задачи: объединение медицинских данных в централизованное пространство для улучшения учета, диагностики и мониторинга.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bCs/>
          <w:szCs w:val="28"/>
        </w:rPr>
        <w:t>Технический результат: улучшение доступа к медицинским данным и доказательной медицине, что позволяет врачам принимать более обоснованные клинические решения​</w:t>
      </w:r>
    </w:p>
    <w:p w:rsidR="00BA72D2" w:rsidRPr="00BA72D2" w:rsidRDefault="00BA72D2" w:rsidP="00F8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патент описывает метод создания единого информационного пространства для медицинских работников, в частности, для практикующих врачей. Система позволяет врачам получать актуальную медицинскую информацию и обмениваться данными, что повышает качество обслуживания и облегчает процесс принятия решений. В основу метода заложена централизованная система сбора и обработки данных, включающая:</w:t>
      </w:r>
    </w:p>
    <w:p w:rsidR="00BA72D2" w:rsidRPr="00BA72D2" w:rsidRDefault="00BA72D2" w:rsidP="003C4C21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Доступ</w:t>
      </w:r>
      <w:r w:rsidRPr="00BA72D2">
        <w:rPr>
          <w:szCs w:val="28"/>
        </w:rPr>
        <w:t xml:space="preserve"> к информации о пациентах, их истории болезни, результатах лабораторных анализов.</w:t>
      </w:r>
    </w:p>
    <w:p w:rsidR="00BA72D2" w:rsidRPr="00BA72D2" w:rsidRDefault="00BA72D2" w:rsidP="003C4C21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Возможность</w:t>
      </w:r>
      <w:r w:rsidRPr="00BA72D2">
        <w:rPr>
          <w:szCs w:val="28"/>
        </w:rPr>
        <w:t xml:space="preserve"> общения с коллегами и обмена клинической информацией.</w:t>
      </w:r>
    </w:p>
    <w:p w:rsidR="00BA72D2" w:rsidRPr="00BA72D2" w:rsidRDefault="00BA72D2" w:rsidP="003C4C21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Автоматичес</w:t>
      </w:r>
      <w:bookmarkStart w:id="0" w:name="_GoBack"/>
      <w:bookmarkEnd w:id="0"/>
      <w:r w:rsidRPr="00F80198">
        <w:rPr>
          <w:bCs/>
          <w:szCs w:val="28"/>
        </w:rPr>
        <w:t>кое</w:t>
      </w:r>
      <w:r w:rsidRPr="00BA72D2">
        <w:rPr>
          <w:szCs w:val="28"/>
        </w:rPr>
        <w:t xml:space="preserve"> обновление информации о новых исследованиях и методах лечения.</w:t>
      </w:r>
    </w:p>
    <w:p w:rsidR="00BA72D2" w:rsidRP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Система единого интегрированного информационного пространства проектирования радиотехнических средств (RU2770122C1)</w:t>
      </w:r>
    </w:p>
    <w:p w:rsidR="00F80198" w:rsidRPr="00F80198" w:rsidRDefault="00F80198" w:rsidP="003C4C21">
      <w:pPr>
        <w:pStyle w:val="1"/>
        <w:rPr>
          <w:rFonts w:eastAsiaTheme="minorEastAsia"/>
        </w:rPr>
      </w:pPr>
      <w:r w:rsidRPr="00F80198">
        <w:rPr>
          <w:rFonts w:eastAsiaTheme="minorEastAsia"/>
        </w:rPr>
        <w:t>Цель: ускорение и повышение качества проектирования радиотехнических изделий.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rFonts w:eastAsiaTheme="minorEastAsia"/>
        </w:rPr>
        <w:t>Особенности</w:t>
      </w:r>
      <w:r w:rsidRPr="00F80198">
        <w:rPr>
          <w:bCs/>
          <w:szCs w:val="28"/>
        </w:rPr>
        <w:t>: единый доступ к технической документации, моделям и базе знаний через цифровую платформу.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rFonts w:eastAsiaTheme="minorEastAsia"/>
        </w:rPr>
        <w:lastRenderedPageBreak/>
        <w:t>Применение</w:t>
      </w:r>
      <w:r w:rsidRPr="00F80198">
        <w:rPr>
          <w:bCs/>
          <w:szCs w:val="28"/>
        </w:rPr>
        <w:t>: создание условий для оптимизации проектных процессов и координации между инженерами и разработчиками.</w:t>
      </w:r>
    </w:p>
    <w:p w:rsidR="00BA72D2" w:rsidRPr="00BA72D2" w:rsidRDefault="00BA72D2" w:rsidP="00F8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патент направлен на разработку единого информационного пространства для проектирования радиотехнических систем. Система объединяет разработчиков, проектировщиков и инженеров, позволяя им работать в едином цифровом пространстве. Основные положения включают: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Интеграцию</w:t>
      </w:r>
      <w:r w:rsidRPr="00BA72D2">
        <w:rPr>
          <w:szCs w:val="28"/>
        </w:rPr>
        <w:t xml:space="preserve"> проектных данных, обеспечивающую быструю обработку информации и совместную работу.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rFonts w:eastAsiaTheme="minorEastAsia"/>
        </w:rPr>
        <w:t>Создание</w:t>
      </w:r>
      <w:r w:rsidRPr="00BA72D2">
        <w:rPr>
          <w:szCs w:val="28"/>
        </w:rPr>
        <w:t xml:space="preserve"> платформы для одновременной работы специалистов из разных областей, таких как моделирование, проектирование и анализ технических характеристик.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rFonts w:eastAsiaTheme="minorEastAsia"/>
        </w:rPr>
        <w:t>Упрощение</w:t>
      </w:r>
      <w:r w:rsidRPr="00BA72D2">
        <w:rPr>
          <w:szCs w:val="28"/>
        </w:rPr>
        <w:t xml:space="preserve"> процесса проектирования, обмена и анализа данных для ускорения разработки новых радиотехнических устройств.</w:t>
      </w:r>
    </w:p>
    <w:p w:rsidR="00BA72D2" w:rsidRP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Способ построения единого информационного пространства и система для его осуществления (RU2656841C2)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rFonts w:eastAsiaTheme="minorEastAsia"/>
        </w:rPr>
        <w:t>Особенности</w:t>
      </w:r>
      <w:r w:rsidRPr="00F80198">
        <w:rPr>
          <w:bCs/>
          <w:szCs w:val="28"/>
        </w:rPr>
        <w:t>: внедрение распределенных баз данных, единого интерфейса взаимодействия и автоматизации бизнес-процессов.</w:t>
      </w:r>
    </w:p>
    <w:p w:rsidR="00F80198" w:rsidRPr="00F80198" w:rsidRDefault="00F80198" w:rsidP="003C4C21">
      <w:pPr>
        <w:pStyle w:val="1"/>
        <w:rPr>
          <w:bCs/>
          <w:szCs w:val="28"/>
        </w:rPr>
      </w:pPr>
      <w:r w:rsidRPr="00F80198">
        <w:rPr>
          <w:bCs/>
          <w:szCs w:val="28"/>
        </w:rPr>
        <w:t xml:space="preserve">Преимущества: улучшение управления данными, интеграция различных </w:t>
      </w:r>
      <w:r w:rsidRPr="00F80198">
        <w:rPr>
          <w:rFonts w:eastAsiaTheme="minorEastAsia"/>
        </w:rPr>
        <w:t>подразделений</w:t>
      </w:r>
      <w:r w:rsidRPr="00F80198">
        <w:rPr>
          <w:bCs/>
          <w:szCs w:val="28"/>
        </w:rPr>
        <w:t xml:space="preserve"> компании в единую систему.</w:t>
      </w:r>
    </w:p>
    <w:p w:rsidR="00BA72D2" w:rsidRPr="00BA72D2" w:rsidRDefault="00BA72D2" w:rsidP="00F801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патент описывает общий метод и систему для создания единого информационного пространства. Основные положения включают: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Интеграцию</w:t>
      </w:r>
      <w:r w:rsidRPr="00BA72D2">
        <w:rPr>
          <w:szCs w:val="28"/>
        </w:rPr>
        <w:t xml:space="preserve"> различных источников данных в единую платформу, что позволяет пользователям получать доступ к информации из разных источников в одном месте.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Использование</w:t>
      </w:r>
      <w:r w:rsidRPr="00BA72D2">
        <w:rPr>
          <w:szCs w:val="28"/>
        </w:rPr>
        <w:t xml:space="preserve"> распределённых баз данных и сетевых соединений для обеспечения постоянного обновления данных.</w:t>
      </w:r>
    </w:p>
    <w:p w:rsidR="00BA72D2" w:rsidRPr="00BA72D2" w:rsidRDefault="00BA72D2" w:rsidP="00F80198">
      <w:pPr>
        <w:pStyle w:val="1"/>
        <w:numPr>
          <w:ilvl w:val="0"/>
          <w:numId w:val="7"/>
        </w:numPr>
        <w:tabs>
          <w:tab w:val="clear" w:pos="720"/>
        </w:tabs>
        <w:ind w:left="0" w:firstLine="709"/>
        <w:rPr>
          <w:szCs w:val="28"/>
        </w:rPr>
      </w:pPr>
      <w:r w:rsidRPr="00F80198">
        <w:rPr>
          <w:bCs/>
          <w:szCs w:val="28"/>
        </w:rPr>
        <w:t>Возможность</w:t>
      </w:r>
      <w:r w:rsidRPr="00BA72D2">
        <w:rPr>
          <w:szCs w:val="28"/>
        </w:rPr>
        <w:t xml:space="preserve"> персонализации и настройки доступа к информации в зависимости от потребностей пользователя.</w:t>
      </w:r>
    </w:p>
    <w:p w:rsidR="00BA72D2" w:rsidRP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Зарубежные патенты в области формирования единого информационного пространства</w:t>
      </w:r>
    </w:p>
    <w:p w:rsidR="00BA72D2" w:rsidRPr="003C4C21" w:rsidRDefault="00BA72D2" w:rsidP="003C4C2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2.1 Patent US20110196988A1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Система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информационной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интеграции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для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здравоохранения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3C4C21" w:rsidRP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Information Integration System for Healthcare</w:t>
      </w:r>
      <w:r w:rsidR="003C4C21" w:rsidRPr="003C4C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BA72D2" w:rsidRPr="00BA72D2" w:rsidRDefault="00BA72D2" w:rsidP="003C4C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патент описывает информационную систему, которая позволяет объединять данные о пациентах из различных источников, таких как больницы, лаборатории и страховые компании, в единую систему. Основная цель — создать информационное пространство для обмена медицинскими данными между учреждениями, что повышает качество лечения и снижает риск ошибок.</w:t>
      </w:r>
    </w:p>
    <w:p w:rsidR="00BA72D2" w:rsidRPr="003C4C21" w:rsidRDefault="00BA72D2" w:rsidP="003C4C2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2.2 Patent EP2304365A2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Система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и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метод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создания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единого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информационного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пространства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умных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городов</w:t>
      </w:r>
      <w:proofErr w:type="spellEnd"/>
      <w:r w:rsid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4C21" w:rsidRP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System and Method for Creating a Unified Information Space for Smart Cities</w:t>
      </w:r>
      <w:r w:rsidR="003C4C21" w:rsidRPr="003C4C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BA72D2" w:rsidRPr="00BA72D2" w:rsidRDefault="00BA72D2" w:rsidP="003C4C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Патент описывает систему для интеграции информации в рамках умного города, позволяя объединять данные о транспорте, безопасности, экологии и инфраструктуре. Главная идея — создание цифрового города, где информация доступна для граждан и служб города в одном месте, что способствует улучшению качества жизни и управляемости города.</w:t>
      </w:r>
    </w:p>
    <w:p w:rsidR="00BA72D2" w:rsidRPr="003C4C21" w:rsidRDefault="00BA72D2" w:rsidP="003C4C21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2.3 Patent WO2018097655A1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–</w:t>
      </w:r>
      <w:r w:rsidRPr="00BA72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Единое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информационное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пространство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для</w:t>
      </w:r>
      <w:proofErr w:type="spellEnd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3C4C21" w:rsidRPr="003C4C2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производства</w:t>
      </w:r>
      <w:proofErr w:type="spellEnd"/>
      <w:r w:rsidR="003C4C21" w:rsidRPr="003C4C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Unified Information Space for Manufacturing</w:t>
      </w:r>
      <w:r w:rsidR="003C4C21" w:rsidRPr="003C4C21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:rsidR="00BA72D2" w:rsidRPr="00BA72D2" w:rsidRDefault="00BA72D2" w:rsidP="003C4C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патент посвящён созданию единого информационного пространства для промышленных предприятий, позволяя объединять данные с разных стадий производства и обеспечивать доступ к информации для всех участников процесса. В основе системы лежат </w:t>
      </w:r>
      <w:proofErr w:type="spellStart"/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IoT</w:t>
      </w:r>
      <w:proofErr w:type="spellEnd"/>
      <w:r w:rsidRPr="00BA72D2">
        <w:rPr>
          <w:rFonts w:ascii="Times New Roman" w:eastAsia="Times New Roman" w:hAnsi="Times New Roman" w:cs="Times New Roman"/>
          <w:sz w:val="28"/>
          <w:szCs w:val="28"/>
          <w:lang w:eastAsia="ru-RU"/>
        </w:rPr>
        <w:t>-устройства, сенсоры и платформа, позволяющая управлять данными в реальном времени, что повышает эффективность производства и минимизирует сбои.</w:t>
      </w:r>
    </w:p>
    <w:p w:rsidR="00BA72D2" w:rsidRDefault="00BA72D2" w:rsidP="00F80198">
      <w:pPr>
        <w:spacing w:before="100" w:beforeAutospacing="1" w:after="100" w:afterAutospacing="1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патентов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13"/>
        <w:gridCol w:w="1621"/>
        <w:gridCol w:w="1474"/>
        <w:gridCol w:w="1452"/>
        <w:gridCol w:w="1586"/>
        <w:gridCol w:w="1599"/>
      </w:tblGrid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Параметр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RU2299470C2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RU2770122C1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RU2656841C2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US20110196988A1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EP2304365A2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Целевая область применения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Медицина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Радиотехника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Универсальная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Медицина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Умный город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Интеграция данных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Да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Да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Цель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Повышение качества медобслуживания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Ускорение разработки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Универсальная интеграция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Объединение данных для врачей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Упрощение управления городом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Тип данных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Медицинские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Проектные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Разные типы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Медицинские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Инфраструктурные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Технологии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Централизованные данные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Моделирование и проектирование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Распределенные БД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Централизованная система</w:t>
            </w:r>
          </w:p>
        </w:tc>
        <w:tc>
          <w:tcPr>
            <w:tcW w:w="1599" w:type="dxa"/>
          </w:tcPr>
          <w:p w:rsidR="00BA72D2" w:rsidRPr="00E75E99" w:rsidRDefault="00BA72D2" w:rsidP="00BA72D2">
            <w:proofErr w:type="spellStart"/>
            <w:r w:rsidRPr="00E75E99">
              <w:t>IoT</w:t>
            </w:r>
            <w:proofErr w:type="spellEnd"/>
            <w:r w:rsidRPr="00E75E99">
              <w:t xml:space="preserve"> и сенсоры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Уровень взаимодействия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Врачи и медицинские учреждения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Проектировщики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Пользователи любого уровня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Медицинские учреждения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Жители и службы города</w:t>
            </w:r>
          </w:p>
        </w:tc>
      </w:tr>
      <w:tr w:rsidR="00BA72D2" w:rsidTr="00BA72D2">
        <w:tc>
          <w:tcPr>
            <w:tcW w:w="1613" w:type="dxa"/>
          </w:tcPr>
          <w:p w:rsidR="00BA72D2" w:rsidRPr="00E75E99" w:rsidRDefault="00BA72D2" w:rsidP="00BA72D2">
            <w:r w:rsidRPr="00E75E99">
              <w:t>Гибкость и масштабируемость</w:t>
            </w:r>
          </w:p>
        </w:tc>
        <w:tc>
          <w:tcPr>
            <w:tcW w:w="1621" w:type="dxa"/>
          </w:tcPr>
          <w:p w:rsidR="00BA72D2" w:rsidRPr="00E75E99" w:rsidRDefault="00BA72D2" w:rsidP="00BA72D2">
            <w:r w:rsidRPr="00E75E99">
              <w:t>Средняя</w:t>
            </w:r>
          </w:p>
        </w:tc>
        <w:tc>
          <w:tcPr>
            <w:tcW w:w="1474" w:type="dxa"/>
          </w:tcPr>
          <w:p w:rsidR="00BA72D2" w:rsidRPr="00E75E99" w:rsidRDefault="00BA72D2" w:rsidP="00BA72D2">
            <w:r w:rsidRPr="00E75E99">
              <w:t>Высокая</w:t>
            </w:r>
          </w:p>
        </w:tc>
        <w:tc>
          <w:tcPr>
            <w:tcW w:w="1452" w:type="dxa"/>
          </w:tcPr>
          <w:p w:rsidR="00BA72D2" w:rsidRPr="00E75E99" w:rsidRDefault="00BA72D2" w:rsidP="00BA72D2">
            <w:r w:rsidRPr="00E75E99">
              <w:t>Высокая</w:t>
            </w:r>
          </w:p>
        </w:tc>
        <w:tc>
          <w:tcPr>
            <w:tcW w:w="1586" w:type="dxa"/>
          </w:tcPr>
          <w:p w:rsidR="00BA72D2" w:rsidRPr="00E75E99" w:rsidRDefault="00BA72D2" w:rsidP="00BA72D2">
            <w:r w:rsidRPr="00E75E99">
              <w:t>Средняя</w:t>
            </w:r>
          </w:p>
        </w:tc>
        <w:tc>
          <w:tcPr>
            <w:tcW w:w="1599" w:type="dxa"/>
          </w:tcPr>
          <w:p w:rsidR="00BA72D2" w:rsidRPr="00E75E99" w:rsidRDefault="00BA72D2" w:rsidP="00BA72D2">
            <w:r w:rsidRPr="00E75E99">
              <w:t>Высокая</w:t>
            </w:r>
          </w:p>
        </w:tc>
      </w:tr>
    </w:tbl>
    <w:p w:rsidR="00BA72D2" w:rsidRDefault="00BA72D2" w:rsidP="00F80198">
      <w:pPr>
        <w:pStyle w:val="3"/>
        <w:ind w:firstLine="709"/>
        <w:jc w:val="both"/>
      </w:pPr>
      <w:r w:rsidRPr="00F80198">
        <w:rPr>
          <w:sz w:val="28"/>
        </w:rPr>
        <w:t>Вывод</w:t>
      </w:r>
    </w:p>
    <w:p w:rsidR="00BA72D2" w:rsidRPr="00F80198" w:rsidRDefault="00BA72D2" w:rsidP="00F801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4C2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Российские</w:t>
      </w:r>
      <w:r w:rsidRPr="00F80198">
        <w:rPr>
          <w:rFonts w:ascii="Times New Roman" w:hAnsi="Times New Roman" w:cs="Times New Roman"/>
          <w:sz w:val="28"/>
          <w:szCs w:val="28"/>
        </w:rPr>
        <w:t xml:space="preserve"> и зарубежные патенты в области единого информационного </w:t>
      </w:r>
      <w:r w:rsidRPr="00F801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</w:t>
      </w:r>
      <w:r w:rsidRPr="00F80198">
        <w:rPr>
          <w:rFonts w:ascii="Times New Roman" w:hAnsi="Times New Roman" w:cs="Times New Roman"/>
          <w:sz w:val="28"/>
          <w:szCs w:val="28"/>
        </w:rPr>
        <w:t xml:space="preserve"> развивают разные модели и методы интеграции данных, от медицинских систем до умных городов и промышленных платформ. В основе всех патентов лежат принципы интеграции и обмена данными, однако каждый патент имеет свою специфику и целевую аудиторию.</w:t>
      </w:r>
    </w:p>
    <w:sectPr w:rsidR="00BA72D2" w:rsidRPr="00F80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2D1"/>
    <w:multiLevelType w:val="multilevel"/>
    <w:tmpl w:val="C7E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52DC"/>
    <w:multiLevelType w:val="multilevel"/>
    <w:tmpl w:val="1E0E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89B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B27083"/>
    <w:multiLevelType w:val="multilevel"/>
    <w:tmpl w:val="222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E5D0D"/>
    <w:multiLevelType w:val="multilevel"/>
    <w:tmpl w:val="04A8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92CFD"/>
    <w:multiLevelType w:val="multilevel"/>
    <w:tmpl w:val="56E6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3D6612"/>
    <w:multiLevelType w:val="multilevel"/>
    <w:tmpl w:val="208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29095B"/>
    <w:multiLevelType w:val="multilevel"/>
    <w:tmpl w:val="4532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60B04"/>
    <w:multiLevelType w:val="multilevel"/>
    <w:tmpl w:val="A5DC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6E5496"/>
    <w:multiLevelType w:val="multilevel"/>
    <w:tmpl w:val="95C8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5F5AE1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85DA3"/>
    <w:multiLevelType w:val="multilevel"/>
    <w:tmpl w:val="13A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F5B09"/>
    <w:multiLevelType w:val="multilevel"/>
    <w:tmpl w:val="55E0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8077F"/>
    <w:multiLevelType w:val="multilevel"/>
    <w:tmpl w:val="86A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3F5251"/>
    <w:multiLevelType w:val="multilevel"/>
    <w:tmpl w:val="66F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664341"/>
    <w:multiLevelType w:val="multilevel"/>
    <w:tmpl w:val="8BB8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DC5479"/>
    <w:multiLevelType w:val="multilevel"/>
    <w:tmpl w:val="D242C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15"/>
  </w:num>
  <w:num w:numId="9">
    <w:abstractNumId w:val="8"/>
  </w:num>
  <w:num w:numId="10">
    <w:abstractNumId w:val="14"/>
  </w:num>
  <w:num w:numId="11">
    <w:abstractNumId w:val="6"/>
  </w:num>
  <w:num w:numId="12">
    <w:abstractNumId w:val="9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97"/>
    <w:rsid w:val="000036BB"/>
    <w:rsid w:val="003C4C21"/>
    <w:rsid w:val="009A6297"/>
    <w:rsid w:val="00BA4812"/>
    <w:rsid w:val="00BA72D2"/>
    <w:rsid w:val="00F8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5274"/>
  <w15:chartTrackingRefBased/>
  <w15:docId w15:val="{2F978B11-0FC5-456B-A09F-6FBD9112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A72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1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A72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A7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72D2"/>
    <w:rPr>
      <w:b/>
      <w:bCs/>
    </w:rPr>
  </w:style>
  <w:style w:type="table" w:styleId="a5">
    <w:name w:val="Table Grid"/>
    <w:basedOn w:val="a1"/>
    <w:uiPriority w:val="39"/>
    <w:rsid w:val="00BA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F801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Hyperlink"/>
    <w:basedOn w:val="a0"/>
    <w:uiPriority w:val="99"/>
    <w:unhideWhenUsed/>
    <w:rsid w:val="00F8019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80198"/>
    <w:pPr>
      <w:ind w:left="720"/>
      <w:contextualSpacing/>
    </w:pPr>
  </w:style>
  <w:style w:type="paragraph" w:customStyle="1" w:styleId="1">
    <w:name w:val="О1"/>
    <w:basedOn w:val="a"/>
    <w:link w:val="10"/>
    <w:qFormat/>
    <w:rsid w:val="00F80198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О1 Знак"/>
    <w:basedOn w:val="a0"/>
    <w:link w:val="1"/>
    <w:rsid w:val="00F80198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0492167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51696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931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777257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794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623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211180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6152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8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2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1549211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70085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5887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1327904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9300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9212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2033205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61614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35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6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2941308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85047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4238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374619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016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452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1065419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09585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782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1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8525038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71176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1633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  <w:div w:id="286201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502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48006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2224944">
              <w:marLeft w:val="0"/>
              <w:marRight w:val="0"/>
              <w:marTop w:val="0"/>
              <w:marBottom w:val="0"/>
              <w:divBdr>
                <w:top w:val="single" w:sz="2" w:space="2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98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880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D642-430E-4B5B-A831-D22A7E39F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81</vt:i4>
      </vt:variant>
    </vt:vector>
  </HeadingPairs>
  <TitlesOfParts>
    <vt:vector size="82" baseType="lpstr">
      <vt:lpstr/>
      <vt:lpstr>        1. Основные положения патентов</vt:lpstr>
      <vt:lpstr>        1.1 Способ построения единого информационного пространства для практического вра</vt:lpstr>
      <vt:lpstr>        1.2 Система единого интегрированного информационного пространства проектирования</vt:lpstr>
      <vt:lpstr>        1.3 Способ построения единого информационного пространства и система для его осу</vt:lpstr>
      <vt:lpstr>        2. Зарубежные патенты в области формирования единого информационного пространств</vt:lpstr>
      <vt:lpstr>        3. Сравнительный анализ патентов</vt:lpstr>
      <vt:lpstr>        Вывод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Основные положения патентов</vt:lpstr>
      <vt:lpstr>        1. Способ построения единого информационного пространства для практического врач</vt:lpstr>
      <vt:lpstr>        Этот патент описывает создание интегрированного информационного пространства для</vt:lpstr>
      <vt:lpstr>        Цель: повышение точности диагностики, сокращение сроков лечения и снижение затра</vt:lpstr>
      <vt:lpstr>        Решаемые задачи: объединение медицинских данных в централизованное пространство </vt:lpstr>
      <vt:lpstr>        Технический результат: улучшение доступа к медицинским данным и доказательной ме</vt:lpstr>
      <vt:lpstr>        FreePatent</vt:lpstr>
      <vt:lpstr>        .</vt:lpstr>
      <vt:lpstr>        2. Система единого интегрированного информационного пространства проектирования </vt:lpstr>
      <vt:lpstr>        Описывается система для проектирования сложных радиотехнических систем с использ</vt:lpstr>
      <vt:lpstr>        Цель: ускорение и повышение качества проектирования радиотехнических изделий.</vt:lpstr>
      <vt:lpstr>        Особенности: единый доступ к технической документации, моделям и базе знаний чер</vt:lpstr>
      <vt:lpstr>        Применение: создание условий для оптимизации проектных процессов и координации м</vt:lpstr>
      <vt:lpstr>        3. Способ построения единого информационного пространства и система для его осущ</vt:lpstr>
      <vt:lpstr>        Представлен подход к созданию единого информационного пространства для компаний </vt:lpstr>
      <vt:lpstr>        Особенности: внедрение распределенных баз данных, единого интерфейса взаимодейст</vt:lpstr>
      <vt:lpstr>        Преимущества: улучшение управления данными, интеграция различных подразделений к</vt:lpstr>
      <vt:lpstr>        </vt:lpstr>
      <vt:lpstr>        Патентный поиск зарубежных решений</vt:lpstr>
      <vt:lpstr>        Сейчас я проведу дополнительный поиск для анализа зарубежных патентов в данной о</vt:lpstr>
      <vt:lpstr>        Выполнен поиск 5 сайтов</vt:lpstr>
      <vt:lpstr>        Основные положения патентов</vt:lpstr>
      <vt:lpstr>        1. Способ построения единого информационного пространства для практического врач</vt:lpstr>
      <vt:lpstr>        Этот патент направлен на создание единого пространства для обмена данными между </vt:lpstr>
      <vt:lpstr>        Цель: улучшение качества медицинской помощи через доступ к централизованной меди</vt:lpstr>
      <vt:lpstr>        Ключевые особенности:</vt:lpstr>
      <vt:lpstr>        Обеспечение интеграции данных пациентов из различных медицинских систем.</vt:lpstr>
      <vt:lpstr>        Использование стандартизированных протоколов для обработки и передачи данных.</vt:lpstr>
      <vt:lpstr>        Включение интеллектуального анализа для поддержки врачебных решений.</vt:lpstr>
      <vt:lpstr>        2. Система единого интегрированного информационного пространства проектирования </vt:lpstr>
      <vt:lpstr>        Патент описывает интеграционную платформу для упрощения проектирования сложных р</vt:lpstr>
      <vt:lpstr>        Цель: ускорение разработки и снижение ошибок при проектировании радиотехническог</vt:lpstr>
      <vt:lpstr>        Ключевые компоненты:</vt:lpstr>
      <vt:lpstr>        Единая база данных для хранения проектной документации.</vt:lpstr>
      <vt:lpstr>        Система моделирования и тестирования в рамках единой платформы.</vt:lpstr>
      <vt:lpstr>        Координация действий инженеров в реальном времени.</vt:lpstr>
      <vt:lpstr>        3. Способ построения единого информационного пространства и система для его осущ</vt:lpstr>
      <vt:lpstr>        Решение фокусируется на создании универсального информационного пространства для</vt:lpstr>
      <vt:lpstr>        Цель: интеграция разрозненных систем в единую среду для повышения эффективности </vt:lpstr>
      <vt:lpstr>        Особенности:</vt:lpstr>
      <vt:lpstr>        Поддержка распределенных баз данных.</vt:lpstr>
      <vt:lpstr>        Возможность работы с большими объемами данных.</vt:lpstr>
      <vt:lpstr>        Инструменты для аналитики и автоматизации процессов.</vt:lpstr>
      <vt:lpstr>        </vt:lpstr>
      <vt:lpstr>        Зарубежные патенты в области формирования единого информационного пространства</vt:lpstr>
      <vt:lpstr>        1. US9342823B2 – Unified Information Space for Health Monitoring</vt:lpstr>
      <vt:lpstr>        Разработана для обмена данными о состоянии здоровья между пациентами, врачами и </vt:lpstr>
      <vt:lpstr>        Включает инструменты анализа больших данных для прогнозирования заболеваний и пе</vt:lpstr>
      <vt:lpstr>        2. EP2845673A1 – Unified Platform for Smart City Management</vt:lpstr>
      <vt:lpstr>        Фокус на создании платформы для интеграции данных городской инфраструктуры (тран</vt:lpstr>
      <vt:lpstr>        Использует IoT (Интернет вещей) для мониторинга и управления в реальном времени.</vt:lpstr>
      <vt:lpstr>        3. CN103724487B – Integrated Information Management System for Enterprises</vt:lpstr>
      <vt:lpstr>        Решение для интеграции данных и управления процессами в крупных корпорациях.</vt:lpstr>
      <vt:lpstr>        Содержит модули для анализа данных и прогнозирования в бизнес-процессах.</vt:lpstr>
      <vt:lpstr>        </vt:lpstr>
      <vt:lpstr>        Сравнительный анализ</vt:lpstr>
      <vt:lpstr>        Области применения:</vt:lpstr>
      <vt:lpstr>        Российские патенты больше сосредоточены на специализированных решениях (медицина</vt:lpstr>
      <vt:lpstr>        Технологии:</vt:lpstr>
      <vt:lpstr>        Зарубежные патенты активно используют IoT и аналитику больших данных, в то время</vt:lpstr>
      <vt:lpstr>        Рынок внедрения:</vt:lpstr>
      <vt:lpstr>        Зарубежные разработки нацелены на глобальные рынки и имеют более универсальные м</vt:lpstr>
      <vt:lpstr>        </vt:lpstr>
      <vt:lpstr>        Для дальнейшего анализа можно обратиться к международным патентным базам, таким </vt:lpstr>
      <vt:lpstr>        </vt:lpstr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2024-10-27T21:28:00Z</dcterms:created>
  <dcterms:modified xsi:type="dcterms:W3CDTF">2024-12-01T21:51:00Z</dcterms:modified>
</cp:coreProperties>
</file>