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D12" w:rsidRDefault="00402D12" w:rsidP="00402D12">
      <w:pPr>
        <w:ind w:firstLine="708"/>
        <w:jc w:val="both"/>
        <w:rPr>
          <w:rFonts w:ascii="Times New Roman" w:hAnsi="Times New Roman" w:cs="Times New Roman"/>
          <w:sz w:val="28"/>
          <w:szCs w:val="28"/>
        </w:rPr>
      </w:pPr>
      <w:r w:rsidRPr="00402D12">
        <w:rPr>
          <w:rFonts w:ascii="Times New Roman" w:hAnsi="Times New Roman" w:cs="Times New Roman"/>
          <w:sz w:val="28"/>
          <w:szCs w:val="28"/>
        </w:rPr>
        <w:t>В последние десятилетия XX в. и начала XXI в. происходит активное развитие интеграционных группировок на всех континентах. В современной экономической практике уже существует опыт создания единого информационного пространства на уровне предприятия, холдинга, государства. Но проблема информационных коммуникаций на поле, объединяющем несколько стран, пока до сих пор не решена в полной мере.</w:t>
      </w:r>
    </w:p>
    <w:p w:rsidR="00402D12" w:rsidRPr="00402D12" w:rsidRDefault="00402D12" w:rsidP="00402D12">
      <w:pPr>
        <w:rPr>
          <w:rFonts w:ascii="Times New Roman" w:hAnsi="Times New Roman" w:cs="Times New Roman"/>
          <w:sz w:val="28"/>
          <w:szCs w:val="28"/>
        </w:rPr>
      </w:pPr>
      <w:r w:rsidRPr="00402D12">
        <w:rPr>
          <w:rFonts w:ascii="Times New Roman" w:hAnsi="Times New Roman" w:cs="Times New Roman"/>
          <w:sz w:val="28"/>
          <w:szCs w:val="28"/>
        </w:rPr>
        <w:t xml:space="preserve">Задание. </w:t>
      </w:r>
    </w:p>
    <w:p w:rsidR="00402D12" w:rsidRDefault="00402D12" w:rsidP="00402D12">
      <w:pPr>
        <w:jc w:val="both"/>
        <w:rPr>
          <w:rFonts w:ascii="Times New Roman" w:hAnsi="Times New Roman" w:cs="Times New Roman"/>
          <w:sz w:val="28"/>
          <w:szCs w:val="28"/>
        </w:rPr>
      </w:pPr>
      <w:r w:rsidRPr="00402D12">
        <w:rPr>
          <w:rFonts w:ascii="Times New Roman" w:hAnsi="Times New Roman" w:cs="Times New Roman"/>
          <w:sz w:val="28"/>
          <w:szCs w:val="28"/>
        </w:rPr>
        <w:t xml:space="preserve">1. Изучите обзор «ЦИФРОВАЯ ПОВЕСТКА Евразийского экономического союза до 2025 года: перспективы и рекомендации».  </w:t>
      </w:r>
    </w:p>
    <w:p w:rsidR="00402D12" w:rsidRDefault="00402D12" w:rsidP="00402D12">
      <w:pPr>
        <w:jc w:val="both"/>
        <w:rPr>
          <w:rFonts w:ascii="Times New Roman" w:hAnsi="Times New Roman" w:cs="Times New Roman"/>
          <w:sz w:val="28"/>
          <w:szCs w:val="28"/>
        </w:rPr>
      </w:pPr>
      <w:r w:rsidRPr="00402D12">
        <w:rPr>
          <w:rFonts w:ascii="Times New Roman" w:hAnsi="Times New Roman" w:cs="Times New Roman"/>
          <w:sz w:val="28"/>
          <w:szCs w:val="28"/>
        </w:rPr>
        <w:t>2. Оцените уровень и перспективы р</w:t>
      </w:r>
      <w:r>
        <w:rPr>
          <w:rFonts w:ascii="Times New Roman" w:hAnsi="Times New Roman" w:cs="Times New Roman"/>
          <w:sz w:val="28"/>
          <w:szCs w:val="28"/>
        </w:rPr>
        <w:t xml:space="preserve">азвития единого информационного </w:t>
      </w:r>
      <w:r w:rsidRPr="00402D12">
        <w:rPr>
          <w:rFonts w:ascii="Times New Roman" w:hAnsi="Times New Roman" w:cs="Times New Roman"/>
          <w:sz w:val="28"/>
          <w:szCs w:val="28"/>
        </w:rPr>
        <w:t xml:space="preserve">пространства ЕАЭС. </w:t>
      </w:r>
    </w:p>
    <w:p w:rsidR="00BA72D2" w:rsidRDefault="00402D12" w:rsidP="00402D12">
      <w:pPr>
        <w:jc w:val="both"/>
        <w:rPr>
          <w:rFonts w:ascii="Times New Roman" w:hAnsi="Times New Roman" w:cs="Times New Roman"/>
          <w:sz w:val="28"/>
          <w:szCs w:val="28"/>
        </w:rPr>
      </w:pPr>
      <w:r>
        <w:rPr>
          <w:rFonts w:ascii="Times New Roman" w:hAnsi="Times New Roman" w:cs="Times New Roman"/>
          <w:sz w:val="28"/>
          <w:szCs w:val="28"/>
        </w:rPr>
        <w:t xml:space="preserve">3. </w:t>
      </w:r>
      <w:r w:rsidRPr="00402D12">
        <w:rPr>
          <w:rFonts w:ascii="Times New Roman" w:hAnsi="Times New Roman" w:cs="Times New Roman"/>
          <w:sz w:val="28"/>
          <w:szCs w:val="28"/>
        </w:rPr>
        <w:t>Проведите сравнительный анализ уровня развития единого информационного пространства ЕАЭС и одной международная организации региональной экономической интеграции (на выбор).</w:t>
      </w:r>
    </w:p>
    <w:p w:rsidR="00402D12" w:rsidRDefault="00402D12">
      <w:pPr>
        <w:rPr>
          <w:rFonts w:ascii="Times New Roman" w:hAnsi="Times New Roman" w:cs="Times New Roman"/>
          <w:sz w:val="28"/>
          <w:szCs w:val="28"/>
        </w:rPr>
      </w:pPr>
      <w:r>
        <w:rPr>
          <w:rFonts w:ascii="Times New Roman" w:hAnsi="Times New Roman" w:cs="Times New Roman"/>
          <w:sz w:val="28"/>
          <w:szCs w:val="28"/>
        </w:rPr>
        <w:br w:type="page"/>
      </w:r>
    </w:p>
    <w:p w:rsidR="00402D12" w:rsidRDefault="00402D12" w:rsidP="00402D12">
      <w:pPr>
        <w:pStyle w:val="3"/>
      </w:pPr>
      <w:r>
        <w:lastRenderedPageBreak/>
        <w:t>Уровень и перспективы развития единого информационного пространства ЕАЭС</w:t>
      </w:r>
    </w:p>
    <w:p w:rsidR="00402D12" w:rsidRDefault="00402D12" w:rsidP="00402D12">
      <w:pPr>
        <w:pStyle w:val="a3"/>
      </w:pPr>
      <w:r>
        <w:t>В последние годы Евразийский экономический союз (ЕАЭС) уделяет особое внимание созданию единого информационного пространства, которое будет способствовать экономической интеграции и улучшению взаимодействия между странами-участниками.</w:t>
      </w:r>
    </w:p>
    <w:p w:rsidR="00402D12" w:rsidRDefault="00402D12" w:rsidP="00402D12">
      <w:pPr>
        <w:pStyle w:val="a3"/>
      </w:pPr>
      <w:r>
        <w:rPr>
          <w:rStyle w:val="a4"/>
        </w:rPr>
        <w:t>Уровень развития</w:t>
      </w:r>
      <w:r>
        <w:t>:</w:t>
      </w:r>
    </w:p>
    <w:p w:rsidR="00402D12" w:rsidRDefault="00402D12" w:rsidP="00402D12">
      <w:pPr>
        <w:numPr>
          <w:ilvl w:val="0"/>
          <w:numId w:val="9"/>
        </w:numPr>
        <w:spacing w:before="100" w:beforeAutospacing="1" w:after="100" w:afterAutospacing="1" w:line="240" w:lineRule="auto"/>
      </w:pPr>
      <w:r>
        <w:rPr>
          <w:rStyle w:val="a4"/>
        </w:rPr>
        <w:t>Цифровая повестка ЕАЭС до 2025 года</w:t>
      </w:r>
      <w:r>
        <w:t xml:space="preserve"> направлена на создание цифровой инфраструктуры, которая бы позволила свободный обмен данными между странами союза. На данный момент цифровое пространство развивается за счет таких проектов, как Единый рынок услуг, цифровой таможенный контроль и упрощенные процедуры обмена торговой информацией.</w:t>
      </w:r>
    </w:p>
    <w:p w:rsidR="00402D12" w:rsidRDefault="00402D12" w:rsidP="00402D12">
      <w:pPr>
        <w:numPr>
          <w:ilvl w:val="0"/>
          <w:numId w:val="9"/>
        </w:numPr>
        <w:spacing w:before="100" w:beforeAutospacing="1" w:after="100" w:afterAutospacing="1" w:line="240" w:lineRule="auto"/>
      </w:pPr>
      <w:r>
        <w:rPr>
          <w:rStyle w:val="a4"/>
        </w:rPr>
        <w:t>Электронная торговля</w:t>
      </w:r>
      <w:r>
        <w:t xml:space="preserve"> также развивается как один из ключевых направлений, включая создание платформ для совместной торговли и обмена данными по транзакциям.</w:t>
      </w:r>
    </w:p>
    <w:p w:rsidR="00402D12" w:rsidRDefault="00402D12" w:rsidP="00402D12">
      <w:pPr>
        <w:numPr>
          <w:ilvl w:val="0"/>
          <w:numId w:val="9"/>
        </w:numPr>
        <w:spacing w:before="100" w:beforeAutospacing="1" w:after="100" w:afterAutospacing="1" w:line="240" w:lineRule="auto"/>
      </w:pPr>
      <w:r>
        <w:rPr>
          <w:rStyle w:val="a4"/>
        </w:rPr>
        <w:t>Вопросы стандартизации данных</w:t>
      </w:r>
      <w:r>
        <w:t xml:space="preserve"> остаются сложными из-за различных регуляторных норм, которые сейчас активно синхронизируются для создания общих стандартов для всех участников ЕАЭС.</w:t>
      </w:r>
    </w:p>
    <w:p w:rsidR="00402D12" w:rsidRDefault="00402D12" w:rsidP="00402D12">
      <w:pPr>
        <w:pStyle w:val="a3"/>
      </w:pPr>
      <w:r>
        <w:rPr>
          <w:rStyle w:val="a4"/>
        </w:rPr>
        <w:t>Перспективы развития</w:t>
      </w:r>
      <w:r>
        <w:t>:</w:t>
      </w:r>
    </w:p>
    <w:p w:rsidR="00402D12" w:rsidRDefault="00402D12" w:rsidP="00402D12">
      <w:pPr>
        <w:numPr>
          <w:ilvl w:val="0"/>
          <w:numId w:val="10"/>
        </w:numPr>
        <w:spacing w:before="100" w:beforeAutospacing="1" w:after="100" w:afterAutospacing="1" w:line="240" w:lineRule="auto"/>
      </w:pPr>
      <w:r>
        <w:t>Развитие единой цифровой экосистемы для поддержки взаимодействия государственных органов и бизнеса.</w:t>
      </w:r>
    </w:p>
    <w:p w:rsidR="00402D12" w:rsidRDefault="00402D12" w:rsidP="00402D12">
      <w:pPr>
        <w:numPr>
          <w:ilvl w:val="0"/>
          <w:numId w:val="10"/>
        </w:numPr>
        <w:spacing w:before="100" w:beforeAutospacing="1" w:after="100" w:afterAutospacing="1" w:line="240" w:lineRule="auto"/>
      </w:pPr>
      <w:r>
        <w:t>Совершенствование электронного документооборота между странами и создание интегрированных платформ для упрощения регистрации и отслеживания перемещений товаров.</w:t>
      </w:r>
    </w:p>
    <w:p w:rsidR="00402D12" w:rsidRDefault="00402D12" w:rsidP="00402D12">
      <w:pPr>
        <w:numPr>
          <w:ilvl w:val="0"/>
          <w:numId w:val="10"/>
        </w:numPr>
        <w:spacing w:before="100" w:beforeAutospacing="1" w:after="100" w:afterAutospacing="1" w:line="240" w:lineRule="auto"/>
      </w:pPr>
      <w:r>
        <w:t>Внедрение искусственного интеллекта и аналитических платформ для мониторинга экономической активности и улучшения процесса принятия решений.</w:t>
      </w:r>
    </w:p>
    <w:p w:rsidR="00402D12" w:rsidRDefault="00402D12" w:rsidP="00402D12">
      <w:pPr>
        <w:pStyle w:val="3"/>
      </w:pPr>
      <w:r>
        <w:t>Сравнительный анализ уровня развития ЕИП ЕАЭС и Европейского Союза (ЕС)</w:t>
      </w:r>
    </w:p>
    <w:tbl>
      <w:tblPr>
        <w:tblStyle w:val="a5"/>
        <w:tblW w:w="0" w:type="auto"/>
        <w:tblLook w:val="04A0" w:firstRow="1" w:lastRow="0" w:firstColumn="1" w:lastColumn="0" w:noHBand="0" w:noVBand="1"/>
      </w:tblPr>
      <w:tblGrid>
        <w:gridCol w:w="3115"/>
        <w:gridCol w:w="3115"/>
        <w:gridCol w:w="3115"/>
      </w:tblGrid>
      <w:tr w:rsidR="00402D12" w:rsidTr="00402D12">
        <w:tc>
          <w:tcPr>
            <w:tcW w:w="3115" w:type="dxa"/>
          </w:tcPr>
          <w:p w:rsidR="00402D12" w:rsidRPr="00402D12" w:rsidRDefault="00402D12" w:rsidP="00402D12">
            <w:pPr>
              <w:rPr>
                <w:b/>
              </w:rPr>
            </w:pPr>
            <w:r w:rsidRPr="00402D12">
              <w:rPr>
                <w:b/>
              </w:rPr>
              <w:t>Параметр</w:t>
            </w:r>
          </w:p>
        </w:tc>
        <w:tc>
          <w:tcPr>
            <w:tcW w:w="3115" w:type="dxa"/>
          </w:tcPr>
          <w:p w:rsidR="00402D12" w:rsidRPr="00402D12" w:rsidRDefault="00402D12" w:rsidP="00402D12">
            <w:pPr>
              <w:rPr>
                <w:b/>
              </w:rPr>
            </w:pPr>
            <w:r w:rsidRPr="00402D12">
              <w:rPr>
                <w:b/>
              </w:rPr>
              <w:t>ЕАЭС</w:t>
            </w:r>
          </w:p>
        </w:tc>
        <w:tc>
          <w:tcPr>
            <w:tcW w:w="3115" w:type="dxa"/>
          </w:tcPr>
          <w:p w:rsidR="00402D12" w:rsidRPr="00402D12" w:rsidRDefault="00402D12" w:rsidP="00402D12">
            <w:pPr>
              <w:rPr>
                <w:b/>
              </w:rPr>
            </w:pPr>
            <w:r w:rsidRPr="00402D12">
              <w:rPr>
                <w:b/>
              </w:rPr>
              <w:t>Европейский Союз (ЕС)</w:t>
            </w:r>
          </w:p>
        </w:tc>
      </w:tr>
      <w:tr w:rsidR="00402D12" w:rsidTr="00402D12">
        <w:tc>
          <w:tcPr>
            <w:tcW w:w="3115" w:type="dxa"/>
          </w:tcPr>
          <w:p w:rsidR="00402D12" w:rsidRPr="00420686" w:rsidRDefault="00402D12" w:rsidP="00402D12">
            <w:r w:rsidRPr="00420686">
              <w:t>Инфраструктура обмена данными</w:t>
            </w:r>
          </w:p>
        </w:tc>
        <w:tc>
          <w:tcPr>
            <w:tcW w:w="3115" w:type="dxa"/>
          </w:tcPr>
          <w:p w:rsidR="00402D12" w:rsidRPr="00420686" w:rsidRDefault="00402D12" w:rsidP="00402D12">
            <w:r w:rsidRPr="00420686">
              <w:t>В стадии активного формирования</w:t>
            </w:r>
          </w:p>
        </w:tc>
        <w:tc>
          <w:tcPr>
            <w:tcW w:w="3115" w:type="dxa"/>
          </w:tcPr>
          <w:p w:rsidR="00402D12" w:rsidRPr="00420686" w:rsidRDefault="00402D12" w:rsidP="00402D12">
            <w:r w:rsidRPr="00420686">
              <w:t>Высокий уровень интеграции</w:t>
            </w:r>
          </w:p>
        </w:tc>
      </w:tr>
      <w:tr w:rsidR="00402D12" w:rsidTr="00402D12">
        <w:tc>
          <w:tcPr>
            <w:tcW w:w="3115" w:type="dxa"/>
          </w:tcPr>
          <w:p w:rsidR="00402D12" w:rsidRPr="00420686" w:rsidRDefault="00402D12" w:rsidP="00402D12">
            <w:r w:rsidRPr="00420686">
              <w:t>Электронная коммерция</w:t>
            </w:r>
          </w:p>
        </w:tc>
        <w:tc>
          <w:tcPr>
            <w:tcW w:w="3115" w:type="dxa"/>
          </w:tcPr>
          <w:p w:rsidR="00402D12" w:rsidRPr="00420686" w:rsidRDefault="00402D12" w:rsidP="00402D12">
            <w:r w:rsidRPr="00420686">
              <w:t>Внедрение совместных платформ для стран ЕАЭС</w:t>
            </w:r>
          </w:p>
        </w:tc>
        <w:tc>
          <w:tcPr>
            <w:tcW w:w="3115" w:type="dxa"/>
          </w:tcPr>
          <w:p w:rsidR="00402D12" w:rsidRPr="00420686" w:rsidRDefault="00402D12" w:rsidP="00402D12">
            <w:r w:rsidRPr="00420686">
              <w:t>Полноценная реализация единого цифрового рынка</w:t>
            </w:r>
          </w:p>
        </w:tc>
      </w:tr>
      <w:tr w:rsidR="00402D12" w:rsidTr="00402D12">
        <w:tc>
          <w:tcPr>
            <w:tcW w:w="3115" w:type="dxa"/>
          </w:tcPr>
          <w:p w:rsidR="00402D12" w:rsidRPr="00420686" w:rsidRDefault="00402D12" w:rsidP="00402D12">
            <w:r w:rsidRPr="00420686">
              <w:t>Электронный документооборот</w:t>
            </w:r>
          </w:p>
        </w:tc>
        <w:tc>
          <w:tcPr>
            <w:tcW w:w="3115" w:type="dxa"/>
          </w:tcPr>
          <w:p w:rsidR="00402D12" w:rsidRPr="00420686" w:rsidRDefault="00402D12" w:rsidP="00402D12">
            <w:r w:rsidRPr="00420686">
              <w:t>Частично реализован, развитие по Цифровой повестке</w:t>
            </w:r>
          </w:p>
        </w:tc>
        <w:tc>
          <w:tcPr>
            <w:tcW w:w="3115" w:type="dxa"/>
          </w:tcPr>
          <w:p w:rsidR="00402D12" w:rsidRPr="00420686" w:rsidRDefault="00402D12" w:rsidP="00402D12">
            <w:r w:rsidRPr="00420686">
              <w:t>Действует система EESSI для документов</w:t>
            </w:r>
          </w:p>
        </w:tc>
      </w:tr>
      <w:tr w:rsidR="00402D12" w:rsidTr="00402D12">
        <w:tc>
          <w:tcPr>
            <w:tcW w:w="3115" w:type="dxa"/>
          </w:tcPr>
          <w:p w:rsidR="00402D12" w:rsidRPr="00420686" w:rsidRDefault="00402D12" w:rsidP="00402D12">
            <w:r w:rsidRPr="00420686">
              <w:t>Гармонизация стандартов</w:t>
            </w:r>
          </w:p>
        </w:tc>
        <w:tc>
          <w:tcPr>
            <w:tcW w:w="3115" w:type="dxa"/>
          </w:tcPr>
          <w:p w:rsidR="00402D12" w:rsidRPr="00420686" w:rsidRDefault="00402D12" w:rsidP="00402D12">
            <w:r w:rsidRPr="00420686">
              <w:t>В процессе унификации между странами-участниками</w:t>
            </w:r>
          </w:p>
        </w:tc>
        <w:tc>
          <w:tcPr>
            <w:tcW w:w="3115" w:type="dxa"/>
          </w:tcPr>
          <w:p w:rsidR="00402D12" w:rsidRPr="00420686" w:rsidRDefault="00402D12" w:rsidP="00402D12">
            <w:r w:rsidRPr="00420686">
              <w:t>Завершена в основных сферах</w:t>
            </w:r>
          </w:p>
        </w:tc>
      </w:tr>
      <w:tr w:rsidR="00402D12" w:rsidTr="00402D12">
        <w:tc>
          <w:tcPr>
            <w:tcW w:w="3115" w:type="dxa"/>
          </w:tcPr>
          <w:p w:rsidR="00402D12" w:rsidRPr="00420686" w:rsidRDefault="00402D12" w:rsidP="00402D12">
            <w:r w:rsidRPr="00420686">
              <w:t>Уровень интеграции</w:t>
            </w:r>
          </w:p>
        </w:tc>
        <w:tc>
          <w:tcPr>
            <w:tcW w:w="3115" w:type="dxa"/>
          </w:tcPr>
          <w:p w:rsidR="00402D12" w:rsidRPr="00420686" w:rsidRDefault="00402D12" w:rsidP="00402D12">
            <w:r w:rsidRPr="00420686">
              <w:t>Средний, приоритет до 2025 года</w:t>
            </w:r>
          </w:p>
        </w:tc>
        <w:tc>
          <w:tcPr>
            <w:tcW w:w="3115" w:type="dxa"/>
          </w:tcPr>
          <w:p w:rsidR="00402D12" w:rsidRPr="00420686" w:rsidRDefault="00402D12" w:rsidP="00402D12">
            <w:r w:rsidRPr="00420686">
              <w:t>Высокий: гармонизация более 20 лет</w:t>
            </w:r>
          </w:p>
        </w:tc>
      </w:tr>
      <w:tr w:rsidR="00402D12" w:rsidTr="00402D12">
        <w:tc>
          <w:tcPr>
            <w:tcW w:w="3115" w:type="dxa"/>
          </w:tcPr>
          <w:p w:rsidR="00402D12" w:rsidRPr="00420686" w:rsidRDefault="00402D12" w:rsidP="00402D12">
            <w:r w:rsidRPr="00420686">
              <w:t>Перспективы развития</w:t>
            </w:r>
          </w:p>
        </w:tc>
        <w:tc>
          <w:tcPr>
            <w:tcW w:w="3115" w:type="dxa"/>
          </w:tcPr>
          <w:p w:rsidR="00402D12" w:rsidRPr="00420686" w:rsidRDefault="00402D12" w:rsidP="00402D12">
            <w:r w:rsidRPr="00420686">
              <w:t>Укрепление цифрового сотрудничества и инфраструктуры</w:t>
            </w:r>
          </w:p>
        </w:tc>
        <w:tc>
          <w:tcPr>
            <w:tcW w:w="3115" w:type="dxa"/>
          </w:tcPr>
          <w:p w:rsidR="00402D12" w:rsidRDefault="00402D12" w:rsidP="00402D12">
            <w:r w:rsidRPr="00420686">
              <w:t>Инновации и развитие защиты данных</w:t>
            </w:r>
          </w:p>
        </w:tc>
      </w:tr>
    </w:tbl>
    <w:p w:rsidR="00402D12" w:rsidRDefault="00402D12" w:rsidP="00402D12">
      <w:pPr>
        <w:pStyle w:val="3"/>
      </w:pPr>
    </w:p>
    <w:p w:rsidR="00402D12" w:rsidRDefault="00402D12" w:rsidP="00402D12">
      <w:pPr>
        <w:pStyle w:val="3"/>
      </w:pPr>
    </w:p>
    <w:p w:rsidR="00402D12" w:rsidRDefault="00402D12" w:rsidP="00402D12">
      <w:pPr>
        <w:pStyle w:val="3"/>
      </w:pPr>
      <w:r>
        <w:t>Заключение</w:t>
      </w:r>
    </w:p>
    <w:p w:rsidR="00402D12" w:rsidRDefault="00402D12" w:rsidP="00402D12">
      <w:pPr>
        <w:pStyle w:val="a3"/>
      </w:pPr>
      <w:r>
        <w:t>ЕАЭС находится на этапе активного формирования единого информационного пространства с целью повышения экономической интеграции. ЕС имеет более развитую инфраструктуру, выстроенную за счет многолетних программ, что делает его эффективным примером.</w:t>
      </w:r>
      <w:bookmarkStart w:id="0" w:name="_GoBack"/>
      <w:bookmarkEnd w:id="0"/>
    </w:p>
    <w:sectPr w:rsidR="00402D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52D1"/>
    <w:multiLevelType w:val="multilevel"/>
    <w:tmpl w:val="C7EC2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1DEA"/>
    <w:multiLevelType w:val="multilevel"/>
    <w:tmpl w:val="BF2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952DC"/>
    <w:multiLevelType w:val="multilevel"/>
    <w:tmpl w:val="1E0E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E066A"/>
    <w:multiLevelType w:val="multilevel"/>
    <w:tmpl w:val="97DC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27083"/>
    <w:multiLevelType w:val="multilevel"/>
    <w:tmpl w:val="222E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117D4"/>
    <w:multiLevelType w:val="multilevel"/>
    <w:tmpl w:val="A6DA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AE5D0D"/>
    <w:multiLevelType w:val="multilevel"/>
    <w:tmpl w:val="04A8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29095B"/>
    <w:multiLevelType w:val="multilevel"/>
    <w:tmpl w:val="45320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385DA3"/>
    <w:multiLevelType w:val="multilevel"/>
    <w:tmpl w:val="13A6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8F11EA"/>
    <w:multiLevelType w:val="multilevel"/>
    <w:tmpl w:val="EBE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8"/>
  </w:num>
  <w:num w:numId="4">
    <w:abstractNumId w:val="4"/>
  </w:num>
  <w:num w:numId="5">
    <w:abstractNumId w:val="6"/>
  </w:num>
  <w:num w:numId="6">
    <w:abstractNumId w:val="2"/>
  </w:num>
  <w:num w:numId="7">
    <w:abstractNumId w:val="1"/>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97"/>
    <w:rsid w:val="000036BB"/>
    <w:rsid w:val="00402D12"/>
    <w:rsid w:val="009A6297"/>
    <w:rsid w:val="00BA4812"/>
    <w:rsid w:val="00BA72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08DC"/>
  <w15:chartTrackingRefBased/>
  <w15:docId w15:val="{2F978B11-0FC5-456B-A09F-6FBD9112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BA72D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A72D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A72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A72D2"/>
    <w:rPr>
      <w:b/>
      <w:bCs/>
    </w:rPr>
  </w:style>
  <w:style w:type="table" w:styleId="a5">
    <w:name w:val="Table Grid"/>
    <w:basedOn w:val="a1"/>
    <w:uiPriority w:val="39"/>
    <w:rsid w:val="00BA7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449683">
      <w:bodyDiv w:val="1"/>
      <w:marLeft w:val="0"/>
      <w:marRight w:val="0"/>
      <w:marTop w:val="0"/>
      <w:marBottom w:val="0"/>
      <w:divBdr>
        <w:top w:val="none" w:sz="0" w:space="0" w:color="auto"/>
        <w:left w:val="none" w:sz="0" w:space="0" w:color="auto"/>
        <w:bottom w:val="none" w:sz="0" w:space="0" w:color="auto"/>
        <w:right w:val="none" w:sz="0" w:space="0" w:color="auto"/>
      </w:divBdr>
      <w:divsChild>
        <w:div w:id="1775200589">
          <w:marLeft w:val="0"/>
          <w:marRight w:val="0"/>
          <w:marTop w:val="0"/>
          <w:marBottom w:val="0"/>
          <w:divBdr>
            <w:top w:val="none" w:sz="0" w:space="0" w:color="auto"/>
            <w:left w:val="none" w:sz="0" w:space="0" w:color="auto"/>
            <w:bottom w:val="none" w:sz="0" w:space="0" w:color="auto"/>
            <w:right w:val="none" w:sz="0" w:space="0" w:color="auto"/>
          </w:divBdr>
          <w:divsChild>
            <w:div w:id="1399354405">
              <w:marLeft w:val="0"/>
              <w:marRight w:val="0"/>
              <w:marTop w:val="0"/>
              <w:marBottom w:val="0"/>
              <w:divBdr>
                <w:top w:val="none" w:sz="0" w:space="0" w:color="auto"/>
                <w:left w:val="none" w:sz="0" w:space="0" w:color="auto"/>
                <w:bottom w:val="none" w:sz="0" w:space="0" w:color="auto"/>
                <w:right w:val="none" w:sz="0" w:space="0" w:color="auto"/>
              </w:divBdr>
              <w:divsChild>
                <w:div w:id="78335462">
                  <w:marLeft w:val="0"/>
                  <w:marRight w:val="0"/>
                  <w:marTop w:val="0"/>
                  <w:marBottom w:val="0"/>
                  <w:divBdr>
                    <w:top w:val="none" w:sz="0" w:space="0" w:color="auto"/>
                    <w:left w:val="none" w:sz="0" w:space="0" w:color="auto"/>
                    <w:bottom w:val="none" w:sz="0" w:space="0" w:color="auto"/>
                    <w:right w:val="none" w:sz="0" w:space="0" w:color="auto"/>
                  </w:divBdr>
                </w:div>
                <w:div w:id="1666473816">
                  <w:marLeft w:val="0"/>
                  <w:marRight w:val="0"/>
                  <w:marTop w:val="0"/>
                  <w:marBottom w:val="0"/>
                  <w:divBdr>
                    <w:top w:val="none" w:sz="0" w:space="0" w:color="auto"/>
                    <w:left w:val="none" w:sz="0" w:space="0" w:color="auto"/>
                    <w:bottom w:val="none" w:sz="0" w:space="0" w:color="auto"/>
                    <w:right w:val="none" w:sz="0" w:space="0" w:color="auto"/>
                  </w:divBdr>
                  <w:divsChild>
                    <w:div w:id="1008674227">
                      <w:marLeft w:val="0"/>
                      <w:marRight w:val="0"/>
                      <w:marTop w:val="0"/>
                      <w:marBottom w:val="0"/>
                      <w:divBdr>
                        <w:top w:val="none" w:sz="0" w:space="0" w:color="auto"/>
                        <w:left w:val="none" w:sz="0" w:space="0" w:color="auto"/>
                        <w:bottom w:val="none" w:sz="0" w:space="0" w:color="auto"/>
                        <w:right w:val="none" w:sz="0" w:space="0" w:color="auto"/>
                      </w:divBdr>
                      <w:divsChild>
                        <w:div w:id="1047487857">
                          <w:marLeft w:val="0"/>
                          <w:marRight w:val="0"/>
                          <w:marTop w:val="0"/>
                          <w:marBottom w:val="0"/>
                          <w:divBdr>
                            <w:top w:val="none" w:sz="0" w:space="0" w:color="auto"/>
                            <w:left w:val="none" w:sz="0" w:space="0" w:color="auto"/>
                            <w:bottom w:val="none" w:sz="0" w:space="0" w:color="auto"/>
                            <w:right w:val="none" w:sz="0" w:space="0" w:color="auto"/>
                          </w:divBdr>
                          <w:divsChild>
                            <w:div w:id="16190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241181">
      <w:bodyDiv w:val="1"/>
      <w:marLeft w:val="0"/>
      <w:marRight w:val="0"/>
      <w:marTop w:val="0"/>
      <w:marBottom w:val="0"/>
      <w:divBdr>
        <w:top w:val="none" w:sz="0" w:space="0" w:color="auto"/>
        <w:left w:val="none" w:sz="0" w:space="0" w:color="auto"/>
        <w:bottom w:val="none" w:sz="0" w:space="0" w:color="auto"/>
        <w:right w:val="none" w:sz="0" w:space="0" w:color="auto"/>
      </w:divBdr>
    </w:div>
    <w:div w:id="1880776694">
      <w:bodyDiv w:val="1"/>
      <w:marLeft w:val="0"/>
      <w:marRight w:val="0"/>
      <w:marTop w:val="0"/>
      <w:marBottom w:val="0"/>
      <w:divBdr>
        <w:top w:val="none" w:sz="0" w:space="0" w:color="auto"/>
        <w:left w:val="none" w:sz="0" w:space="0" w:color="auto"/>
        <w:bottom w:val="none" w:sz="0" w:space="0" w:color="auto"/>
        <w:right w:val="none" w:sz="0" w:space="0" w:color="auto"/>
      </w:divBdr>
    </w:div>
    <w:div w:id="2100103911">
      <w:bodyDiv w:val="1"/>
      <w:marLeft w:val="0"/>
      <w:marRight w:val="0"/>
      <w:marTop w:val="0"/>
      <w:marBottom w:val="0"/>
      <w:divBdr>
        <w:top w:val="none" w:sz="0" w:space="0" w:color="auto"/>
        <w:left w:val="none" w:sz="0" w:space="0" w:color="auto"/>
        <w:bottom w:val="none" w:sz="0" w:space="0" w:color="auto"/>
        <w:right w:val="none" w:sz="0" w:space="0" w:color="auto"/>
      </w:divBdr>
    </w:div>
    <w:div w:id="211389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475</Words>
  <Characters>2714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Заголовки</vt:lpstr>
      </vt:variant>
      <vt:variant>
        <vt:i4>10</vt:i4>
      </vt:variant>
    </vt:vector>
  </HeadingPairs>
  <TitlesOfParts>
    <vt:vector size="11" baseType="lpstr">
      <vt:lpstr/>
      <vt:lpstr>        1. Основные положения патентов</vt:lpstr>
      <vt:lpstr>        2. Зарубежные патенты в области формирования единого информационного пространств</vt:lpstr>
      <vt:lpstr>        3. Сравнительный анализ патентов</vt:lpstr>
      <vt:lpstr>        </vt:lpstr>
      <vt:lpstr>        </vt:lpstr>
      <vt:lpstr>        </vt:lpstr>
      <vt:lpstr>        </vt:lpstr>
      <vt:lpstr>        </vt:lpstr>
      <vt:lpstr>        Вывод</vt:lpstr>
      <vt: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3</cp:revision>
  <dcterms:created xsi:type="dcterms:W3CDTF">2024-10-27T21:28:00Z</dcterms:created>
  <dcterms:modified xsi:type="dcterms:W3CDTF">2024-11-06T20:46:00Z</dcterms:modified>
</cp:coreProperties>
</file>