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1A6" w:rsidRPr="00D571A6" w:rsidRDefault="00D571A6" w:rsidP="00D571A6">
      <w:pPr>
        <w:pStyle w:val="3"/>
        <w:spacing w:before="0" w:after="0"/>
        <w:ind w:firstLine="709"/>
        <w:outlineLvl w:val="2"/>
      </w:pPr>
      <w:r w:rsidRPr="00D571A6">
        <w:t>1. Обзор «Цифровая повестка Евразийского экономического союза до 2025 года: перспективы и рекомендации»</w:t>
      </w:r>
    </w:p>
    <w:p w:rsidR="00D571A6" w:rsidRPr="00D571A6" w:rsidRDefault="00D571A6" w:rsidP="00D57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57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r w:rsidRPr="00D571A6">
        <w:rPr>
          <w:rFonts w:ascii="Times New Roman" w:hAnsi="Times New Roman" w:cs="Times New Roman"/>
          <w:sz w:val="28"/>
        </w:rPr>
        <w:t xml:space="preserve"> «Цифровая повестка ЕАЭС до 2025 года» определяет приоритеты цифровой трансформации в государствах-членах союза: Армении, Беларуси, Казахстане, Кыргызстане и России. Основная цель повестки — интеграция национальных информационных систем для создания единого цифрового пространства, обеспечивающего рост взаимной торговли, упрощение обмена данными и стимулирование инновационного роста.</w:t>
      </w:r>
    </w:p>
    <w:p w:rsidR="00D571A6" w:rsidRPr="00D571A6" w:rsidRDefault="00D571A6" w:rsidP="00D571A6">
      <w:pPr>
        <w:ind w:firstLine="851"/>
        <w:jc w:val="both"/>
        <w:rPr>
          <w:rFonts w:ascii="Times New Roman" w:hAnsi="Times New Roman" w:cs="Times New Roman"/>
          <w:b/>
          <w:bCs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Pr="00D571A6">
        <w:rPr>
          <w:rFonts w:ascii="Times New Roman" w:hAnsi="Times New Roman" w:cs="Times New Roman"/>
          <w:b/>
          <w:bCs/>
          <w:sz w:val="28"/>
        </w:rPr>
        <w:t xml:space="preserve"> задачи:</w:t>
      </w:r>
    </w:p>
    <w:p w:rsidR="00D571A6" w:rsidRPr="00D571A6" w:rsidRDefault="00D571A6" w:rsidP="00D571A6">
      <w:pPr>
        <w:numPr>
          <w:ilvl w:val="0"/>
          <w:numId w:val="1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</w:rPr>
        <w:t>Интеграция цифровых платформ</w:t>
      </w:r>
      <w:r w:rsidRPr="00D571A6">
        <w:rPr>
          <w:rFonts w:ascii="Times New Roman" w:hAnsi="Times New Roman" w:cs="Times New Roman"/>
          <w:sz w:val="28"/>
        </w:rPr>
        <w:t>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rPr>
          <w:rFonts w:eastAsiaTheme="minorEastAsia"/>
        </w:rPr>
        <w:t>Разработка</w:t>
      </w:r>
      <w:r w:rsidRPr="00D571A6">
        <w:t xml:space="preserve"> межгосударственных информационных систем, включая торговые и логистические платформы;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rPr>
          <w:rFonts w:eastAsiaTheme="minorEastAsia"/>
        </w:rPr>
        <w:t>Обеспечение</w:t>
      </w:r>
      <w:r w:rsidRPr="00D571A6">
        <w:t xml:space="preserve"> их совместимости с национальными цифровыми системами.</w:t>
      </w:r>
    </w:p>
    <w:p w:rsidR="00D571A6" w:rsidRPr="00D571A6" w:rsidRDefault="00D571A6" w:rsidP="00D571A6">
      <w:pPr>
        <w:numPr>
          <w:ilvl w:val="0"/>
          <w:numId w:val="1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D571A6">
        <w:rPr>
          <w:rFonts w:ascii="Times New Roman" w:hAnsi="Times New Roman" w:cs="Times New Roman"/>
          <w:b/>
          <w:bCs/>
          <w:sz w:val="28"/>
        </w:rPr>
        <w:t>Цифровизация</w:t>
      </w:r>
      <w:proofErr w:type="spellEnd"/>
      <w:r w:rsidRPr="00D571A6">
        <w:rPr>
          <w:rFonts w:ascii="Times New Roman" w:hAnsi="Times New Roman" w:cs="Times New Roman"/>
          <w:b/>
          <w:bCs/>
          <w:sz w:val="28"/>
        </w:rPr>
        <w:t xml:space="preserve"> торговли</w:t>
      </w:r>
      <w:r w:rsidRPr="00D571A6">
        <w:rPr>
          <w:rFonts w:ascii="Times New Roman" w:hAnsi="Times New Roman" w:cs="Times New Roman"/>
          <w:sz w:val="28"/>
        </w:rPr>
        <w:t>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 xml:space="preserve">Создание общих инструментов для трансграничного обмена </w:t>
      </w:r>
      <w:r w:rsidRPr="00D571A6">
        <w:rPr>
          <w:rFonts w:eastAsiaTheme="minorEastAsia"/>
        </w:rPr>
        <w:t>электронными</w:t>
      </w:r>
      <w:r w:rsidRPr="00D571A6">
        <w:t xml:space="preserve"> документами;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rPr>
          <w:rFonts w:eastAsiaTheme="minorEastAsia"/>
        </w:rPr>
        <w:t>Развитие</w:t>
      </w:r>
      <w:r w:rsidRPr="00D571A6">
        <w:t xml:space="preserve"> электронной коммерции, включая упрощение процедур таможенного оформления и внедрение «безбумажной торговли».</w:t>
      </w:r>
    </w:p>
    <w:p w:rsidR="00D571A6" w:rsidRPr="00D571A6" w:rsidRDefault="00D571A6" w:rsidP="00D571A6">
      <w:pPr>
        <w:numPr>
          <w:ilvl w:val="0"/>
          <w:numId w:val="1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</w:rPr>
      </w:pPr>
      <w:proofErr w:type="spellStart"/>
      <w:r w:rsidRPr="00D571A6">
        <w:rPr>
          <w:rFonts w:ascii="Times New Roman" w:hAnsi="Times New Roman" w:cs="Times New Roman"/>
          <w:b/>
          <w:bCs/>
          <w:sz w:val="28"/>
        </w:rPr>
        <w:t>Кибербезопасность</w:t>
      </w:r>
      <w:proofErr w:type="spellEnd"/>
      <w:r w:rsidRPr="00D571A6">
        <w:rPr>
          <w:rFonts w:ascii="Times New Roman" w:hAnsi="Times New Roman" w:cs="Times New Roman"/>
          <w:b/>
          <w:bCs/>
          <w:sz w:val="28"/>
        </w:rPr>
        <w:t xml:space="preserve"> и правовая база</w:t>
      </w:r>
      <w:r w:rsidRPr="00D571A6">
        <w:rPr>
          <w:rFonts w:ascii="Times New Roman" w:hAnsi="Times New Roman" w:cs="Times New Roman"/>
          <w:sz w:val="28"/>
        </w:rPr>
        <w:t>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rPr>
          <w:rFonts w:eastAsiaTheme="minorEastAsia"/>
        </w:rPr>
        <w:t>Формирование</w:t>
      </w:r>
      <w:r w:rsidRPr="00D571A6">
        <w:t xml:space="preserve"> общих стандартов безопасности и защиты персональных данных;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rPr>
          <w:rFonts w:eastAsiaTheme="minorEastAsia"/>
        </w:rPr>
        <w:t>Гармонизация</w:t>
      </w:r>
      <w:r w:rsidRPr="00D571A6">
        <w:t xml:space="preserve"> законодательств стран ЕАЭС в области цифровой экономики.</w:t>
      </w:r>
    </w:p>
    <w:p w:rsidR="00D571A6" w:rsidRPr="00D571A6" w:rsidRDefault="00D571A6" w:rsidP="00D571A6">
      <w:pPr>
        <w:numPr>
          <w:ilvl w:val="0"/>
          <w:numId w:val="1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</w:rPr>
        <w:t>Поддержка цифровых инноваций</w:t>
      </w:r>
      <w:r w:rsidRPr="00D571A6">
        <w:rPr>
          <w:rFonts w:ascii="Times New Roman" w:hAnsi="Times New Roman" w:cs="Times New Roman"/>
          <w:sz w:val="28"/>
        </w:rPr>
        <w:t>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rPr>
          <w:rFonts w:eastAsiaTheme="minorEastAsia"/>
        </w:rPr>
        <w:t>Развитие</w:t>
      </w:r>
      <w:r w:rsidRPr="00D571A6">
        <w:t xml:space="preserve"> </w:t>
      </w:r>
      <w:proofErr w:type="spellStart"/>
      <w:r w:rsidRPr="00D571A6">
        <w:t>стартапов</w:t>
      </w:r>
      <w:proofErr w:type="spellEnd"/>
      <w:r w:rsidRPr="00D571A6">
        <w:t>, совместных проектов в области ИИ и больших данных;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 xml:space="preserve">Программы для повышения квалификации специалистов в </w:t>
      </w:r>
      <w:r w:rsidRPr="00D571A6">
        <w:rPr>
          <w:rFonts w:eastAsiaTheme="minorEastAsia"/>
        </w:rPr>
        <w:t>цифровой</w:t>
      </w:r>
      <w:r w:rsidRPr="00D571A6">
        <w:t xml:space="preserve"> сфере.</w:t>
      </w:r>
    </w:p>
    <w:p w:rsidR="00D571A6" w:rsidRPr="00D571A6" w:rsidRDefault="00D571A6" w:rsidP="00D571A6">
      <w:pPr>
        <w:ind w:firstLine="851"/>
        <w:jc w:val="both"/>
        <w:rPr>
          <w:rFonts w:ascii="Times New Roman" w:hAnsi="Times New Roman" w:cs="Times New Roman"/>
          <w:b/>
          <w:bCs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  <w:szCs w:val="28"/>
        </w:rPr>
        <w:t>Рекомендации</w:t>
      </w:r>
      <w:r w:rsidRPr="00D571A6">
        <w:rPr>
          <w:rFonts w:ascii="Times New Roman" w:hAnsi="Times New Roman" w:cs="Times New Roman"/>
          <w:b/>
          <w:bCs/>
          <w:sz w:val="28"/>
        </w:rPr>
        <w:t>:</w:t>
      </w:r>
    </w:p>
    <w:p w:rsidR="00D571A6" w:rsidRPr="00D571A6" w:rsidRDefault="00D571A6" w:rsidP="00D57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sz w:val="28"/>
        </w:rPr>
        <w:lastRenderedPageBreak/>
        <w:t>Документ акцентирует внимание на необходимости активного взаимодействия с партнёрами из других интеграционных объединений (например, ЕС, АСЕАН) для обмена опытом и повышения глобальной конкурентоспособности ЕАЭС​.</w:t>
      </w:r>
    </w:p>
    <w:p w:rsidR="00D571A6" w:rsidRPr="00D571A6" w:rsidRDefault="00D571A6" w:rsidP="00D571A6">
      <w:pPr>
        <w:spacing w:after="0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sz w:val="28"/>
        </w:rPr>
        <w:pict>
          <v:rect id="_x0000_i1055" style="width:0;height:0" o:hrstd="t" o:hrnoshade="t" o:hr="t" fillcolor="#ececec" stroked="f"/>
        </w:pict>
      </w:r>
    </w:p>
    <w:p w:rsidR="00D571A6" w:rsidRPr="00D571A6" w:rsidRDefault="00D571A6" w:rsidP="00D571A6">
      <w:pPr>
        <w:pStyle w:val="3"/>
        <w:spacing w:before="0" w:after="0"/>
        <w:ind w:firstLine="709"/>
        <w:outlineLvl w:val="2"/>
      </w:pPr>
      <w:r w:rsidRPr="00D571A6">
        <w:t>2. Уровень и перспективы развития единого информационного пространства ЕАЭС</w:t>
      </w:r>
    </w:p>
    <w:p w:rsidR="00D571A6" w:rsidRPr="00D571A6" w:rsidRDefault="00D571A6" w:rsidP="00D571A6">
      <w:pPr>
        <w:ind w:firstLine="851"/>
        <w:jc w:val="both"/>
        <w:rPr>
          <w:rFonts w:ascii="Times New Roman" w:hAnsi="Times New Roman" w:cs="Times New Roman"/>
          <w:b/>
          <w:bCs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  <w:szCs w:val="28"/>
        </w:rPr>
        <w:t>Текущий</w:t>
      </w:r>
      <w:r w:rsidRPr="00D571A6">
        <w:rPr>
          <w:rFonts w:ascii="Times New Roman" w:hAnsi="Times New Roman" w:cs="Times New Roman"/>
          <w:b/>
          <w:bCs/>
          <w:sz w:val="28"/>
        </w:rPr>
        <w:t xml:space="preserve"> уровень: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rPr>
          <w:b/>
          <w:bCs/>
        </w:rPr>
        <w:t>Развитие систем межгосударственного взаимодействия</w:t>
      </w:r>
      <w:r w:rsidRPr="00D571A6">
        <w:t>: Уже внедрены отдельные цифровые решения для упрощения торговли (например, электронные таможенные декларации) и платформы для обмена информацией между налоговыми службами.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Финансовые</w:t>
      </w:r>
      <w:r w:rsidRPr="00D571A6">
        <w:rPr>
          <w:b/>
          <w:bCs/>
        </w:rPr>
        <w:t xml:space="preserve"> инструменты</w:t>
      </w:r>
      <w:r w:rsidRPr="00D571A6">
        <w:t>: Созданы условия для использования цифровых валют и электронных платёжных систем между странами ЕАЭС, что особенно важно для малого и среднего бизнеса.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 xml:space="preserve">Инфраструктура: Неравномерное развитие инфраструктуры в странах-членах: в то время как Россия и Казахстан показывают высокий уровень </w:t>
      </w:r>
      <w:proofErr w:type="spellStart"/>
      <w:r w:rsidRPr="00D571A6">
        <w:t>цифровизации</w:t>
      </w:r>
      <w:proofErr w:type="spellEnd"/>
      <w:r w:rsidRPr="00D571A6">
        <w:t>, менее развитые страны Союза нуждаются в дополнительной поддержке.</w:t>
      </w:r>
    </w:p>
    <w:p w:rsidR="00D571A6" w:rsidRPr="00D571A6" w:rsidRDefault="00D571A6" w:rsidP="00D571A6">
      <w:pPr>
        <w:ind w:firstLine="851"/>
        <w:jc w:val="both"/>
        <w:rPr>
          <w:rFonts w:ascii="Times New Roman" w:hAnsi="Times New Roman" w:cs="Times New Roman"/>
          <w:b/>
          <w:bCs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Pr="00D571A6">
        <w:rPr>
          <w:rFonts w:ascii="Times New Roman" w:hAnsi="Times New Roman" w:cs="Times New Roman"/>
          <w:b/>
          <w:bCs/>
          <w:sz w:val="28"/>
        </w:rPr>
        <w:t>:</w:t>
      </w:r>
    </w:p>
    <w:p w:rsidR="00D571A6" w:rsidRPr="00D571A6" w:rsidRDefault="00D571A6" w:rsidP="00D571A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</w:rPr>
        <w:t>Расширение единого цифрового пространства</w:t>
      </w:r>
      <w:r w:rsidRPr="00D571A6">
        <w:rPr>
          <w:rFonts w:ascii="Times New Roman" w:hAnsi="Times New Roman" w:cs="Times New Roman"/>
          <w:sz w:val="28"/>
        </w:rPr>
        <w:t>: Создание интеграционной платформы для торговли, логистики, здравоохранения и образования.</w:t>
      </w:r>
    </w:p>
    <w:p w:rsidR="00D571A6" w:rsidRPr="00D571A6" w:rsidRDefault="00D571A6" w:rsidP="00D571A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</w:rPr>
        <w:t>Цифровая интеграция промышленных кластеров</w:t>
      </w:r>
      <w:r w:rsidRPr="00D571A6">
        <w:rPr>
          <w:rFonts w:ascii="Times New Roman" w:hAnsi="Times New Roman" w:cs="Times New Roman"/>
          <w:sz w:val="28"/>
        </w:rPr>
        <w:t>: Объединение национальных платформ в промышленной сфере для увеличения производительности и инновационного роста.</w:t>
      </w:r>
    </w:p>
    <w:p w:rsidR="00D571A6" w:rsidRPr="00D571A6" w:rsidRDefault="00D571A6" w:rsidP="00D571A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</w:rPr>
        <w:t>Развитие искусственного интеллекта и больших данных</w:t>
      </w:r>
      <w:r w:rsidRPr="00D571A6">
        <w:rPr>
          <w:rFonts w:ascii="Times New Roman" w:hAnsi="Times New Roman" w:cs="Times New Roman"/>
          <w:sz w:val="28"/>
        </w:rPr>
        <w:t xml:space="preserve">: Применение технологий для прогнозирования рыночных тенденций и автоматизации </w:t>
      </w:r>
      <w:proofErr w:type="spellStart"/>
      <w:r w:rsidRPr="00D571A6">
        <w:rPr>
          <w:rFonts w:ascii="Times New Roman" w:hAnsi="Times New Roman" w:cs="Times New Roman"/>
          <w:sz w:val="28"/>
        </w:rPr>
        <w:t>госуслуг</w:t>
      </w:r>
      <w:proofErr w:type="spellEnd"/>
      <w:r w:rsidRPr="00D571A6">
        <w:rPr>
          <w:rFonts w:ascii="Times New Roman" w:hAnsi="Times New Roman" w:cs="Times New Roman"/>
          <w:sz w:val="28"/>
        </w:rPr>
        <w:t>.</w:t>
      </w:r>
    </w:p>
    <w:p w:rsidR="00D571A6" w:rsidRPr="00D571A6" w:rsidRDefault="00D571A6" w:rsidP="00D571A6">
      <w:pPr>
        <w:numPr>
          <w:ilvl w:val="0"/>
          <w:numId w:val="7"/>
        </w:numPr>
        <w:tabs>
          <w:tab w:val="clear" w:pos="720"/>
        </w:tabs>
        <w:ind w:left="0" w:firstLine="709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</w:rPr>
        <w:t>Сотрудничество с Китаем</w:t>
      </w:r>
      <w:r w:rsidRPr="00D571A6">
        <w:rPr>
          <w:rFonts w:ascii="Times New Roman" w:hAnsi="Times New Roman" w:cs="Times New Roman"/>
          <w:sz w:val="28"/>
        </w:rPr>
        <w:t>: Интеграция с китайскими инициативами, такими как «Один пояс, один путь», для создания трансконтинентального цифрового коридора.</w:t>
      </w:r>
    </w:p>
    <w:p w:rsidR="00D571A6" w:rsidRPr="00D571A6" w:rsidRDefault="00D571A6" w:rsidP="00D57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571A6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</w:t>
      </w:r>
      <w:r w:rsidRPr="00D571A6">
        <w:rPr>
          <w:rFonts w:ascii="Times New Roman" w:hAnsi="Times New Roman" w:cs="Times New Roman"/>
          <w:sz w:val="28"/>
        </w:rPr>
        <w:t xml:space="preserve"> этих шагов укрепит экономическую устойчивость стран ЕАЭС, уменьшит барьеры для бизнеса и повысит удобство для граждан​.</w:t>
      </w:r>
      <w:r w:rsidRPr="00D571A6">
        <w:rPr>
          <w:rFonts w:ascii="Times New Roman" w:hAnsi="Times New Roman" w:cs="Times New Roman"/>
          <w:sz w:val="28"/>
        </w:rPr>
        <w:pict>
          <v:rect id="_x0000_i1056" style="width:0;height:0" o:hrstd="t" o:hrnoshade="t" o:hr="t" fillcolor="#ececec" stroked="f"/>
        </w:pict>
      </w:r>
    </w:p>
    <w:p w:rsidR="00D571A6" w:rsidRPr="00D571A6" w:rsidRDefault="00D571A6" w:rsidP="00D571A6">
      <w:pPr>
        <w:pStyle w:val="3"/>
        <w:spacing w:before="0" w:after="0"/>
        <w:ind w:firstLine="709"/>
        <w:outlineLvl w:val="2"/>
      </w:pPr>
      <w:r w:rsidRPr="00D571A6">
        <w:t>3. Сравнительный анализ уровня развития ЕИП ЕАЭС и ЕС</w:t>
      </w:r>
    </w:p>
    <w:p w:rsidR="00D571A6" w:rsidRPr="00D571A6" w:rsidRDefault="00D571A6" w:rsidP="00D571A6">
      <w:pPr>
        <w:spacing w:after="0"/>
        <w:ind w:firstLine="709"/>
        <w:rPr>
          <w:rFonts w:ascii="Times New Roman" w:hAnsi="Times New Roman" w:cs="Times New Roman"/>
          <w:b/>
          <w:bCs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</w:rPr>
        <w:t>Единое цифровое пространство ЕАЭС:</w:t>
      </w:r>
    </w:p>
    <w:p w:rsidR="00D571A6" w:rsidRPr="00D571A6" w:rsidRDefault="00D571A6" w:rsidP="00D571A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571A6">
        <w:rPr>
          <w:rFonts w:ascii="Times New Roman" w:hAnsi="Times New Roman" w:cs="Times New Roman"/>
          <w:sz w:val="28"/>
        </w:rPr>
        <w:t>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Внедрение общего стандарта электронных документов;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Акцент на упрощении торговли и логистики.</w:t>
      </w:r>
    </w:p>
    <w:p w:rsidR="00D571A6" w:rsidRPr="00D571A6" w:rsidRDefault="00D571A6" w:rsidP="00D571A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571A6">
        <w:rPr>
          <w:rFonts w:ascii="Times New Roman" w:hAnsi="Times New Roman" w:cs="Times New Roman"/>
          <w:sz w:val="28"/>
        </w:rPr>
        <w:t>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Неравномерность цифровой инфраструктуры;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Слабая интеграция образовательных и медицинских платформ.</w:t>
      </w:r>
    </w:p>
    <w:p w:rsidR="00D571A6" w:rsidRPr="00D571A6" w:rsidRDefault="00D571A6" w:rsidP="00D571A6">
      <w:pPr>
        <w:spacing w:after="0"/>
        <w:ind w:firstLine="709"/>
        <w:rPr>
          <w:rFonts w:ascii="Times New Roman" w:hAnsi="Times New Roman" w:cs="Times New Roman"/>
          <w:b/>
          <w:bCs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</w:rPr>
        <w:t>Единое цифровое пространство ЕС:</w:t>
      </w:r>
    </w:p>
    <w:p w:rsidR="00D571A6" w:rsidRPr="00D571A6" w:rsidRDefault="00D571A6" w:rsidP="00D571A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571A6">
        <w:rPr>
          <w:rFonts w:ascii="Times New Roman" w:hAnsi="Times New Roman" w:cs="Times New Roman"/>
          <w:sz w:val="28"/>
        </w:rPr>
        <w:t>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Высокий уровень гармонизации законодательства;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Широкий спектр цифровых услуг для бизнеса и граждан;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Политика обеспечения конкуренции на рынке цифровых платформ.</w:t>
      </w:r>
    </w:p>
    <w:p w:rsidR="00D571A6" w:rsidRPr="00D571A6" w:rsidRDefault="00D571A6" w:rsidP="00D571A6">
      <w:pPr>
        <w:ind w:firstLine="709"/>
        <w:jc w:val="both"/>
        <w:rPr>
          <w:rFonts w:ascii="Times New Roman" w:hAnsi="Times New Roman" w:cs="Times New Roman"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571A6">
        <w:rPr>
          <w:rFonts w:ascii="Times New Roman" w:hAnsi="Times New Roman" w:cs="Times New Roman"/>
          <w:sz w:val="28"/>
        </w:rPr>
        <w:t>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Сложность внедрения новых инициатив из-за большого числа участников и разнообразия законодательных систем.</w:t>
      </w:r>
    </w:p>
    <w:p w:rsidR="00D571A6" w:rsidRPr="00D571A6" w:rsidRDefault="00D571A6" w:rsidP="00D571A6">
      <w:pPr>
        <w:spacing w:after="0"/>
        <w:ind w:firstLine="709"/>
        <w:rPr>
          <w:rFonts w:ascii="Times New Roman" w:hAnsi="Times New Roman" w:cs="Times New Roman"/>
          <w:b/>
          <w:bCs/>
          <w:sz w:val="28"/>
        </w:rPr>
      </w:pPr>
      <w:r w:rsidRPr="00D571A6">
        <w:rPr>
          <w:rFonts w:ascii="Times New Roman" w:hAnsi="Times New Roman" w:cs="Times New Roman"/>
          <w:b/>
          <w:bCs/>
          <w:sz w:val="28"/>
        </w:rPr>
        <w:t>Ключевые отличия: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 xml:space="preserve">ЕС значительно опережает ЕАЭС в вопросах цифровой трансформации, уделяя особое внимание защите данных (GDPR) и поддержке инноваций через программы финансирования, такие как </w:t>
      </w:r>
      <w:proofErr w:type="spellStart"/>
      <w:r w:rsidRPr="00D571A6">
        <w:t>Horizon</w:t>
      </w:r>
      <w:proofErr w:type="spellEnd"/>
      <w:r w:rsidRPr="00D571A6">
        <w:t xml:space="preserve"> </w:t>
      </w:r>
      <w:proofErr w:type="spellStart"/>
      <w:r w:rsidRPr="00D571A6">
        <w:t>Europe</w:t>
      </w:r>
      <w:proofErr w:type="spellEnd"/>
      <w:r w:rsidRPr="00D571A6">
        <w:t>.</w:t>
      </w:r>
    </w:p>
    <w:p w:rsidR="00D571A6" w:rsidRPr="00D571A6" w:rsidRDefault="00D571A6" w:rsidP="00D571A6">
      <w:pPr>
        <w:pStyle w:val="1"/>
        <w:numPr>
          <w:ilvl w:val="1"/>
          <w:numId w:val="1"/>
        </w:numPr>
        <w:tabs>
          <w:tab w:val="clear" w:pos="1440"/>
        </w:tabs>
        <w:ind w:left="0" w:firstLine="709"/>
      </w:pPr>
      <w:r w:rsidRPr="00D571A6">
        <w:t>В ЕАЭС акцент сделан на базовой интеграции платформ и систем для устранения барьеров в торговле и упрощения документооборота.</w:t>
      </w:r>
    </w:p>
    <w:p w:rsidR="00D571A6" w:rsidRPr="00D571A6" w:rsidRDefault="00D571A6" w:rsidP="00D571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D571A6"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Сравнительный</w:t>
      </w:r>
      <w:r w:rsidRPr="00D571A6">
        <w:rPr>
          <w:rFonts w:ascii="Times New Roman" w:hAnsi="Times New Roman" w:cs="Times New Roman"/>
          <w:sz w:val="28"/>
        </w:rPr>
        <w:t xml:space="preserve"> анализ показывает, что ЕАЭС имеет высокий потенциал, но его успешная реализация требует значительных инвестиций в инфраструктуру, унификации нормативных баз и устранения цифрового неравенства между странами​.</w:t>
      </w:r>
    </w:p>
    <w:p w:rsidR="00A547A8" w:rsidRPr="00D571A6" w:rsidRDefault="00A547A8" w:rsidP="00D571A6">
      <w:pPr>
        <w:spacing w:after="0"/>
        <w:rPr>
          <w:rFonts w:ascii="Times New Roman" w:hAnsi="Times New Roman" w:cs="Times New Roman"/>
          <w:sz w:val="28"/>
        </w:rPr>
      </w:pPr>
    </w:p>
    <w:sectPr w:rsidR="00A547A8" w:rsidRPr="00D57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59B1"/>
    <w:multiLevelType w:val="multilevel"/>
    <w:tmpl w:val="59CC4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7618B"/>
    <w:multiLevelType w:val="multilevel"/>
    <w:tmpl w:val="600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D91D41"/>
    <w:multiLevelType w:val="multilevel"/>
    <w:tmpl w:val="B74C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3736C5"/>
    <w:multiLevelType w:val="multilevel"/>
    <w:tmpl w:val="B74C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311B49"/>
    <w:multiLevelType w:val="multilevel"/>
    <w:tmpl w:val="600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F878DA"/>
    <w:multiLevelType w:val="multilevel"/>
    <w:tmpl w:val="600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394912"/>
    <w:multiLevelType w:val="multilevel"/>
    <w:tmpl w:val="600C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8C"/>
    <w:rsid w:val="00512D8C"/>
    <w:rsid w:val="00A547A8"/>
    <w:rsid w:val="00D5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0AA93"/>
  <w15:chartTrackingRefBased/>
  <w15:docId w15:val="{2AE314CF-2161-40C5-8D90-CB5DADF4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71A6"/>
    <w:rPr>
      <w:color w:val="0563C1" w:themeColor="hyperlink"/>
      <w:u w:val="single"/>
    </w:rPr>
  </w:style>
  <w:style w:type="paragraph" w:customStyle="1" w:styleId="3">
    <w:name w:val="З3"/>
    <w:basedOn w:val="a"/>
    <w:link w:val="30"/>
    <w:qFormat/>
    <w:rsid w:val="00D571A6"/>
    <w:pPr>
      <w:spacing w:before="300" w:after="200" w:line="360" w:lineRule="auto"/>
      <w:ind w:right="142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3 Знак"/>
    <w:basedOn w:val="a0"/>
    <w:link w:val="3"/>
    <w:rsid w:val="00D571A6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customStyle="1" w:styleId="1">
    <w:name w:val="О1"/>
    <w:basedOn w:val="a"/>
    <w:link w:val="10"/>
    <w:qFormat/>
    <w:rsid w:val="00D571A6"/>
    <w:pPr>
      <w:spacing w:after="0" w:line="360" w:lineRule="auto"/>
      <w:ind w:right="142" w:firstLine="709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10">
    <w:name w:val="О1 Знак"/>
    <w:basedOn w:val="a0"/>
    <w:link w:val="1"/>
    <w:rsid w:val="00D571A6"/>
    <w:rPr>
      <w:rFonts w:ascii="Times New Roman" w:eastAsia="Times New Roman" w:hAnsi="Times New Roman" w:cs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4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826285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15259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324704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836284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05208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13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71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7519768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75261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3611728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139498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33285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616</Words>
  <Characters>3514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2024-12-01T22:00:00Z</dcterms:created>
  <dcterms:modified xsi:type="dcterms:W3CDTF">2024-12-01T22:05:00Z</dcterms:modified>
</cp:coreProperties>
</file>